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3F541" w14:textId="6365CDC4" w:rsidR="000D7299" w:rsidRPr="000D7299" w:rsidRDefault="00A62DBA" w:rsidP="000D7299">
      <w:pPr>
        <w:rPr>
          <w:szCs w:val="22"/>
        </w:rPr>
      </w:pPr>
      <w:r>
        <w:rPr>
          <w:szCs w:val="22"/>
        </w:rPr>
        <w:t>Dear</w:t>
      </w:r>
      <w:r w:rsidR="00627A9B">
        <w:rPr>
          <w:szCs w:val="22"/>
        </w:rPr>
        <w:t xml:space="preserve"> </w:t>
      </w:r>
      <w:r w:rsidR="000D7299" w:rsidRPr="000D7299">
        <w:rPr>
          <w:szCs w:val="22"/>
        </w:rPr>
        <w:t>Rt Hon Jacinda Ardern, Prime Minister</w:t>
      </w:r>
      <w:r w:rsidR="00303A44">
        <w:rPr>
          <w:szCs w:val="22"/>
        </w:rPr>
        <w:t>,</w:t>
      </w:r>
      <w:r w:rsidR="0081586C">
        <w:rPr>
          <w:szCs w:val="22"/>
        </w:rPr>
        <w:t xml:space="preserve"> </w:t>
      </w:r>
      <w:r w:rsidR="000D7299" w:rsidRPr="000D7299">
        <w:rPr>
          <w:szCs w:val="22"/>
        </w:rPr>
        <w:t>Hon Andrew Little</w:t>
      </w:r>
      <w:r w:rsidR="000D7299">
        <w:rPr>
          <w:szCs w:val="22"/>
        </w:rPr>
        <w:t xml:space="preserve">, </w:t>
      </w:r>
      <w:r w:rsidR="000D7299" w:rsidRPr="000D7299">
        <w:rPr>
          <w:szCs w:val="22"/>
        </w:rPr>
        <w:t>Minister</w:t>
      </w:r>
      <w:r w:rsidR="000D7299">
        <w:rPr>
          <w:szCs w:val="22"/>
        </w:rPr>
        <w:t xml:space="preserve"> of Health, </w:t>
      </w:r>
      <w:r w:rsidR="000D7299" w:rsidRPr="000D7299">
        <w:rPr>
          <w:szCs w:val="22"/>
        </w:rPr>
        <w:t>Hon Dr</w:t>
      </w:r>
      <w:r w:rsidR="0060305F">
        <w:rPr>
          <w:szCs w:val="22"/>
        </w:rPr>
        <w:t>.</w:t>
      </w:r>
      <w:r w:rsidR="000D7299" w:rsidRPr="000D7299">
        <w:rPr>
          <w:szCs w:val="22"/>
        </w:rPr>
        <w:t xml:space="preserve"> Ayesha Verrall</w:t>
      </w:r>
      <w:r w:rsidR="000D7299">
        <w:rPr>
          <w:szCs w:val="22"/>
        </w:rPr>
        <w:t xml:space="preserve">, Minister of COVID-19 Response, and </w:t>
      </w:r>
      <w:r w:rsidR="000D7299" w:rsidRPr="000D7299">
        <w:rPr>
          <w:szCs w:val="22"/>
        </w:rPr>
        <w:t xml:space="preserve">Hon Peeni Henare </w:t>
      </w:r>
      <w:r w:rsidR="000D7299">
        <w:rPr>
          <w:szCs w:val="22"/>
        </w:rPr>
        <w:t xml:space="preserve">and </w:t>
      </w:r>
      <w:r w:rsidR="000D7299" w:rsidRPr="000D7299">
        <w:rPr>
          <w:szCs w:val="22"/>
        </w:rPr>
        <w:t>Hon Aupito William Sio</w:t>
      </w:r>
      <w:r w:rsidR="000D7299">
        <w:rPr>
          <w:szCs w:val="22"/>
        </w:rPr>
        <w:t>,</w:t>
      </w:r>
      <w:r w:rsidR="000D7299" w:rsidRPr="000D7299">
        <w:rPr>
          <w:szCs w:val="22"/>
        </w:rPr>
        <w:t xml:space="preserve"> Associate Minister</w:t>
      </w:r>
      <w:r w:rsidR="000D7299">
        <w:rPr>
          <w:szCs w:val="22"/>
        </w:rPr>
        <w:t>s of Health</w:t>
      </w:r>
    </w:p>
    <w:p w14:paraId="3BC9BC71" w14:textId="1C5CFB6B" w:rsidR="00851AC2" w:rsidRDefault="00B67203" w:rsidP="009B612D">
      <w:pPr>
        <w:rPr>
          <w:szCs w:val="22"/>
        </w:rPr>
      </w:pPr>
      <w:r>
        <w:rPr>
          <w:szCs w:val="22"/>
        </w:rPr>
        <w:t xml:space="preserve">In this </w:t>
      </w:r>
      <w:r w:rsidR="00E07588">
        <w:rPr>
          <w:szCs w:val="22"/>
        </w:rPr>
        <w:t>O</w:t>
      </w:r>
      <w:r>
        <w:rPr>
          <w:szCs w:val="22"/>
        </w:rPr>
        <w:t xml:space="preserve">pen </w:t>
      </w:r>
      <w:r w:rsidR="00E07588">
        <w:rPr>
          <w:szCs w:val="22"/>
        </w:rPr>
        <w:t>L</w:t>
      </w:r>
      <w:r>
        <w:rPr>
          <w:szCs w:val="22"/>
        </w:rPr>
        <w:t>etter</w:t>
      </w:r>
      <w:r w:rsidR="00CF3414">
        <w:rPr>
          <w:szCs w:val="22"/>
        </w:rPr>
        <w:t xml:space="preserve"> and evidentiary </w:t>
      </w:r>
      <w:r w:rsidR="00B00B17">
        <w:rPr>
          <w:szCs w:val="22"/>
        </w:rPr>
        <w:t>document,</w:t>
      </w:r>
      <w:r>
        <w:rPr>
          <w:szCs w:val="22"/>
        </w:rPr>
        <w:t xml:space="preserve"> </w:t>
      </w:r>
      <w:r w:rsidR="007A5AF3" w:rsidRPr="00E829D1">
        <w:rPr>
          <w:szCs w:val="22"/>
        </w:rPr>
        <w:t xml:space="preserve">I </w:t>
      </w:r>
      <w:r w:rsidR="005B4FDB">
        <w:rPr>
          <w:szCs w:val="22"/>
        </w:rPr>
        <w:t xml:space="preserve">share </w:t>
      </w:r>
      <w:r w:rsidR="00482929">
        <w:rPr>
          <w:szCs w:val="22"/>
        </w:rPr>
        <w:t xml:space="preserve">my research results on </w:t>
      </w:r>
      <w:r w:rsidR="005B4FDB" w:rsidRPr="00E829D1">
        <w:rPr>
          <w:szCs w:val="22"/>
        </w:rPr>
        <w:t xml:space="preserve">overseas </w:t>
      </w:r>
      <w:r w:rsidR="005B4FDB">
        <w:rPr>
          <w:szCs w:val="22"/>
        </w:rPr>
        <w:t>g</w:t>
      </w:r>
      <w:r w:rsidR="005B4FDB" w:rsidRPr="00E829D1">
        <w:rPr>
          <w:szCs w:val="22"/>
        </w:rPr>
        <w:t xml:space="preserve">overnment </w:t>
      </w:r>
      <w:r w:rsidR="002029FF">
        <w:rPr>
          <w:szCs w:val="22"/>
        </w:rPr>
        <w:t xml:space="preserve">and Ministry of Health </w:t>
      </w:r>
      <w:r w:rsidR="005D1248">
        <w:rPr>
          <w:szCs w:val="22"/>
        </w:rPr>
        <w:t xml:space="preserve">(MoH) </w:t>
      </w:r>
      <w:r w:rsidR="00572563">
        <w:rPr>
          <w:szCs w:val="22"/>
        </w:rPr>
        <w:t>COVID-19</w:t>
      </w:r>
      <w:r w:rsidR="005B4FDB">
        <w:rPr>
          <w:szCs w:val="22"/>
        </w:rPr>
        <w:t xml:space="preserve"> </w:t>
      </w:r>
      <w:r w:rsidR="005B4FDB" w:rsidRPr="00E829D1">
        <w:rPr>
          <w:szCs w:val="22"/>
        </w:rPr>
        <w:t xml:space="preserve">vaccine surveillance and </w:t>
      </w:r>
      <w:r w:rsidR="00AC57C0">
        <w:rPr>
          <w:szCs w:val="22"/>
        </w:rPr>
        <w:t>pharmacovigilance</w:t>
      </w:r>
      <w:r w:rsidR="005B4FDB" w:rsidRPr="00E829D1">
        <w:rPr>
          <w:szCs w:val="22"/>
        </w:rPr>
        <w:t xml:space="preserve"> </w:t>
      </w:r>
      <w:r w:rsidR="00482929">
        <w:rPr>
          <w:szCs w:val="22"/>
        </w:rPr>
        <w:t>data</w:t>
      </w:r>
      <w:r w:rsidR="00EF5EA6">
        <w:rPr>
          <w:szCs w:val="22"/>
        </w:rPr>
        <w:t xml:space="preserve"> </w:t>
      </w:r>
      <w:r w:rsidR="005B4FDB">
        <w:rPr>
          <w:szCs w:val="22"/>
        </w:rPr>
        <w:t>indicating</w:t>
      </w:r>
      <w:r w:rsidR="008A1A93" w:rsidRPr="00E829D1">
        <w:rPr>
          <w:szCs w:val="22"/>
        </w:rPr>
        <w:t xml:space="preserve"> </w:t>
      </w:r>
      <w:r w:rsidR="00475797">
        <w:rPr>
          <w:szCs w:val="22"/>
        </w:rPr>
        <w:t xml:space="preserve">irreparable </w:t>
      </w:r>
      <w:r w:rsidR="00A16B17" w:rsidRPr="00E829D1">
        <w:rPr>
          <w:szCs w:val="22"/>
        </w:rPr>
        <w:t>vaccine</w:t>
      </w:r>
      <w:r w:rsidR="00F1661B">
        <w:rPr>
          <w:szCs w:val="22"/>
        </w:rPr>
        <w:t>-induced</w:t>
      </w:r>
      <w:r w:rsidR="00A16B17" w:rsidRPr="00E829D1">
        <w:rPr>
          <w:szCs w:val="22"/>
        </w:rPr>
        <w:t xml:space="preserve"> harm</w:t>
      </w:r>
      <w:r w:rsidR="002029FF">
        <w:rPr>
          <w:szCs w:val="22"/>
        </w:rPr>
        <w:t xml:space="preserve">. Furthermore, I share </w:t>
      </w:r>
      <w:r w:rsidR="00E07588">
        <w:rPr>
          <w:szCs w:val="22"/>
        </w:rPr>
        <w:t xml:space="preserve">important </w:t>
      </w:r>
      <w:r w:rsidR="002029FF">
        <w:rPr>
          <w:szCs w:val="22"/>
        </w:rPr>
        <w:t xml:space="preserve">evidence </w:t>
      </w:r>
      <w:r w:rsidR="00851AC2">
        <w:rPr>
          <w:szCs w:val="22"/>
        </w:rPr>
        <w:t xml:space="preserve">that </w:t>
      </w:r>
      <w:r w:rsidR="002374F1">
        <w:rPr>
          <w:szCs w:val="22"/>
        </w:rPr>
        <w:t xml:space="preserve">SARS-CoV-2 originated from gain-of-function </w:t>
      </w:r>
      <w:r w:rsidR="00622184">
        <w:rPr>
          <w:szCs w:val="22"/>
        </w:rPr>
        <w:t>research</w:t>
      </w:r>
      <w:r w:rsidR="00482929">
        <w:rPr>
          <w:szCs w:val="22"/>
        </w:rPr>
        <w:t xml:space="preserve">, </w:t>
      </w:r>
      <w:r w:rsidR="00B00B17">
        <w:rPr>
          <w:szCs w:val="22"/>
        </w:rPr>
        <w:t>remind</w:t>
      </w:r>
      <w:r w:rsidR="00622184">
        <w:rPr>
          <w:szCs w:val="22"/>
        </w:rPr>
        <w:t xml:space="preserve"> </w:t>
      </w:r>
      <w:r w:rsidR="00A77013">
        <w:rPr>
          <w:szCs w:val="22"/>
        </w:rPr>
        <w:t xml:space="preserve">you </w:t>
      </w:r>
      <w:r w:rsidR="00622184">
        <w:rPr>
          <w:szCs w:val="22"/>
        </w:rPr>
        <w:t xml:space="preserve">that </w:t>
      </w:r>
      <w:r w:rsidR="00A77013">
        <w:rPr>
          <w:szCs w:val="22"/>
        </w:rPr>
        <w:t>no</w:t>
      </w:r>
      <w:r w:rsidR="00DE6D41">
        <w:rPr>
          <w:szCs w:val="22"/>
        </w:rPr>
        <w:t xml:space="preserve"> evidence exists </w:t>
      </w:r>
      <w:r w:rsidR="00E07588">
        <w:rPr>
          <w:szCs w:val="22"/>
        </w:rPr>
        <w:t xml:space="preserve">for </w:t>
      </w:r>
      <w:r w:rsidR="00054AB9">
        <w:rPr>
          <w:szCs w:val="22"/>
        </w:rPr>
        <w:t>an</w:t>
      </w:r>
      <w:r w:rsidR="00DE6D41">
        <w:rPr>
          <w:szCs w:val="22"/>
        </w:rPr>
        <w:t xml:space="preserve"> </w:t>
      </w:r>
      <w:r w:rsidR="00E07588">
        <w:rPr>
          <w:szCs w:val="22"/>
        </w:rPr>
        <w:t>animal-to-human</w:t>
      </w:r>
      <w:r w:rsidR="00A77013">
        <w:rPr>
          <w:szCs w:val="22"/>
        </w:rPr>
        <w:t xml:space="preserve"> origin</w:t>
      </w:r>
      <w:r w:rsidR="00482929">
        <w:rPr>
          <w:szCs w:val="22"/>
        </w:rPr>
        <w:t>, and</w:t>
      </w:r>
      <w:r w:rsidR="00DE6D41">
        <w:rPr>
          <w:szCs w:val="22"/>
        </w:rPr>
        <w:t xml:space="preserve"> highlight </w:t>
      </w:r>
      <w:r w:rsidR="00F95681">
        <w:rPr>
          <w:szCs w:val="22"/>
        </w:rPr>
        <w:t xml:space="preserve">that </w:t>
      </w:r>
      <w:r w:rsidR="00547751">
        <w:rPr>
          <w:szCs w:val="22"/>
        </w:rPr>
        <w:t>its</w:t>
      </w:r>
      <w:r w:rsidR="001B1990">
        <w:rPr>
          <w:szCs w:val="22"/>
        </w:rPr>
        <w:t xml:space="preserve"> potential </w:t>
      </w:r>
      <w:r w:rsidR="005D1248">
        <w:rPr>
          <w:szCs w:val="22"/>
        </w:rPr>
        <w:t>source</w:t>
      </w:r>
      <w:r w:rsidR="001B1990">
        <w:rPr>
          <w:szCs w:val="22"/>
        </w:rPr>
        <w:t xml:space="preserve"> </w:t>
      </w:r>
      <w:r w:rsidR="00E07588">
        <w:rPr>
          <w:szCs w:val="22"/>
        </w:rPr>
        <w:t xml:space="preserve">lay </w:t>
      </w:r>
      <w:r w:rsidR="001B1990">
        <w:rPr>
          <w:szCs w:val="22"/>
        </w:rPr>
        <w:t>beyond Wuhan</w:t>
      </w:r>
      <w:r w:rsidR="009B7B0C">
        <w:rPr>
          <w:szCs w:val="22"/>
        </w:rPr>
        <w:t>,</w:t>
      </w:r>
      <w:r w:rsidR="001B1990">
        <w:rPr>
          <w:szCs w:val="22"/>
        </w:rPr>
        <w:t xml:space="preserve"> </w:t>
      </w:r>
      <w:r w:rsidR="00DE6D41">
        <w:rPr>
          <w:szCs w:val="22"/>
        </w:rPr>
        <w:t>China</w:t>
      </w:r>
      <w:r w:rsidR="00851AC2">
        <w:rPr>
          <w:szCs w:val="22"/>
        </w:rPr>
        <w:t>.</w:t>
      </w:r>
      <w:r w:rsidR="005B4FDB">
        <w:rPr>
          <w:szCs w:val="22"/>
        </w:rPr>
        <w:t xml:space="preserve"> </w:t>
      </w:r>
      <w:r w:rsidR="00ED160F">
        <w:rPr>
          <w:szCs w:val="22"/>
        </w:rPr>
        <w:t xml:space="preserve">A series of </w:t>
      </w:r>
      <w:r w:rsidR="00241985">
        <w:rPr>
          <w:szCs w:val="22"/>
        </w:rPr>
        <w:t xml:space="preserve">requests for investigations </w:t>
      </w:r>
      <w:r w:rsidR="00ED160F">
        <w:rPr>
          <w:szCs w:val="22"/>
        </w:rPr>
        <w:t>are made below linked to this evidence</w:t>
      </w:r>
      <w:r w:rsidR="0050175E">
        <w:rPr>
          <w:szCs w:val="22"/>
        </w:rPr>
        <w:t xml:space="preserve">, </w:t>
      </w:r>
      <w:r w:rsidR="0050175E" w:rsidRPr="00236796">
        <w:rPr>
          <w:bCs w:val="0"/>
          <w:szCs w:val="22"/>
        </w:rPr>
        <w:t>including the statistical</w:t>
      </w:r>
      <w:r w:rsidR="0050175E" w:rsidRPr="00236796">
        <w:rPr>
          <w:szCs w:val="22"/>
        </w:rPr>
        <w:t xml:space="preserve"> </w:t>
      </w:r>
      <w:r w:rsidR="0050175E" w:rsidRPr="00236796">
        <w:rPr>
          <w:i/>
          <w:iCs/>
          <w:szCs w:val="22"/>
        </w:rPr>
        <w:t>biases</w:t>
      </w:r>
      <w:r w:rsidR="0050175E" w:rsidRPr="00236796">
        <w:rPr>
          <w:szCs w:val="22"/>
        </w:rPr>
        <w:t xml:space="preserve"> evident in the Ministry of Health and other healthcare agencies’ calculable unvaccinated COVID-19 case rates</w:t>
      </w:r>
      <w:r w:rsidR="00F0246F">
        <w:rPr>
          <w:szCs w:val="22"/>
        </w:rPr>
        <w:t xml:space="preserve">. These biases </w:t>
      </w:r>
      <w:r w:rsidR="0050175E" w:rsidRPr="00236796">
        <w:rPr>
          <w:szCs w:val="22"/>
        </w:rPr>
        <w:t>essentially eliminated the negative vaccine effectiveness harm signal</w:t>
      </w:r>
      <w:r w:rsidR="00F0246F">
        <w:rPr>
          <w:szCs w:val="22"/>
        </w:rPr>
        <w:t xml:space="preserve"> from ready public view</w:t>
      </w:r>
      <w:r w:rsidR="00ED160F">
        <w:rPr>
          <w:szCs w:val="22"/>
        </w:rPr>
        <w:t xml:space="preserve">. </w:t>
      </w:r>
      <w:r w:rsidR="005D1248" w:rsidRPr="0074136A">
        <w:rPr>
          <w:szCs w:val="22"/>
        </w:rPr>
        <w:t>This evidentiary document is provided by a former European corporate venture capital-funded CEO/vaccine innovator (“Vaccines for Mutating Viruses”), veterinarian with 36 years of vaccine use experience, and</w:t>
      </w:r>
      <w:r w:rsidR="005D1248">
        <w:rPr>
          <w:szCs w:val="22"/>
        </w:rPr>
        <w:t xml:space="preserve"> </w:t>
      </w:r>
      <w:r w:rsidR="00FF38B8">
        <w:rPr>
          <w:szCs w:val="22"/>
        </w:rPr>
        <w:t xml:space="preserve">a </w:t>
      </w:r>
      <w:r w:rsidR="005D1248" w:rsidRPr="0074136A">
        <w:rPr>
          <w:szCs w:val="22"/>
        </w:rPr>
        <w:t>private researcher</w:t>
      </w:r>
      <w:r w:rsidR="005D1248">
        <w:rPr>
          <w:szCs w:val="22"/>
        </w:rPr>
        <w:t>. It is</w:t>
      </w:r>
      <w:r w:rsidR="0074755F">
        <w:rPr>
          <w:szCs w:val="22"/>
        </w:rPr>
        <w:t xml:space="preserve"> supported</w:t>
      </w:r>
      <w:r w:rsidR="001B1990">
        <w:rPr>
          <w:szCs w:val="22"/>
        </w:rPr>
        <w:t xml:space="preserve"> by 525 unique data, scientific, and other citations.</w:t>
      </w:r>
    </w:p>
    <w:p w14:paraId="6018BC53" w14:textId="02BDCF76" w:rsidR="002029FF" w:rsidRDefault="008A44B4" w:rsidP="002029FF">
      <w:pPr>
        <w:rPr>
          <w:szCs w:val="22"/>
        </w:rPr>
      </w:pPr>
      <w:r>
        <w:rPr>
          <w:szCs w:val="22"/>
        </w:rPr>
        <w:t xml:space="preserve">According to </w:t>
      </w:r>
      <w:r w:rsidR="00DE6D41">
        <w:rPr>
          <w:szCs w:val="22"/>
        </w:rPr>
        <w:t xml:space="preserve">New Zealand, England, Scotland, </w:t>
      </w:r>
      <w:r w:rsidR="000D4F16">
        <w:rPr>
          <w:szCs w:val="22"/>
        </w:rPr>
        <w:t xml:space="preserve">and </w:t>
      </w:r>
      <w:r w:rsidR="00DE6D41">
        <w:rPr>
          <w:szCs w:val="22"/>
        </w:rPr>
        <w:t>Canada</w:t>
      </w:r>
      <w:r w:rsidR="000D4F16">
        <w:rPr>
          <w:szCs w:val="22"/>
        </w:rPr>
        <w:t xml:space="preserve"> </w:t>
      </w:r>
      <w:r w:rsidR="00DE6D41">
        <w:rPr>
          <w:szCs w:val="22"/>
        </w:rPr>
        <w:t xml:space="preserve">healthcare </w:t>
      </w:r>
      <w:r w:rsidR="00EE267D">
        <w:rPr>
          <w:szCs w:val="22"/>
        </w:rPr>
        <w:t>agencies</w:t>
      </w:r>
      <w:r w:rsidR="00DE6D41">
        <w:rPr>
          <w:szCs w:val="22"/>
        </w:rPr>
        <w:t xml:space="preserve"> </w:t>
      </w:r>
      <w:r w:rsidR="00BA6CCC">
        <w:rPr>
          <w:szCs w:val="22"/>
        </w:rPr>
        <w:t xml:space="preserve">and Global </w:t>
      </w:r>
      <w:r w:rsidR="002029FF">
        <w:rPr>
          <w:szCs w:val="22"/>
        </w:rPr>
        <w:t xml:space="preserve">surveillance </w:t>
      </w:r>
      <w:r w:rsidR="000D4F16">
        <w:rPr>
          <w:szCs w:val="22"/>
        </w:rPr>
        <w:t>data (77 nations)</w:t>
      </w:r>
      <w:r w:rsidR="009B7B0C">
        <w:rPr>
          <w:szCs w:val="22"/>
        </w:rPr>
        <w:t>,</w:t>
      </w:r>
      <w:r w:rsidR="000D4F16">
        <w:rPr>
          <w:szCs w:val="22"/>
        </w:rPr>
        <w:t xml:space="preserve"> </w:t>
      </w:r>
      <w:r>
        <w:rPr>
          <w:szCs w:val="22"/>
        </w:rPr>
        <w:t>the</w:t>
      </w:r>
      <w:r w:rsidR="002029FF">
        <w:rPr>
          <w:szCs w:val="22"/>
        </w:rPr>
        <w:t xml:space="preserve">se vaccines failed to prevent SARS-CoV-2 infection as </w:t>
      </w:r>
      <w:r w:rsidR="00AA0A95">
        <w:rPr>
          <w:szCs w:val="22"/>
        </w:rPr>
        <w:t>initially</w:t>
      </w:r>
      <w:r w:rsidR="002029FF">
        <w:rPr>
          <w:szCs w:val="22"/>
        </w:rPr>
        <w:t xml:space="preserve"> touted. </w:t>
      </w:r>
      <w:r w:rsidR="00547751">
        <w:rPr>
          <w:szCs w:val="22"/>
        </w:rPr>
        <w:t xml:space="preserve">Significant negative vaccine effectiveness and vaccine failure were </w:t>
      </w:r>
      <w:r w:rsidR="00622184">
        <w:rPr>
          <w:szCs w:val="22"/>
        </w:rPr>
        <w:t xml:space="preserve">evident with the emergence of antigenically distinct strains (i.e., </w:t>
      </w:r>
      <w:r w:rsidR="00792243">
        <w:rPr>
          <w:szCs w:val="22"/>
        </w:rPr>
        <w:t xml:space="preserve">Delta, </w:t>
      </w:r>
      <w:r w:rsidR="00622184">
        <w:rPr>
          <w:szCs w:val="22"/>
        </w:rPr>
        <w:t>Omicron)</w:t>
      </w:r>
      <w:r w:rsidR="002029FF">
        <w:rPr>
          <w:szCs w:val="22"/>
        </w:rPr>
        <w:t xml:space="preserve">. </w:t>
      </w:r>
      <w:r w:rsidR="00AC57C0">
        <w:rPr>
          <w:szCs w:val="22"/>
        </w:rPr>
        <w:t>T</w:t>
      </w:r>
      <w:r w:rsidR="00AC57C0" w:rsidRPr="006A074E">
        <w:rPr>
          <w:szCs w:val="22"/>
        </w:rPr>
        <w:t xml:space="preserve">he vaccine industry experienced </w:t>
      </w:r>
      <w:r w:rsidR="00AC57C0" w:rsidRPr="002029FF">
        <w:rPr>
          <w:szCs w:val="22"/>
        </w:rPr>
        <w:t>antibody-dependent enhancement of virus infection</w:t>
      </w:r>
      <w:r w:rsidR="00AC57C0">
        <w:rPr>
          <w:szCs w:val="22"/>
        </w:rPr>
        <w:t xml:space="preserve"> (ADE) and vaccine-associated enhanced disease (VAED) with</w:t>
      </w:r>
      <w:r w:rsidR="00AC57C0" w:rsidRPr="006A074E">
        <w:rPr>
          <w:szCs w:val="22"/>
        </w:rPr>
        <w:t xml:space="preserve"> </w:t>
      </w:r>
      <w:r w:rsidR="00AC57C0">
        <w:rPr>
          <w:szCs w:val="22"/>
        </w:rPr>
        <w:t xml:space="preserve">three other </w:t>
      </w:r>
      <w:r w:rsidR="00AC57C0" w:rsidRPr="006A074E">
        <w:rPr>
          <w:szCs w:val="22"/>
        </w:rPr>
        <w:t>different coronaviruses and their spike protein vaccine prototypes</w:t>
      </w:r>
      <w:r w:rsidR="00AC57C0">
        <w:rPr>
          <w:szCs w:val="22"/>
        </w:rPr>
        <w:t xml:space="preserve"> i</w:t>
      </w:r>
      <w:r w:rsidR="00AC57C0" w:rsidRPr="006A074E">
        <w:rPr>
          <w:szCs w:val="22"/>
        </w:rPr>
        <w:t xml:space="preserve">n the last 30 years, giving </w:t>
      </w:r>
      <w:r w:rsidR="00AC57C0">
        <w:rPr>
          <w:szCs w:val="22"/>
        </w:rPr>
        <w:t xml:space="preserve">my </w:t>
      </w:r>
      <w:r w:rsidR="005D1248">
        <w:rPr>
          <w:szCs w:val="22"/>
        </w:rPr>
        <w:t>stud</w:t>
      </w:r>
      <w:r w:rsidR="00482929">
        <w:rPr>
          <w:szCs w:val="22"/>
        </w:rPr>
        <w:t>y</w:t>
      </w:r>
      <w:r w:rsidR="005D1248">
        <w:rPr>
          <w:szCs w:val="22"/>
        </w:rPr>
        <w:t xml:space="preserve"> </w:t>
      </w:r>
      <w:r w:rsidR="00AC57C0">
        <w:rPr>
          <w:szCs w:val="22"/>
        </w:rPr>
        <w:t xml:space="preserve">results a predictable </w:t>
      </w:r>
      <w:r w:rsidR="00AC57C0" w:rsidRPr="006A074E">
        <w:rPr>
          <w:szCs w:val="22"/>
        </w:rPr>
        <w:t>context.</w:t>
      </w:r>
      <w:r w:rsidR="00AC57C0">
        <w:rPr>
          <w:szCs w:val="22"/>
        </w:rPr>
        <w:t xml:space="preserve"> </w:t>
      </w:r>
      <w:r w:rsidR="002029FF">
        <w:rPr>
          <w:szCs w:val="22"/>
        </w:rPr>
        <w:t>Furthermore, o</w:t>
      </w:r>
      <w:r w:rsidR="002029FF" w:rsidRPr="00032368">
        <w:rPr>
          <w:szCs w:val="22"/>
        </w:rPr>
        <w:t xml:space="preserve">ne year of </w:t>
      </w:r>
      <w:r w:rsidR="002029FF">
        <w:rPr>
          <w:szCs w:val="22"/>
        </w:rPr>
        <w:t>US lot-numbered COVID-19 vaccine-associated</w:t>
      </w:r>
      <w:r w:rsidR="002029FF" w:rsidRPr="006C5816">
        <w:rPr>
          <w:szCs w:val="22"/>
        </w:rPr>
        <w:t xml:space="preserve"> deaths and hospitalizations equaled</w:t>
      </w:r>
      <w:r w:rsidR="002029FF">
        <w:rPr>
          <w:szCs w:val="22"/>
        </w:rPr>
        <w:t xml:space="preserve"> 32</w:t>
      </w:r>
      <w:r w:rsidR="00DE6D41">
        <w:rPr>
          <w:szCs w:val="22"/>
        </w:rPr>
        <w:t xml:space="preserve">x </w:t>
      </w:r>
      <w:r w:rsidR="002029FF">
        <w:rPr>
          <w:szCs w:val="22"/>
        </w:rPr>
        <w:t xml:space="preserve">(Comirnaty </w:t>
      </w:r>
      <w:r w:rsidR="002029FF" w:rsidRPr="006C5816">
        <w:rPr>
          <w:szCs w:val="22"/>
        </w:rPr>
        <w:t>15.4</w:t>
      </w:r>
      <w:r w:rsidR="00DE6D41">
        <w:rPr>
          <w:szCs w:val="22"/>
        </w:rPr>
        <w:t>x</w:t>
      </w:r>
      <w:r w:rsidR="002029FF">
        <w:rPr>
          <w:szCs w:val="22"/>
        </w:rPr>
        <w:t>)</w:t>
      </w:r>
      <w:r w:rsidR="002029FF" w:rsidRPr="006C5816">
        <w:rPr>
          <w:szCs w:val="22"/>
        </w:rPr>
        <w:t xml:space="preserve"> and </w:t>
      </w:r>
      <w:r w:rsidR="002029FF">
        <w:rPr>
          <w:szCs w:val="22"/>
        </w:rPr>
        <w:t>20</w:t>
      </w:r>
      <w:r w:rsidR="00DE6D41">
        <w:rPr>
          <w:szCs w:val="22"/>
        </w:rPr>
        <w:t xml:space="preserve">x </w:t>
      </w:r>
      <w:r w:rsidR="002029FF">
        <w:rPr>
          <w:szCs w:val="22"/>
        </w:rPr>
        <w:t xml:space="preserve">(Comirnaty </w:t>
      </w:r>
      <w:r w:rsidR="002029FF" w:rsidRPr="006C5816">
        <w:rPr>
          <w:szCs w:val="22"/>
        </w:rPr>
        <w:t>10.5</w:t>
      </w:r>
      <w:r w:rsidR="00DE6D41">
        <w:rPr>
          <w:szCs w:val="22"/>
        </w:rPr>
        <w:t>x</w:t>
      </w:r>
      <w:r w:rsidR="002029FF">
        <w:rPr>
          <w:szCs w:val="22"/>
        </w:rPr>
        <w:t>)</w:t>
      </w:r>
      <w:r w:rsidR="006E7A9D">
        <w:rPr>
          <w:szCs w:val="22"/>
        </w:rPr>
        <w:t xml:space="preserve"> </w:t>
      </w:r>
      <w:r w:rsidR="00547751">
        <w:rPr>
          <w:szCs w:val="22"/>
        </w:rPr>
        <w:t xml:space="preserve">of </w:t>
      </w:r>
      <w:r w:rsidR="002029FF" w:rsidRPr="006C5816">
        <w:rPr>
          <w:szCs w:val="22"/>
        </w:rPr>
        <w:t>all US vaccine-</w:t>
      </w:r>
      <w:r w:rsidR="00DE6D41">
        <w:rPr>
          <w:szCs w:val="22"/>
        </w:rPr>
        <w:t>associated</w:t>
      </w:r>
      <w:r w:rsidR="00DE6D41" w:rsidRPr="006C5816">
        <w:rPr>
          <w:szCs w:val="22"/>
        </w:rPr>
        <w:t xml:space="preserve"> </w:t>
      </w:r>
      <w:r w:rsidR="002029FF" w:rsidRPr="006C5816">
        <w:rPr>
          <w:szCs w:val="22"/>
        </w:rPr>
        <w:t>deaths and hospitalizations</w:t>
      </w:r>
      <w:r w:rsidR="009B7B0C">
        <w:rPr>
          <w:szCs w:val="22"/>
        </w:rPr>
        <w:t>,</w:t>
      </w:r>
      <w:r w:rsidR="002029FF" w:rsidRPr="006C5816">
        <w:rPr>
          <w:szCs w:val="22"/>
        </w:rPr>
        <w:t xml:space="preserve"> respectively</w:t>
      </w:r>
      <w:r w:rsidR="002029FF">
        <w:rPr>
          <w:szCs w:val="22"/>
        </w:rPr>
        <w:t xml:space="preserve">. These </w:t>
      </w:r>
      <w:r w:rsidR="00AC57C0">
        <w:rPr>
          <w:szCs w:val="22"/>
        </w:rPr>
        <w:t xml:space="preserve">adverse </w:t>
      </w:r>
      <w:r w:rsidR="002029FF">
        <w:rPr>
          <w:szCs w:val="22"/>
        </w:rPr>
        <w:t xml:space="preserve">outcomes were highly skewed and peaked across vaccine </w:t>
      </w:r>
      <w:r w:rsidR="003155F7">
        <w:rPr>
          <w:szCs w:val="22"/>
        </w:rPr>
        <w:t>lots and</w:t>
      </w:r>
      <w:r w:rsidR="00A914AF">
        <w:rPr>
          <w:szCs w:val="22"/>
        </w:rPr>
        <w:t xml:space="preserve"> </w:t>
      </w:r>
      <w:r w:rsidR="00DE6D41">
        <w:rPr>
          <w:szCs w:val="22"/>
        </w:rPr>
        <w:t xml:space="preserve">were </w:t>
      </w:r>
      <w:r w:rsidR="00A914AF">
        <w:rPr>
          <w:szCs w:val="22"/>
        </w:rPr>
        <w:t xml:space="preserve">associated </w:t>
      </w:r>
      <w:r w:rsidR="002029FF">
        <w:rPr>
          <w:szCs w:val="22"/>
        </w:rPr>
        <w:t xml:space="preserve">with a </w:t>
      </w:r>
      <w:r w:rsidR="002029FF" w:rsidRPr="00032368">
        <w:rPr>
          <w:szCs w:val="22"/>
        </w:rPr>
        <w:t xml:space="preserve">minority of </w:t>
      </w:r>
      <w:r w:rsidR="002029FF">
        <w:rPr>
          <w:szCs w:val="22"/>
        </w:rPr>
        <w:t xml:space="preserve">lots sent to a larger number of </w:t>
      </w:r>
      <w:r w:rsidR="000D4F16">
        <w:rPr>
          <w:szCs w:val="22"/>
        </w:rPr>
        <w:t xml:space="preserve">US </w:t>
      </w:r>
      <w:r w:rsidR="00A914AF">
        <w:rPr>
          <w:szCs w:val="22"/>
        </w:rPr>
        <w:t>S</w:t>
      </w:r>
      <w:r w:rsidR="002029FF">
        <w:rPr>
          <w:szCs w:val="22"/>
        </w:rPr>
        <w:t>tates</w:t>
      </w:r>
      <w:r w:rsidR="00DE6D41">
        <w:rPr>
          <w:szCs w:val="22"/>
        </w:rPr>
        <w:t>. This</w:t>
      </w:r>
      <w:r w:rsidR="002029FF">
        <w:rPr>
          <w:szCs w:val="22"/>
        </w:rPr>
        <w:t xml:space="preserve"> </w:t>
      </w:r>
      <w:r w:rsidR="00E34D4C">
        <w:rPr>
          <w:szCs w:val="22"/>
        </w:rPr>
        <w:t>data highlight</w:t>
      </w:r>
      <w:r w:rsidR="00622184">
        <w:rPr>
          <w:szCs w:val="22"/>
        </w:rPr>
        <w:t xml:space="preserve">s </w:t>
      </w:r>
      <w:r w:rsidR="00AA0A95">
        <w:rPr>
          <w:szCs w:val="22"/>
        </w:rPr>
        <w:t xml:space="preserve">that </w:t>
      </w:r>
      <w:r w:rsidR="00622184">
        <w:rPr>
          <w:szCs w:val="22"/>
        </w:rPr>
        <w:t>there was</w:t>
      </w:r>
      <w:r w:rsidR="00E34D4C">
        <w:rPr>
          <w:szCs w:val="22"/>
        </w:rPr>
        <w:t xml:space="preserve"> a</w:t>
      </w:r>
      <w:r w:rsidR="005D1248">
        <w:rPr>
          <w:szCs w:val="22"/>
        </w:rPr>
        <w:t>n urgent</w:t>
      </w:r>
      <w:r w:rsidR="00054AB9">
        <w:rPr>
          <w:szCs w:val="22"/>
        </w:rPr>
        <w:t xml:space="preserve"> </w:t>
      </w:r>
      <w:r w:rsidR="00E34D4C">
        <w:rPr>
          <w:szCs w:val="22"/>
        </w:rPr>
        <w:t xml:space="preserve">need for </w:t>
      </w:r>
      <w:r w:rsidR="00792243">
        <w:rPr>
          <w:szCs w:val="22"/>
        </w:rPr>
        <w:t xml:space="preserve">investigation by </w:t>
      </w:r>
      <w:r w:rsidR="00547751">
        <w:rPr>
          <w:szCs w:val="22"/>
        </w:rPr>
        <w:t xml:space="preserve">the </w:t>
      </w:r>
      <w:r w:rsidR="00622184">
        <w:rPr>
          <w:szCs w:val="22"/>
        </w:rPr>
        <w:t xml:space="preserve">US and other regulatory </w:t>
      </w:r>
      <w:r w:rsidR="00AC57C0">
        <w:rPr>
          <w:szCs w:val="22"/>
        </w:rPr>
        <w:t xml:space="preserve">and healthcare </w:t>
      </w:r>
      <w:r w:rsidR="00622184">
        <w:rPr>
          <w:szCs w:val="22"/>
        </w:rPr>
        <w:t>agenc</w:t>
      </w:r>
      <w:r w:rsidR="00792243">
        <w:rPr>
          <w:szCs w:val="22"/>
        </w:rPr>
        <w:t>ies</w:t>
      </w:r>
      <w:r w:rsidR="00054AB9">
        <w:rPr>
          <w:szCs w:val="22"/>
        </w:rPr>
        <w:t xml:space="preserve"> before expanded </w:t>
      </w:r>
      <w:r w:rsidR="005D1248">
        <w:rPr>
          <w:szCs w:val="22"/>
        </w:rPr>
        <w:t xml:space="preserve">population </w:t>
      </w:r>
      <w:r w:rsidR="00054AB9">
        <w:rPr>
          <w:szCs w:val="22"/>
        </w:rPr>
        <w:t>use</w:t>
      </w:r>
      <w:r w:rsidR="002029FF">
        <w:rPr>
          <w:szCs w:val="22"/>
        </w:rPr>
        <w:t>.</w:t>
      </w:r>
    </w:p>
    <w:p w14:paraId="1777EF0D" w14:textId="657CC68C" w:rsidR="00E34D4C" w:rsidRPr="00AC57C0" w:rsidRDefault="00CC2A33" w:rsidP="00E34D4C">
      <w:pPr>
        <w:rPr>
          <w:szCs w:val="22"/>
        </w:rPr>
      </w:pPr>
      <w:r w:rsidRPr="002029FF">
        <w:t>A</w:t>
      </w:r>
      <w:r w:rsidRPr="002029FF">
        <w:rPr>
          <w:szCs w:val="22"/>
        </w:rPr>
        <w:t xml:space="preserve"> vast chasm exists between the vaccine safety and efficacy experience</w:t>
      </w:r>
      <w:r w:rsidR="006E7A9D">
        <w:rPr>
          <w:szCs w:val="22"/>
        </w:rPr>
        <w:t>d</w:t>
      </w:r>
      <w:r w:rsidRPr="002029FF">
        <w:rPr>
          <w:szCs w:val="22"/>
        </w:rPr>
        <w:t xml:space="preserve"> in 2021-</w:t>
      </w:r>
      <w:r w:rsidR="00D70C45">
        <w:rPr>
          <w:szCs w:val="22"/>
        </w:rPr>
        <w:t>20</w:t>
      </w:r>
      <w:r w:rsidRPr="002029FF">
        <w:rPr>
          <w:szCs w:val="22"/>
        </w:rPr>
        <w:t xml:space="preserve">22 and the </w:t>
      </w:r>
      <w:r w:rsidR="00AC57C0">
        <w:rPr>
          <w:szCs w:val="22"/>
        </w:rPr>
        <w:t xml:space="preserve">falsifiable </w:t>
      </w:r>
      <w:r w:rsidRPr="002029FF">
        <w:rPr>
          <w:szCs w:val="22"/>
        </w:rPr>
        <w:t xml:space="preserve">95% vaccine efficacy and safety proclaimed by governments </w:t>
      </w:r>
      <w:r w:rsidR="00CD52EA" w:rsidRPr="002029FF">
        <w:rPr>
          <w:szCs w:val="22"/>
        </w:rPr>
        <w:t>with</w:t>
      </w:r>
      <w:r w:rsidRPr="002029FF">
        <w:rPr>
          <w:szCs w:val="22"/>
        </w:rPr>
        <w:t xml:space="preserve"> Comirnaty’s </w:t>
      </w:r>
      <w:r w:rsidR="002029FF">
        <w:rPr>
          <w:szCs w:val="22"/>
        </w:rPr>
        <w:t xml:space="preserve">first </w:t>
      </w:r>
      <w:r w:rsidRPr="002029FF">
        <w:rPr>
          <w:szCs w:val="22"/>
        </w:rPr>
        <w:t xml:space="preserve">Emergency Use Authorization </w:t>
      </w:r>
      <w:r w:rsidR="00DD509F">
        <w:rPr>
          <w:szCs w:val="22"/>
        </w:rPr>
        <w:t xml:space="preserve">in 2020 </w:t>
      </w:r>
      <w:r w:rsidRPr="002029FF">
        <w:rPr>
          <w:szCs w:val="22"/>
        </w:rPr>
        <w:t>(USA</w:t>
      </w:r>
      <w:r w:rsidR="00D70C45">
        <w:rPr>
          <w:szCs w:val="22"/>
        </w:rPr>
        <w:t>)</w:t>
      </w:r>
      <w:r w:rsidRPr="002029FF">
        <w:rPr>
          <w:szCs w:val="22"/>
        </w:rPr>
        <w:t xml:space="preserve">. </w:t>
      </w:r>
      <w:r w:rsidR="00AC57C0">
        <w:rPr>
          <w:bCs w:val="0"/>
          <w:szCs w:val="22"/>
        </w:rPr>
        <w:t>This document</w:t>
      </w:r>
      <w:r w:rsidR="00AC57C0" w:rsidRPr="006A074E">
        <w:rPr>
          <w:bCs w:val="0"/>
          <w:szCs w:val="22"/>
        </w:rPr>
        <w:t xml:space="preserve"> </w:t>
      </w:r>
      <w:r w:rsidR="00AC57C0">
        <w:rPr>
          <w:szCs w:val="22"/>
        </w:rPr>
        <w:t>reviews critical pharmacotoxicology and clinical safety package deficiencies evident in overseas regulatory reviews. T</w:t>
      </w:r>
      <w:r w:rsidR="00DD509F">
        <w:rPr>
          <w:szCs w:val="22"/>
        </w:rPr>
        <w:t xml:space="preserve">his helps explain why </w:t>
      </w:r>
      <w:r w:rsidR="002029FF" w:rsidRPr="00F710B6">
        <w:rPr>
          <w:szCs w:val="22"/>
        </w:rPr>
        <w:t>Pfizer</w:t>
      </w:r>
      <w:r w:rsidR="002029FF">
        <w:rPr>
          <w:szCs w:val="22"/>
        </w:rPr>
        <w:t xml:space="preserve"> </w:t>
      </w:r>
      <w:r w:rsidR="00EE267D">
        <w:rPr>
          <w:szCs w:val="22"/>
        </w:rPr>
        <w:t xml:space="preserve">then </w:t>
      </w:r>
      <w:r w:rsidR="002029FF" w:rsidRPr="00F710B6">
        <w:rPr>
          <w:szCs w:val="22"/>
        </w:rPr>
        <w:t xml:space="preserve">struggled to cope with the </w:t>
      </w:r>
      <w:r w:rsidR="002029FF">
        <w:rPr>
          <w:szCs w:val="22"/>
        </w:rPr>
        <w:t xml:space="preserve">sheer </w:t>
      </w:r>
      <w:r w:rsidR="002029FF" w:rsidRPr="00F710B6">
        <w:rPr>
          <w:szCs w:val="22"/>
        </w:rPr>
        <w:t xml:space="preserve">volume of </w:t>
      </w:r>
      <w:r w:rsidR="00ED160F">
        <w:rPr>
          <w:szCs w:val="22"/>
        </w:rPr>
        <w:t xml:space="preserve">Comirnaty </w:t>
      </w:r>
      <w:r w:rsidR="002029FF" w:rsidRPr="00F710B6">
        <w:rPr>
          <w:szCs w:val="22"/>
        </w:rPr>
        <w:t xml:space="preserve">adverse event reports in the first 90 days </w:t>
      </w:r>
      <w:r w:rsidR="00BA6CCC">
        <w:rPr>
          <w:szCs w:val="22"/>
        </w:rPr>
        <w:t>post-</w:t>
      </w:r>
      <w:r w:rsidR="000D4F16">
        <w:rPr>
          <w:szCs w:val="22"/>
        </w:rPr>
        <w:t>launch</w:t>
      </w:r>
      <w:r w:rsidR="00EE267D">
        <w:rPr>
          <w:szCs w:val="22"/>
        </w:rPr>
        <w:t>.</w:t>
      </w:r>
      <w:r w:rsidR="002029FF">
        <w:rPr>
          <w:szCs w:val="22"/>
        </w:rPr>
        <w:t xml:space="preserve"> </w:t>
      </w:r>
      <w:r w:rsidR="00EE267D">
        <w:rPr>
          <w:szCs w:val="22"/>
        </w:rPr>
        <w:t>This</w:t>
      </w:r>
      <w:r w:rsidR="002029FF">
        <w:rPr>
          <w:szCs w:val="22"/>
        </w:rPr>
        <w:t xml:space="preserve"> </w:t>
      </w:r>
      <w:r w:rsidR="00B00B17">
        <w:rPr>
          <w:szCs w:val="22"/>
        </w:rPr>
        <w:t>wa</w:t>
      </w:r>
      <w:r w:rsidR="002029FF">
        <w:rPr>
          <w:szCs w:val="22"/>
        </w:rPr>
        <w:t>s uncharacteristic of a safe vaccine.</w:t>
      </w:r>
      <w:r w:rsidR="002029FF" w:rsidRPr="0095274E">
        <w:rPr>
          <w:szCs w:val="22"/>
        </w:rPr>
        <w:t xml:space="preserve"> </w:t>
      </w:r>
      <w:r w:rsidR="00E34D4C">
        <w:rPr>
          <w:szCs w:val="22"/>
        </w:rPr>
        <w:t>Numerous</w:t>
      </w:r>
      <w:r w:rsidR="00E34D4C" w:rsidRPr="00E34D4C">
        <w:rPr>
          <w:rFonts w:cs="Times New Roman"/>
          <w:szCs w:val="22"/>
        </w:rPr>
        <w:t xml:space="preserve"> </w:t>
      </w:r>
      <w:r w:rsidR="00E34D4C">
        <w:rPr>
          <w:rFonts w:cs="Times New Roman"/>
          <w:szCs w:val="22"/>
        </w:rPr>
        <w:t xml:space="preserve">vaccine-associated enhanced disease </w:t>
      </w:r>
      <w:r w:rsidR="00E34D4C" w:rsidRPr="00E34D4C">
        <w:rPr>
          <w:rFonts w:cs="Times New Roman"/>
          <w:szCs w:val="22"/>
        </w:rPr>
        <w:t>mechanisms</w:t>
      </w:r>
      <w:r w:rsidR="00E34D4C" w:rsidRPr="00A71BD8">
        <w:rPr>
          <w:rFonts w:cs="Times New Roman"/>
          <w:szCs w:val="22"/>
        </w:rPr>
        <w:t xml:space="preserve"> </w:t>
      </w:r>
      <w:r w:rsidR="00E34D4C">
        <w:rPr>
          <w:rFonts w:cs="Times New Roman"/>
          <w:szCs w:val="22"/>
        </w:rPr>
        <w:t xml:space="preserve">are evident </w:t>
      </w:r>
      <w:r w:rsidR="00E34D4C" w:rsidRPr="00A71BD8">
        <w:rPr>
          <w:rFonts w:cs="Times New Roman"/>
          <w:szCs w:val="22"/>
        </w:rPr>
        <w:t xml:space="preserve">by which </w:t>
      </w:r>
      <w:r w:rsidR="00AC57C0">
        <w:rPr>
          <w:rFonts w:cs="Times New Roman"/>
          <w:szCs w:val="22"/>
        </w:rPr>
        <w:t>vaccine</w:t>
      </w:r>
      <w:r w:rsidR="00E34D4C">
        <w:rPr>
          <w:rFonts w:cs="Times New Roman"/>
          <w:szCs w:val="22"/>
        </w:rPr>
        <w:t xml:space="preserve"> </w:t>
      </w:r>
      <w:r w:rsidR="00E34D4C" w:rsidRPr="00A71BD8">
        <w:rPr>
          <w:rFonts w:cs="Times New Roman"/>
          <w:szCs w:val="22"/>
        </w:rPr>
        <w:t xml:space="preserve">spike proteins </w:t>
      </w:r>
      <w:r w:rsidR="00AC57C0">
        <w:rPr>
          <w:rFonts w:cs="Times New Roman"/>
          <w:szCs w:val="22"/>
        </w:rPr>
        <w:t xml:space="preserve">can </w:t>
      </w:r>
      <w:r w:rsidR="00E34D4C" w:rsidRPr="00A71BD8">
        <w:rPr>
          <w:rFonts w:cs="Times New Roman"/>
          <w:szCs w:val="22"/>
        </w:rPr>
        <w:t xml:space="preserve">cause disease or exacerbate </w:t>
      </w:r>
      <w:r w:rsidR="00AC57C0">
        <w:rPr>
          <w:rFonts w:cs="Times New Roman"/>
          <w:szCs w:val="22"/>
        </w:rPr>
        <w:t>comorbidities</w:t>
      </w:r>
      <w:r w:rsidR="00E34D4C">
        <w:rPr>
          <w:rFonts w:cs="Times New Roman"/>
          <w:b/>
          <w:bCs w:val="0"/>
          <w:szCs w:val="22"/>
        </w:rPr>
        <w:t xml:space="preserve"> </w:t>
      </w:r>
      <w:r w:rsidR="00E34D4C" w:rsidRPr="00957C48">
        <w:rPr>
          <w:rFonts w:cs="Times New Roman"/>
          <w:szCs w:val="22"/>
        </w:rPr>
        <w:t>common to severe COVID-</w:t>
      </w:r>
      <w:r w:rsidR="00E34D4C" w:rsidRPr="00957C48">
        <w:rPr>
          <w:rFonts w:cs="Times New Roman"/>
          <w:szCs w:val="22"/>
        </w:rPr>
        <w:lastRenderedPageBreak/>
        <w:t xml:space="preserve">19 </w:t>
      </w:r>
      <w:r w:rsidR="00E34D4C" w:rsidRPr="00E34D4C">
        <w:rPr>
          <w:rFonts w:cs="Times New Roman"/>
          <w:szCs w:val="22"/>
        </w:rPr>
        <w:t>outcomes.</w:t>
      </w:r>
      <w:r w:rsidR="00E34D4C">
        <w:rPr>
          <w:rFonts w:cs="Times New Roman"/>
          <w:b/>
          <w:bCs w:val="0"/>
          <w:szCs w:val="22"/>
        </w:rPr>
        <w:t xml:space="preserve"> </w:t>
      </w:r>
      <w:r w:rsidR="00903778" w:rsidRPr="002772CF">
        <w:rPr>
          <w:bCs w:val="0"/>
          <w:szCs w:val="22"/>
        </w:rPr>
        <w:t>These</w:t>
      </w:r>
      <w:r w:rsidR="00241985">
        <w:rPr>
          <w:bCs w:val="0"/>
          <w:szCs w:val="22"/>
        </w:rPr>
        <w:t xml:space="preserve"> </w:t>
      </w:r>
      <w:r w:rsidR="00903778" w:rsidRPr="002772CF">
        <w:rPr>
          <w:bCs w:val="0"/>
          <w:szCs w:val="22"/>
        </w:rPr>
        <w:t xml:space="preserve">mechanisms place upregulated furin and </w:t>
      </w:r>
      <w:r w:rsidR="003155F7">
        <w:rPr>
          <w:bCs w:val="0"/>
          <w:szCs w:val="22"/>
        </w:rPr>
        <w:t>angiotensin-converting</w:t>
      </w:r>
      <w:r w:rsidR="004A3AFA">
        <w:rPr>
          <w:szCs w:val="22"/>
        </w:rPr>
        <w:t xml:space="preserve"> enzyme-2 </w:t>
      </w:r>
      <w:r w:rsidR="00903778" w:rsidRPr="002772CF">
        <w:rPr>
          <w:bCs w:val="0"/>
          <w:szCs w:val="22"/>
        </w:rPr>
        <w:t>receptors</w:t>
      </w:r>
      <w:r w:rsidR="004A3AFA">
        <w:rPr>
          <w:bCs w:val="0"/>
          <w:szCs w:val="22"/>
        </w:rPr>
        <w:t xml:space="preserve"> (ACE2)</w:t>
      </w:r>
      <w:r w:rsidR="00903778" w:rsidRPr="002772CF">
        <w:rPr>
          <w:bCs w:val="0"/>
          <w:szCs w:val="22"/>
        </w:rPr>
        <w:t xml:space="preserve"> and prevalent comorbidities </w:t>
      </w:r>
      <w:r w:rsidR="00903778">
        <w:rPr>
          <w:bCs w:val="0"/>
          <w:szCs w:val="22"/>
        </w:rPr>
        <w:t xml:space="preserve">in tissues and organs </w:t>
      </w:r>
      <w:r w:rsidR="004043E8">
        <w:rPr>
          <w:bCs w:val="0"/>
          <w:szCs w:val="22"/>
        </w:rPr>
        <w:t xml:space="preserve">common to all three </w:t>
      </w:r>
      <w:r w:rsidR="00903778" w:rsidRPr="002772CF">
        <w:rPr>
          <w:bCs w:val="0"/>
          <w:szCs w:val="22"/>
        </w:rPr>
        <w:t>center</w:t>
      </w:r>
      <w:r w:rsidR="009B7B0C">
        <w:rPr>
          <w:bCs w:val="0"/>
          <w:szCs w:val="22"/>
        </w:rPr>
        <w:t>-</w:t>
      </w:r>
      <w:r w:rsidR="00903778" w:rsidRPr="002772CF">
        <w:rPr>
          <w:bCs w:val="0"/>
          <w:szCs w:val="22"/>
        </w:rPr>
        <w:t>stage</w:t>
      </w:r>
      <w:r w:rsidR="009B7B0C">
        <w:rPr>
          <w:bCs w:val="0"/>
          <w:szCs w:val="22"/>
        </w:rPr>
        <w:t>. At the same time,</w:t>
      </w:r>
      <w:r w:rsidR="00E34D4C" w:rsidRPr="00E34D4C">
        <w:rPr>
          <w:rFonts w:cs="Times New Roman"/>
          <w:szCs w:val="22"/>
        </w:rPr>
        <w:t xml:space="preserve"> </w:t>
      </w:r>
      <w:r w:rsidR="00A76848">
        <w:rPr>
          <w:rFonts w:cs="Times New Roman"/>
          <w:szCs w:val="22"/>
        </w:rPr>
        <w:t>SARS-CoV-2</w:t>
      </w:r>
      <w:r w:rsidR="003155F7">
        <w:rPr>
          <w:rFonts w:cs="Times New Roman"/>
          <w:szCs w:val="22"/>
        </w:rPr>
        <w:t>’s</w:t>
      </w:r>
      <w:r w:rsidR="00A76848">
        <w:rPr>
          <w:rFonts w:cs="Times New Roman"/>
          <w:szCs w:val="22"/>
        </w:rPr>
        <w:t xml:space="preserve"> </w:t>
      </w:r>
      <w:r w:rsidR="003155F7">
        <w:rPr>
          <w:rFonts w:cs="Times New Roman"/>
          <w:szCs w:val="22"/>
        </w:rPr>
        <w:t xml:space="preserve">spike protein </w:t>
      </w:r>
      <w:r w:rsidR="00A76848">
        <w:rPr>
          <w:rFonts w:cs="Times New Roman"/>
          <w:szCs w:val="22"/>
        </w:rPr>
        <w:t>provide</w:t>
      </w:r>
      <w:r w:rsidR="002B3CDD">
        <w:rPr>
          <w:rFonts w:cs="Times New Roman"/>
          <w:szCs w:val="22"/>
        </w:rPr>
        <w:t>s</w:t>
      </w:r>
      <w:r w:rsidR="00A76848">
        <w:rPr>
          <w:rFonts w:cs="Times New Roman"/>
          <w:szCs w:val="22"/>
        </w:rPr>
        <w:t xml:space="preserve"> its</w:t>
      </w:r>
      <w:r w:rsidR="00A76848">
        <w:rPr>
          <w:szCs w:val="22"/>
        </w:rPr>
        <w:t xml:space="preserve"> </w:t>
      </w:r>
      <w:r w:rsidR="001B1990">
        <w:rPr>
          <w:szCs w:val="22"/>
        </w:rPr>
        <w:t>unique</w:t>
      </w:r>
      <w:r w:rsidR="00547751">
        <w:rPr>
          <w:szCs w:val="22"/>
        </w:rPr>
        <w:t>ly</w:t>
      </w:r>
      <w:r w:rsidR="001B1990">
        <w:rPr>
          <w:szCs w:val="22"/>
        </w:rPr>
        <w:t xml:space="preserve"> </w:t>
      </w:r>
      <w:r w:rsidR="00547751">
        <w:rPr>
          <w:szCs w:val="22"/>
        </w:rPr>
        <w:t xml:space="preserve">encoded </w:t>
      </w:r>
      <w:r w:rsidR="00E306F1">
        <w:rPr>
          <w:szCs w:val="22"/>
        </w:rPr>
        <w:t>furin cleavage site</w:t>
      </w:r>
      <w:r w:rsidR="00DD509F">
        <w:rPr>
          <w:szCs w:val="22"/>
        </w:rPr>
        <w:t xml:space="preserve"> </w:t>
      </w:r>
      <w:r w:rsidR="003155F7">
        <w:rPr>
          <w:szCs w:val="22"/>
        </w:rPr>
        <w:t xml:space="preserve">for </w:t>
      </w:r>
      <w:r w:rsidR="004A3AFA">
        <w:rPr>
          <w:szCs w:val="22"/>
        </w:rPr>
        <w:t xml:space="preserve">the furin </w:t>
      </w:r>
      <w:r w:rsidR="003155F7">
        <w:rPr>
          <w:szCs w:val="22"/>
        </w:rPr>
        <w:t xml:space="preserve">to cleave its S1 and S2 sub-units </w:t>
      </w:r>
      <w:r w:rsidR="004A3AFA">
        <w:rPr>
          <w:szCs w:val="22"/>
        </w:rPr>
        <w:t xml:space="preserve">and </w:t>
      </w:r>
      <w:r w:rsidR="003155F7">
        <w:rPr>
          <w:szCs w:val="22"/>
        </w:rPr>
        <w:t xml:space="preserve">activate its </w:t>
      </w:r>
      <w:r w:rsidR="004A3AFA">
        <w:rPr>
          <w:szCs w:val="22"/>
        </w:rPr>
        <w:t>ACE2-</w:t>
      </w:r>
      <w:r w:rsidR="003155F7">
        <w:rPr>
          <w:szCs w:val="22"/>
        </w:rPr>
        <w:t>receptor-mediated infectivity and pathogenicity.</w:t>
      </w:r>
    </w:p>
    <w:p w14:paraId="5B2386B3" w14:textId="4A1C0AD6" w:rsidR="002029FF" w:rsidRDefault="0030767E" w:rsidP="002029FF">
      <w:pPr>
        <w:rPr>
          <w:szCs w:val="22"/>
        </w:rPr>
      </w:pPr>
      <w:r w:rsidRPr="002029FF">
        <w:rPr>
          <w:szCs w:val="22"/>
        </w:rPr>
        <w:t xml:space="preserve">Of grave concern for global public health is a gain-of-function origin to SARS-CoV-2 is indicated by its spike protein incorporating human infectivity </w:t>
      </w:r>
      <w:r w:rsidR="00482929">
        <w:rPr>
          <w:szCs w:val="22"/>
        </w:rPr>
        <w:t xml:space="preserve">and pathogenicity </w:t>
      </w:r>
      <w:r w:rsidRPr="002029FF">
        <w:rPr>
          <w:szCs w:val="22"/>
        </w:rPr>
        <w:t xml:space="preserve">enhancing features unprecedented in </w:t>
      </w:r>
      <w:r w:rsidR="00622184">
        <w:rPr>
          <w:szCs w:val="22"/>
        </w:rPr>
        <w:t>nature while synthetic biology left its fingerprints</w:t>
      </w:r>
      <w:r w:rsidR="006E7A9D">
        <w:rPr>
          <w:szCs w:val="22"/>
        </w:rPr>
        <w:t xml:space="preserve">. </w:t>
      </w:r>
      <w:r w:rsidR="001B1990">
        <w:rPr>
          <w:szCs w:val="22"/>
        </w:rPr>
        <w:t>Furthermore, t</w:t>
      </w:r>
      <w:r w:rsidRPr="002029FF">
        <w:rPr>
          <w:szCs w:val="22"/>
        </w:rPr>
        <w:t xml:space="preserve">here is </w:t>
      </w:r>
      <w:r w:rsidR="001B1990">
        <w:rPr>
          <w:szCs w:val="22"/>
        </w:rPr>
        <w:t>no</w:t>
      </w:r>
      <w:r w:rsidRPr="002029FF">
        <w:rPr>
          <w:szCs w:val="22"/>
        </w:rPr>
        <w:t xml:space="preserve"> evidence </w:t>
      </w:r>
      <w:r w:rsidR="002029FF">
        <w:rPr>
          <w:szCs w:val="22"/>
        </w:rPr>
        <w:t>supporting</w:t>
      </w:r>
      <w:r w:rsidRPr="002029FF">
        <w:rPr>
          <w:szCs w:val="22"/>
        </w:rPr>
        <w:t xml:space="preserve"> a Wuhan Huanan market </w:t>
      </w:r>
      <w:r w:rsidRPr="002029FF">
        <w:t xml:space="preserve">zoonosis </w:t>
      </w:r>
      <w:r w:rsidR="001B1990">
        <w:rPr>
          <w:szCs w:val="22"/>
        </w:rPr>
        <w:t>because</w:t>
      </w:r>
      <w:r w:rsidR="00D70C45">
        <w:rPr>
          <w:szCs w:val="22"/>
        </w:rPr>
        <w:t xml:space="preserve"> </w:t>
      </w:r>
      <w:r w:rsidR="001B1990">
        <w:rPr>
          <w:szCs w:val="22"/>
        </w:rPr>
        <w:t>no</w:t>
      </w:r>
      <w:r w:rsidR="00D70C45">
        <w:rPr>
          <w:szCs w:val="22"/>
        </w:rPr>
        <w:t xml:space="preserve"> </w:t>
      </w:r>
      <w:r w:rsidRPr="002029FF">
        <w:rPr>
          <w:szCs w:val="22"/>
        </w:rPr>
        <w:t>virus progenitor or animal host</w:t>
      </w:r>
      <w:r w:rsidR="001B1990">
        <w:rPr>
          <w:szCs w:val="22"/>
        </w:rPr>
        <w:t xml:space="preserve"> was </w:t>
      </w:r>
      <w:r w:rsidR="005D1248">
        <w:rPr>
          <w:szCs w:val="22"/>
        </w:rPr>
        <w:t xml:space="preserve">ever </w:t>
      </w:r>
      <w:r w:rsidR="001B1990">
        <w:rPr>
          <w:szCs w:val="22"/>
        </w:rPr>
        <w:t>identified</w:t>
      </w:r>
      <w:r w:rsidRPr="002029FF">
        <w:rPr>
          <w:szCs w:val="22"/>
        </w:rPr>
        <w:t xml:space="preserve">. There are two reasons for detailing a coronavirus gain-of-function origin to SARS-CoV-2. Firstly, </w:t>
      </w:r>
      <w:r w:rsidR="00ED160F">
        <w:rPr>
          <w:szCs w:val="22"/>
        </w:rPr>
        <w:t xml:space="preserve">the negative vaccine </w:t>
      </w:r>
      <w:r w:rsidR="00BA6CCC">
        <w:rPr>
          <w:szCs w:val="22"/>
        </w:rPr>
        <w:t>effectiveness</w:t>
      </w:r>
      <w:r w:rsidR="00ED160F">
        <w:rPr>
          <w:szCs w:val="22"/>
        </w:rPr>
        <w:t xml:space="preserve"> evident </w:t>
      </w:r>
      <w:r w:rsidR="00CC2A33" w:rsidRPr="002029FF">
        <w:rPr>
          <w:szCs w:val="22"/>
        </w:rPr>
        <w:t xml:space="preserve">in </w:t>
      </w:r>
      <w:r w:rsidRPr="002029FF">
        <w:rPr>
          <w:szCs w:val="22"/>
        </w:rPr>
        <w:t>government</w:t>
      </w:r>
      <w:r w:rsidR="00DE6D41">
        <w:rPr>
          <w:szCs w:val="22"/>
        </w:rPr>
        <w:t>s’</w:t>
      </w:r>
      <w:r w:rsidRPr="002029FF">
        <w:rPr>
          <w:szCs w:val="22"/>
        </w:rPr>
        <w:t xml:space="preserve"> </w:t>
      </w:r>
      <w:r w:rsidR="006E7A9D">
        <w:rPr>
          <w:szCs w:val="22"/>
        </w:rPr>
        <w:t xml:space="preserve">COVID-19 </w:t>
      </w:r>
      <w:r w:rsidRPr="002029FF">
        <w:rPr>
          <w:szCs w:val="22"/>
        </w:rPr>
        <w:t xml:space="preserve">surveillance </w:t>
      </w:r>
      <w:r w:rsidR="006E7A9D">
        <w:rPr>
          <w:szCs w:val="22"/>
        </w:rPr>
        <w:t xml:space="preserve">data </w:t>
      </w:r>
      <w:r w:rsidR="00ED160F">
        <w:rPr>
          <w:szCs w:val="22"/>
        </w:rPr>
        <w:t xml:space="preserve">could have been </w:t>
      </w:r>
      <w:r w:rsidR="00A914AF">
        <w:rPr>
          <w:szCs w:val="22"/>
        </w:rPr>
        <w:t>enhanced</w:t>
      </w:r>
      <w:r w:rsidR="00ED160F">
        <w:rPr>
          <w:szCs w:val="22"/>
        </w:rPr>
        <w:t xml:space="preserve"> </w:t>
      </w:r>
      <w:r w:rsidRPr="002029FF">
        <w:rPr>
          <w:szCs w:val="22"/>
        </w:rPr>
        <w:t>by a genetically modified SARS-CoV-2</w:t>
      </w:r>
      <w:r w:rsidR="002029FF">
        <w:rPr>
          <w:szCs w:val="22"/>
        </w:rPr>
        <w:t>. S</w:t>
      </w:r>
      <w:r w:rsidRPr="002029FF">
        <w:rPr>
          <w:szCs w:val="22"/>
        </w:rPr>
        <w:t xml:space="preserve">econdly, the world </w:t>
      </w:r>
      <w:r w:rsidR="00AA0A95">
        <w:rPr>
          <w:szCs w:val="22"/>
        </w:rPr>
        <w:t>will be</w:t>
      </w:r>
      <w:r w:rsidRPr="002029FF">
        <w:rPr>
          <w:szCs w:val="22"/>
        </w:rPr>
        <w:t xml:space="preserve"> left vulnerable to future pandemics if there was no accidental release from the Wuhan Institute of Virology. </w:t>
      </w:r>
      <w:r w:rsidR="006E7A9D">
        <w:rPr>
          <w:szCs w:val="22"/>
        </w:rPr>
        <w:t>A</w:t>
      </w:r>
      <w:r w:rsidRPr="002029FF">
        <w:rPr>
          <w:szCs w:val="22"/>
        </w:rPr>
        <w:t>t least two other potential SARS-CoV-2 origins exist beyond Wuhan</w:t>
      </w:r>
      <w:r w:rsidR="00F95681">
        <w:rPr>
          <w:szCs w:val="22"/>
        </w:rPr>
        <w:t>,</w:t>
      </w:r>
      <w:r w:rsidR="002029FF">
        <w:rPr>
          <w:szCs w:val="22"/>
        </w:rPr>
        <w:t xml:space="preserve"> with one </w:t>
      </w:r>
      <w:r w:rsidR="00B00B17">
        <w:rPr>
          <w:szCs w:val="22"/>
        </w:rPr>
        <w:t xml:space="preserve">of these </w:t>
      </w:r>
      <w:r w:rsidR="00547751">
        <w:rPr>
          <w:szCs w:val="22"/>
        </w:rPr>
        <w:t>potentially involving</w:t>
      </w:r>
      <w:r w:rsidR="006E7A9D">
        <w:rPr>
          <w:szCs w:val="22"/>
        </w:rPr>
        <w:t xml:space="preserve"> a </w:t>
      </w:r>
      <w:r w:rsidR="00A77013">
        <w:rPr>
          <w:szCs w:val="22"/>
        </w:rPr>
        <w:t>WHO</w:t>
      </w:r>
      <w:r w:rsidR="001B1990">
        <w:rPr>
          <w:szCs w:val="22"/>
        </w:rPr>
        <w:t xml:space="preserve">, </w:t>
      </w:r>
      <w:r w:rsidR="006E7A9D">
        <w:rPr>
          <w:szCs w:val="22"/>
        </w:rPr>
        <w:t>Five</w:t>
      </w:r>
      <w:r w:rsidR="000D4F16">
        <w:rPr>
          <w:szCs w:val="22"/>
        </w:rPr>
        <w:t xml:space="preserve"> </w:t>
      </w:r>
      <w:r w:rsidR="006E7A9D">
        <w:rPr>
          <w:szCs w:val="22"/>
        </w:rPr>
        <w:t>Eyes</w:t>
      </w:r>
      <w:r w:rsidR="001B1990">
        <w:rPr>
          <w:szCs w:val="22"/>
        </w:rPr>
        <w:t xml:space="preserve">, and </w:t>
      </w:r>
      <w:r w:rsidR="006E7A9D">
        <w:rPr>
          <w:szCs w:val="22"/>
        </w:rPr>
        <w:t xml:space="preserve">NATO-spearhead </w:t>
      </w:r>
      <w:r w:rsidR="00547751">
        <w:rPr>
          <w:szCs w:val="22"/>
        </w:rPr>
        <w:t xml:space="preserve">member </w:t>
      </w:r>
      <w:r w:rsidR="006E7A9D">
        <w:rPr>
          <w:szCs w:val="22"/>
        </w:rPr>
        <w:t>nation</w:t>
      </w:r>
      <w:r w:rsidR="00547751">
        <w:rPr>
          <w:szCs w:val="22"/>
        </w:rPr>
        <w:t xml:space="preserve"> connected with Ukraine</w:t>
      </w:r>
      <w:r w:rsidR="002029FF">
        <w:rPr>
          <w:szCs w:val="22"/>
        </w:rPr>
        <w:t xml:space="preserve">. </w:t>
      </w:r>
    </w:p>
    <w:p w14:paraId="21D7EB22" w14:textId="2255329B" w:rsidR="002029FF" w:rsidRPr="00AC57C0" w:rsidRDefault="0030767E" w:rsidP="002029FF">
      <w:pPr>
        <w:rPr>
          <w:bCs w:val="0"/>
          <w:szCs w:val="22"/>
        </w:rPr>
      </w:pPr>
      <w:r w:rsidRPr="00766B72">
        <w:rPr>
          <w:szCs w:val="22"/>
        </w:rPr>
        <w:t xml:space="preserve">The </w:t>
      </w:r>
      <w:r w:rsidR="000D4F16" w:rsidRPr="00766B72">
        <w:rPr>
          <w:szCs w:val="22"/>
        </w:rPr>
        <w:t>US D</w:t>
      </w:r>
      <w:r w:rsidR="00A77013">
        <w:rPr>
          <w:szCs w:val="22"/>
        </w:rPr>
        <w:t>epartment of Defense (D</w:t>
      </w:r>
      <w:r w:rsidR="000D4F16" w:rsidRPr="00766B72">
        <w:rPr>
          <w:szCs w:val="22"/>
        </w:rPr>
        <w:t>oD</w:t>
      </w:r>
      <w:r w:rsidR="00A77013">
        <w:rPr>
          <w:szCs w:val="22"/>
        </w:rPr>
        <w:t>)</w:t>
      </w:r>
      <w:r w:rsidR="000D4F16" w:rsidRPr="00766B72">
        <w:rPr>
          <w:szCs w:val="22"/>
        </w:rPr>
        <w:t xml:space="preserve"> </w:t>
      </w:r>
      <w:r w:rsidR="002029FF" w:rsidRPr="00766B72">
        <w:rPr>
          <w:szCs w:val="22"/>
        </w:rPr>
        <w:t xml:space="preserve">and </w:t>
      </w:r>
      <w:r w:rsidR="00A77013">
        <w:rPr>
          <w:szCs w:val="22"/>
        </w:rPr>
        <w:t xml:space="preserve">National </w:t>
      </w:r>
      <w:r w:rsidR="00547751">
        <w:rPr>
          <w:szCs w:val="22"/>
        </w:rPr>
        <w:t xml:space="preserve">Institutes of </w:t>
      </w:r>
      <w:r w:rsidR="00A77013">
        <w:rPr>
          <w:szCs w:val="22"/>
        </w:rPr>
        <w:t>Health (</w:t>
      </w:r>
      <w:r w:rsidR="00A914AF" w:rsidRPr="00766B72">
        <w:rPr>
          <w:szCs w:val="22"/>
        </w:rPr>
        <w:t>NIH</w:t>
      </w:r>
      <w:r w:rsidR="00A77013">
        <w:rPr>
          <w:szCs w:val="22"/>
        </w:rPr>
        <w:t>)</w:t>
      </w:r>
      <w:r w:rsidR="002029FF" w:rsidRPr="00766B72">
        <w:rPr>
          <w:szCs w:val="22"/>
        </w:rPr>
        <w:t xml:space="preserve"> </w:t>
      </w:r>
      <w:r w:rsidR="00CC2A33" w:rsidRPr="00766B72">
        <w:rPr>
          <w:szCs w:val="22"/>
        </w:rPr>
        <w:t>funding of</w:t>
      </w:r>
      <w:r w:rsidRPr="00766B72">
        <w:rPr>
          <w:szCs w:val="22"/>
        </w:rPr>
        <w:t xml:space="preserve"> EcoHealth Alliance (EHA</w:t>
      </w:r>
      <w:r w:rsidR="003B4B01">
        <w:rPr>
          <w:szCs w:val="22"/>
        </w:rPr>
        <w:t>, $69 million</w:t>
      </w:r>
      <w:r w:rsidR="002029FF" w:rsidRPr="00766B72">
        <w:rPr>
          <w:szCs w:val="22"/>
        </w:rPr>
        <w:t xml:space="preserve">) and </w:t>
      </w:r>
      <w:r w:rsidR="006E7A9D" w:rsidRPr="00766B72">
        <w:rPr>
          <w:szCs w:val="22"/>
        </w:rPr>
        <w:t xml:space="preserve">its </w:t>
      </w:r>
      <w:r w:rsidR="002029FF" w:rsidRPr="00766B72">
        <w:rPr>
          <w:szCs w:val="22"/>
        </w:rPr>
        <w:t xml:space="preserve">connections </w:t>
      </w:r>
      <w:r w:rsidR="005A788E" w:rsidRPr="00766B72">
        <w:rPr>
          <w:szCs w:val="22"/>
        </w:rPr>
        <w:t>one</w:t>
      </w:r>
      <w:r w:rsidR="00A77013">
        <w:rPr>
          <w:szCs w:val="22"/>
        </w:rPr>
        <w:t>-</w:t>
      </w:r>
      <w:r w:rsidR="005A788E" w:rsidRPr="00766B72">
        <w:rPr>
          <w:szCs w:val="22"/>
        </w:rPr>
        <w:t>degree</w:t>
      </w:r>
      <w:r w:rsidR="00A77013">
        <w:rPr>
          <w:szCs w:val="22"/>
        </w:rPr>
        <w:t>-</w:t>
      </w:r>
      <w:r w:rsidR="002029FF" w:rsidRPr="00766B72">
        <w:rPr>
          <w:szCs w:val="22"/>
        </w:rPr>
        <w:t xml:space="preserve">removed </w:t>
      </w:r>
      <w:r w:rsidR="000D4F16" w:rsidRPr="00766B72">
        <w:rPr>
          <w:szCs w:val="22"/>
        </w:rPr>
        <w:t>were</w:t>
      </w:r>
      <w:r w:rsidR="002029FF" w:rsidRPr="00766B72">
        <w:rPr>
          <w:szCs w:val="22"/>
        </w:rPr>
        <w:t xml:space="preserve"> scrutinized</w:t>
      </w:r>
      <w:r w:rsidR="005A788E" w:rsidRPr="00766B72">
        <w:rPr>
          <w:szCs w:val="22"/>
        </w:rPr>
        <w:t xml:space="preserve"> </w:t>
      </w:r>
      <w:r w:rsidRPr="00766B72">
        <w:rPr>
          <w:szCs w:val="22"/>
        </w:rPr>
        <w:t xml:space="preserve">because </w:t>
      </w:r>
      <w:r w:rsidR="00CC2A33" w:rsidRPr="00766B72">
        <w:rPr>
          <w:szCs w:val="22"/>
        </w:rPr>
        <w:t>EHA’s</w:t>
      </w:r>
      <w:r w:rsidRPr="00766B72">
        <w:rPr>
          <w:szCs w:val="22"/>
        </w:rPr>
        <w:t xml:space="preserve"> leader led a failed attempt to </w:t>
      </w:r>
      <w:r w:rsidRPr="005D1248">
        <w:rPr>
          <w:i/>
          <w:iCs/>
          <w:szCs w:val="22"/>
        </w:rPr>
        <w:t>cover up</w:t>
      </w:r>
      <w:r w:rsidRPr="00766B72">
        <w:rPr>
          <w:szCs w:val="22"/>
        </w:rPr>
        <w:t xml:space="preserve"> SARS-CoV-2’s gain-of-function origin</w:t>
      </w:r>
      <w:r w:rsidR="005A788E" w:rsidRPr="00766B72">
        <w:rPr>
          <w:szCs w:val="22"/>
        </w:rPr>
        <w:t>.</w:t>
      </w:r>
      <w:r w:rsidR="002029FF" w:rsidRPr="00766B72">
        <w:rPr>
          <w:szCs w:val="22"/>
        </w:rPr>
        <w:t xml:space="preserve"> EHA</w:t>
      </w:r>
      <w:r w:rsidR="009058CD">
        <w:rPr>
          <w:szCs w:val="22"/>
        </w:rPr>
        <w:t xml:space="preserve"> directed</w:t>
      </w:r>
      <w:r w:rsidR="00AC57C0">
        <w:rPr>
          <w:szCs w:val="22"/>
        </w:rPr>
        <w:t xml:space="preserve"> </w:t>
      </w:r>
      <w:r w:rsidR="002029FF" w:rsidRPr="00766B72">
        <w:rPr>
          <w:szCs w:val="22"/>
        </w:rPr>
        <w:t xml:space="preserve">research </w:t>
      </w:r>
      <w:r w:rsidR="009058CD">
        <w:rPr>
          <w:szCs w:val="22"/>
        </w:rPr>
        <w:t xml:space="preserve">that </w:t>
      </w:r>
      <w:r w:rsidR="002029FF" w:rsidRPr="00766B72">
        <w:rPr>
          <w:szCs w:val="22"/>
        </w:rPr>
        <w:t xml:space="preserve">genetically </w:t>
      </w:r>
      <w:r w:rsidR="005A788E" w:rsidRPr="00766B72">
        <w:rPr>
          <w:szCs w:val="22"/>
        </w:rPr>
        <w:t>modified</w:t>
      </w:r>
      <w:r w:rsidR="002029FF" w:rsidRPr="00766B72">
        <w:rPr>
          <w:szCs w:val="22"/>
        </w:rPr>
        <w:t xml:space="preserve"> </w:t>
      </w:r>
      <w:r w:rsidR="00E34D4C" w:rsidRPr="00766B72">
        <w:rPr>
          <w:szCs w:val="22"/>
        </w:rPr>
        <w:t>bat</w:t>
      </w:r>
      <w:r w:rsidR="002029FF" w:rsidRPr="00766B72">
        <w:rPr>
          <w:szCs w:val="22"/>
        </w:rPr>
        <w:t xml:space="preserve"> SARSr-CoVs that could not infect humans so</w:t>
      </w:r>
      <w:r w:rsidR="003C7EEE" w:rsidRPr="00766B72">
        <w:rPr>
          <w:szCs w:val="22"/>
        </w:rPr>
        <w:t xml:space="preserve"> </w:t>
      </w:r>
      <w:r w:rsidR="00A77013">
        <w:rPr>
          <w:szCs w:val="22"/>
        </w:rPr>
        <w:t xml:space="preserve">that </w:t>
      </w:r>
      <w:r w:rsidR="002029FF" w:rsidRPr="00766B72">
        <w:rPr>
          <w:szCs w:val="22"/>
        </w:rPr>
        <w:t>they could. EHA’s</w:t>
      </w:r>
      <w:r w:rsidR="00A914AF" w:rsidRPr="00766B72">
        <w:rPr>
          <w:szCs w:val="22"/>
        </w:rPr>
        <w:t xml:space="preserve"> </w:t>
      </w:r>
      <w:r w:rsidR="000D4F16" w:rsidRPr="00766B72">
        <w:rPr>
          <w:szCs w:val="22"/>
        </w:rPr>
        <w:t>$14</w:t>
      </w:r>
      <w:r w:rsidR="00766B72" w:rsidRPr="00766B72">
        <w:rPr>
          <w:szCs w:val="22"/>
        </w:rPr>
        <w:t>.2</w:t>
      </w:r>
      <w:r w:rsidR="000D4F16" w:rsidRPr="00766B72">
        <w:rPr>
          <w:szCs w:val="22"/>
        </w:rPr>
        <w:t xml:space="preserve"> million </w:t>
      </w:r>
      <w:r w:rsidR="002029FF" w:rsidRPr="00766B72">
        <w:rPr>
          <w:szCs w:val="22"/>
        </w:rPr>
        <w:t xml:space="preserve">funding application to </w:t>
      </w:r>
      <w:r w:rsidR="000D4F16" w:rsidRPr="00766B72">
        <w:rPr>
          <w:szCs w:val="22"/>
        </w:rPr>
        <w:t>the DoD</w:t>
      </w:r>
      <w:r w:rsidR="002029FF" w:rsidRPr="00766B72">
        <w:rPr>
          <w:szCs w:val="22"/>
        </w:rPr>
        <w:t xml:space="preserve"> </w:t>
      </w:r>
      <w:r w:rsidR="000D4F16" w:rsidRPr="00766B72">
        <w:rPr>
          <w:szCs w:val="22"/>
        </w:rPr>
        <w:t xml:space="preserve">in 2018 </w:t>
      </w:r>
      <w:r w:rsidR="005A788E" w:rsidRPr="00766B72">
        <w:rPr>
          <w:szCs w:val="22"/>
        </w:rPr>
        <w:t>showed</w:t>
      </w:r>
      <w:r w:rsidR="002029FF" w:rsidRPr="00766B72">
        <w:rPr>
          <w:szCs w:val="22"/>
        </w:rPr>
        <w:t xml:space="preserve"> its </w:t>
      </w:r>
      <w:r w:rsidR="000D4F16" w:rsidRPr="00766B72">
        <w:rPr>
          <w:szCs w:val="22"/>
        </w:rPr>
        <w:t>intent to</w:t>
      </w:r>
      <w:r w:rsidR="002029FF" w:rsidRPr="00766B72">
        <w:rPr>
          <w:szCs w:val="22"/>
        </w:rPr>
        <w:t xml:space="preserve"> insert </w:t>
      </w:r>
      <w:r w:rsidR="006E7A9D" w:rsidRPr="00766B72">
        <w:rPr>
          <w:szCs w:val="22"/>
        </w:rPr>
        <w:t xml:space="preserve">a </w:t>
      </w:r>
      <w:r w:rsidR="00AC57C0">
        <w:rPr>
          <w:szCs w:val="22"/>
        </w:rPr>
        <w:t xml:space="preserve">codon-optimized </w:t>
      </w:r>
      <w:r w:rsidR="000D4F16" w:rsidRPr="00766B72">
        <w:rPr>
          <w:szCs w:val="22"/>
        </w:rPr>
        <w:t xml:space="preserve">furin cleavage site </w:t>
      </w:r>
      <w:r w:rsidR="00035F08" w:rsidRPr="00766B72">
        <w:rPr>
          <w:szCs w:val="22"/>
        </w:rPr>
        <w:t xml:space="preserve">(FCS) </w:t>
      </w:r>
      <w:r w:rsidR="002029FF" w:rsidRPr="00766B72">
        <w:rPr>
          <w:szCs w:val="22"/>
        </w:rPr>
        <w:t>into bat SARSr-CoVs</w:t>
      </w:r>
      <w:r w:rsidR="00035F08" w:rsidRPr="00766B72">
        <w:rPr>
          <w:szCs w:val="22"/>
        </w:rPr>
        <w:t xml:space="preserve">. </w:t>
      </w:r>
      <w:r w:rsidR="00AC57C0" w:rsidRPr="00766B72">
        <w:rPr>
          <w:szCs w:val="22"/>
        </w:rPr>
        <w:t>A</w:t>
      </w:r>
      <w:r w:rsidR="001B1990">
        <w:rPr>
          <w:szCs w:val="22"/>
        </w:rPr>
        <w:t xml:space="preserve"> uniquely encoded </w:t>
      </w:r>
      <w:r w:rsidR="003F2921">
        <w:rPr>
          <w:szCs w:val="22"/>
        </w:rPr>
        <w:t>Arginine</w:t>
      </w:r>
      <w:r w:rsidR="00A77013">
        <w:rPr>
          <w:szCs w:val="22"/>
        </w:rPr>
        <w:t>-</w:t>
      </w:r>
      <w:r w:rsidR="003F2921">
        <w:rPr>
          <w:szCs w:val="22"/>
        </w:rPr>
        <w:t xml:space="preserve">doublet containing </w:t>
      </w:r>
      <w:r w:rsidR="00035F08" w:rsidRPr="00766B72">
        <w:rPr>
          <w:szCs w:val="22"/>
        </w:rPr>
        <w:t xml:space="preserve">FCS </w:t>
      </w:r>
      <w:r w:rsidR="001B1990">
        <w:rPr>
          <w:szCs w:val="22"/>
        </w:rPr>
        <w:t xml:space="preserve">now </w:t>
      </w:r>
      <w:r w:rsidR="006D3AB1">
        <w:rPr>
          <w:szCs w:val="22"/>
        </w:rPr>
        <w:t>sits between</w:t>
      </w:r>
      <w:r w:rsidR="000D4F16" w:rsidRPr="00766B72">
        <w:rPr>
          <w:szCs w:val="22"/>
        </w:rPr>
        <w:t xml:space="preserve"> </w:t>
      </w:r>
      <w:r w:rsidR="002029FF" w:rsidRPr="00766B72">
        <w:rPr>
          <w:szCs w:val="22"/>
        </w:rPr>
        <w:t>SARS-CoV-2</w:t>
      </w:r>
      <w:r w:rsidR="006E7A9D" w:rsidRPr="00766B72">
        <w:rPr>
          <w:szCs w:val="22"/>
        </w:rPr>
        <w:t>’s</w:t>
      </w:r>
      <w:r w:rsidR="000D4F16" w:rsidRPr="00766B72">
        <w:rPr>
          <w:szCs w:val="22"/>
        </w:rPr>
        <w:t xml:space="preserve"> </w:t>
      </w:r>
      <w:r w:rsidR="006D3AB1">
        <w:rPr>
          <w:szCs w:val="22"/>
        </w:rPr>
        <w:t xml:space="preserve">spike protein S1 and S2 sub-units, which </w:t>
      </w:r>
      <w:r w:rsidR="006D3AB1">
        <w:rPr>
          <w:bCs w:val="0"/>
          <w:szCs w:val="22"/>
        </w:rPr>
        <w:t>has</w:t>
      </w:r>
      <w:r w:rsidR="00AC57C0">
        <w:rPr>
          <w:bCs w:val="0"/>
          <w:szCs w:val="22"/>
        </w:rPr>
        <w:t xml:space="preserve"> no</w:t>
      </w:r>
      <w:r w:rsidR="00AC57C0" w:rsidRPr="00540541">
        <w:rPr>
          <w:bCs w:val="0"/>
          <w:szCs w:val="22"/>
        </w:rPr>
        <w:t xml:space="preserve"> </w:t>
      </w:r>
      <w:r w:rsidR="00AC57C0" w:rsidRPr="006A074E">
        <w:rPr>
          <w:bCs w:val="0"/>
          <w:szCs w:val="22"/>
        </w:rPr>
        <w:t>precedent</w:t>
      </w:r>
      <w:r w:rsidR="00AC57C0">
        <w:rPr>
          <w:bCs w:val="0"/>
          <w:szCs w:val="22"/>
        </w:rPr>
        <w:t xml:space="preserve"> in </w:t>
      </w:r>
      <w:r w:rsidR="006D3AB1">
        <w:rPr>
          <w:bCs w:val="0"/>
          <w:szCs w:val="22"/>
        </w:rPr>
        <w:t>known viruses</w:t>
      </w:r>
      <w:r w:rsidR="00547751">
        <w:rPr>
          <w:bCs w:val="0"/>
          <w:szCs w:val="22"/>
        </w:rPr>
        <w:t xml:space="preserve"> and may have infringed patents</w:t>
      </w:r>
      <w:r w:rsidR="00AC57C0">
        <w:rPr>
          <w:bCs w:val="0"/>
          <w:szCs w:val="22"/>
        </w:rPr>
        <w:t xml:space="preserve">. </w:t>
      </w:r>
      <w:r>
        <w:rPr>
          <w:szCs w:val="22"/>
        </w:rPr>
        <w:t xml:space="preserve">Besides EHA’s long-standing collaborations with </w:t>
      </w:r>
      <w:r w:rsidR="002029FF">
        <w:rPr>
          <w:szCs w:val="22"/>
        </w:rPr>
        <w:t>two coronavirus gain-of-function research epicenters in the USA and China</w:t>
      </w:r>
      <w:r>
        <w:rPr>
          <w:szCs w:val="22"/>
        </w:rPr>
        <w:t>, it had another</w:t>
      </w:r>
      <w:r w:rsidR="002029FF">
        <w:rPr>
          <w:szCs w:val="22"/>
        </w:rPr>
        <w:t xml:space="preserve"> with Metabiota</w:t>
      </w:r>
      <w:r>
        <w:rPr>
          <w:szCs w:val="22"/>
        </w:rPr>
        <w:t xml:space="preserve">. </w:t>
      </w:r>
      <w:r w:rsidR="002029FF">
        <w:rPr>
          <w:szCs w:val="22"/>
        </w:rPr>
        <w:t xml:space="preserve">Metabiota’s </w:t>
      </w:r>
      <w:r w:rsidR="00ED160F">
        <w:rPr>
          <w:szCs w:val="22"/>
        </w:rPr>
        <w:t xml:space="preserve">Series-A </w:t>
      </w:r>
      <w:r w:rsidR="002029FF">
        <w:rPr>
          <w:szCs w:val="22"/>
        </w:rPr>
        <w:t xml:space="preserve">lead </w:t>
      </w:r>
      <w:r w:rsidR="002029FF" w:rsidRPr="002029FF">
        <w:rPr>
          <w:szCs w:val="22"/>
        </w:rPr>
        <w:t xml:space="preserve">investor </w:t>
      </w:r>
      <w:r w:rsidR="00ED160F">
        <w:rPr>
          <w:szCs w:val="22"/>
        </w:rPr>
        <w:t>wa</w:t>
      </w:r>
      <w:r w:rsidR="002029FF" w:rsidRPr="002029FF">
        <w:rPr>
          <w:szCs w:val="22"/>
        </w:rPr>
        <w:t>s</w:t>
      </w:r>
      <w:r w:rsidRPr="002029FF">
        <w:rPr>
          <w:szCs w:val="22"/>
        </w:rPr>
        <w:t xml:space="preserve"> </w:t>
      </w:r>
      <w:r w:rsidR="002029FF">
        <w:rPr>
          <w:szCs w:val="22"/>
        </w:rPr>
        <w:t xml:space="preserve">a </w:t>
      </w:r>
      <w:r w:rsidRPr="002029FF">
        <w:rPr>
          <w:szCs w:val="22"/>
        </w:rPr>
        <w:t>Hunter Biden part-owned</w:t>
      </w:r>
      <w:r>
        <w:rPr>
          <w:szCs w:val="22"/>
        </w:rPr>
        <w:t xml:space="preserve"> investment firm. </w:t>
      </w:r>
      <w:r w:rsidR="00547751">
        <w:rPr>
          <w:szCs w:val="22"/>
        </w:rPr>
        <w:t xml:space="preserve">The DoD-funded </w:t>
      </w:r>
      <w:r>
        <w:rPr>
          <w:szCs w:val="22"/>
        </w:rPr>
        <w:t xml:space="preserve">Metabiota </w:t>
      </w:r>
      <w:r w:rsidRPr="00BD4BBB">
        <w:rPr>
          <w:szCs w:val="22"/>
        </w:rPr>
        <w:t>operat</w:t>
      </w:r>
      <w:r>
        <w:rPr>
          <w:szCs w:val="22"/>
        </w:rPr>
        <w:t>e</w:t>
      </w:r>
      <w:r w:rsidR="00ED160F">
        <w:rPr>
          <w:szCs w:val="22"/>
        </w:rPr>
        <w:t>d</w:t>
      </w:r>
      <w:r w:rsidRPr="00BD4BBB">
        <w:rPr>
          <w:szCs w:val="22"/>
        </w:rPr>
        <w:t xml:space="preserve"> </w:t>
      </w:r>
      <w:r>
        <w:rPr>
          <w:szCs w:val="22"/>
        </w:rPr>
        <w:t>in Pentagon</w:t>
      </w:r>
      <w:r w:rsidRPr="00BD4BBB">
        <w:rPr>
          <w:szCs w:val="22"/>
        </w:rPr>
        <w:t xml:space="preserve"> Biolabs in Ukraine</w:t>
      </w:r>
      <w:r w:rsidR="00547751">
        <w:rPr>
          <w:szCs w:val="22"/>
        </w:rPr>
        <w:t xml:space="preserve"> </w:t>
      </w:r>
      <w:r w:rsidR="002029FF">
        <w:rPr>
          <w:szCs w:val="22"/>
        </w:rPr>
        <w:t xml:space="preserve">and </w:t>
      </w:r>
      <w:r w:rsidR="00BA6CCC">
        <w:rPr>
          <w:szCs w:val="22"/>
        </w:rPr>
        <w:t>US-funded</w:t>
      </w:r>
      <w:r w:rsidR="002029FF">
        <w:rPr>
          <w:szCs w:val="22"/>
        </w:rPr>
        <w:t xml:space="preserve"> Biolabs</w:t>
      </w:r>
      <w:r w:rsidR="002029FF" w:rsidRPr="002029FF">
        <w:rPr>
          <w:szCs w:val="22"/>
        </w:rPr>
        <w:t xml:space="preserve"> </w:t>
      </w:r>
      <w:r w:rsidR="002029FF">
        <w:rPr>
          <w:szCs w:val="22"/>
        </w:rPr>
        <w:t>in Cameroon and researche</w:t>
      </w:r>
      <w:r w:rsidR="00ED160F">
        <w:rPr>
          <w:szCs w:val="22"/>
        </w:rPr>
        <w:t>d</w:t>
      </w:r>
      <w:r w:rsidRPr="002029FF">
        <w:rPr>
          <w:szCs w:val="22"/>
        </w:rPr>
        <w:t xml:space="preserve"> corona-, monkeypox-, influenza-, and </w:t>
      </w:r>
      <w:r w:rsidR="009058CD">
        <w:rPr>
          <w:szCs w:val="22"/>
        </w:rPr>
        <w:t>Ebola viruses</w:t>
      </w:r>
      <w:r w:rsidR="002029FF">
        <w:rPr>
          <w:szCs w:val="22"/>
        </w:rPr>
        <w:t xml:space="preserve">. </w:t>
      </w:r>
      <w:r w:rsidR="002029FF" w:rsidRPr="00186BB9">
        <w:rPr>
          <w:rFonts w:cs="Times New Roman"/>
        </w:rPr>
        <w:t xml:space="preserve">Metabiota </w:t>
      </w:r>
      <w:r w:rsidR="002029FF">
        <w:rPr>
          <w:rFonts w:cs="Times New Roman"/>
        </w:rPr>
        <w:t xml:space="preserve">has </w:t>
      </w:r>
      <w:r w:rsidR="002029FF" w:rsidRPr="00186BB9">
        <w:rPr>
          <w:rFonts w:cs="Times New Roman"/>
        </w:rPr>
        <w:t>implement</w:t>
      </w:r>
      <w:r w:rsidR="002029FF">
        <w:rPr>
          <w:rFonts w:cs="Times New Roman"/>
        </w:rPr>
        <w:t>ed</w:t>
      </w:r>
      <w:r w:rsidR="002029FF" w:rsidRPr="00186BB9">
        <w:rPr>
          <w:rFonts w:cs="Times New Roman"/>
        </w:rPr>
        <w:t xml:space="preserve"> </w:t>
      </w:r>
      <w:r w:rsidR="002029FF">
        <w:rPr>
          <w:rFonts w:cs="Times New Roman"/>
        </w:rPr>
        <w:t xml:space="preserve">major </w:t>
      </w:r>
      <w:r w:rsidR="005A788E">
        <w:rPr>
          <w:rFonts w:cs="Times New Roman"/>
        </w:rPr>
        <w:t>DoD</w:t>
      </w:r>
      <w:r w:rsidR="002029FF">
        <w:rPr>
          <w:rFonts w:cs="Times New Roman"/>
        </w:rPr>
        <w:t xml:space="preserve"> and </w:t>
      </w:r>
      <w:r w:rsidR="002029FF" w:rsidRPr="002029FF">
        <w:rPr>
          <w:rFonts w:cs="Times New Roman"/>
        </w:rPr>
        <w:t xml:space="preserve">Homeland Security contracts across Central Africa while its </w:t>
      </w:r>
      <w:r w:rsidR="00AA0A95">
        <w:rPr>
          <w:rFonts w:cs="Times New Roman"/>
        </w:rPr>
        <w:t xml:space="preserve">surveillance </w:t>
      </w:r>
      <w:r w:rsidR="002029FF" w:rsidRPr="002029FF">
        <w:rPr>
          <w:rFonts w:cs="Times New Roman"/>
        </w:rPr>
        <w:t>role in Sierra Leone</w:t>
      </w:r>
      <w:r w:rsidR="00AA0A95">
        <w:rPr>
          <w:rFonts w:cs="Times New Roman"/>
        </w:rPr>
        <w:t>’s</w:t>
      </w:r>
      <w:r w:rsidR="002029FF" w:rsidRPr="002029FF">
        <w:rPr>
          <w:rFonts w:cs="Times New Roman"/>
        </w:rPr>
        <w:t xml:space="preserve"> Ebola outbreak </w:t>
      </w:r>
      <w:r w:rsidR="00ED160F">
        <w:rPr>
          <w:rFonts w:cs="Times New Roman"/>
        </w:rPr>
        <w:t xml:space="preserve">in 2014 </w:t>
      </w:r>
      <w:r w:rsidR="002029FF" w:rsidRPr="002029FF">
        <w:rPr>
          <w:rFonts w:cs="Times New Roman"/>
        </w:rPr>
        <w:t xml:space="preserve">created </w:t>
      </w:r>
      <w:r w:rsidR="00AA0A95">
        <w:rPr>
          <w:rFonts w:cs="Times New Roman"/>
        </w:rPr>
        <w:t>significant</w:t>
      </w:r>
      <w:r w:rsidR="002029FF" w:rsidRPr="002029FF">
        <w:rPr>
          <w:rFonts w:cs="Times New Roman"/>
        </w:rPr>
        <w:t xml:space="preserve"> controversies.</w:t>
      </w:r>
    </w:p>
    <w:p w14:paraId="5EF0C3DF" w14:textId="1433746B" w:rsidR="0030767E" w:rsidRDefault="000601C3" w:rsidP="00AC57C0">
      <w:pPr>
        <w:rPr>
          <w:szCs w:val="22"/>
        </w:rPr>
      </w:pPr>
      <w:r>
        <w:rPr>
          <w:szCs w:val="22"/>
        </w:rPr>
        <w:t xml:space="preserve">You are requested </w:t>
      </w:r>
      <w:r w:rsidR="00ED160F">
        <w:rPr>
          <w:szCs w:val="22"/>
        </w:rPr>
        <w:t>to</w:t>
      </w:r>
      <w:r w:rsidR="00AC57C0" w:rsidRPr="00AC57C0">
        <w:rPr>
          <w:szCs w:val="22"/>
        </w:rPr>
        <w:t xml:space="preserve"> </w:t>
      </w:r>
      <w:r w:rsidR="00AC57C0">
        <w:rPr>
          <w:szCs w:val="22"/>
        </w:rPr>
        <w:t>investigate:</w:t>
      </w:r>
      <w:r w:rsidR="00ED160F">
        <w:rPr>
          <w:szCs w:val="22"/>
        </w:rPr>
        <w:t xml:space="preserve"> </w:t>
      </w:r>
      <w:r w:rsidR="00AC57C0">
        <w:rPr>
          <w:szCs w:val="22"/>
        </w:rPr>
        <w:t xml:space="preserve">(1) </w:t>
      </w:r>
      <w:r w:rsidR="006D3AB1">
        <w:rPr>
          <w:szCs w:val="22"/>
        </w:rPr>
        <w:t xml:space="preserve">this New Zealand </w:t>
      </w:r>
      <w:r w:rsidR="00AC57C0">
        <w:rPr>
          <w:szCs w:val="22"/>
        </w:rPr>
        <w:t>and overseas</w:t>
      </w:r>
      <w:r w:rsidR="002029FF">
        <w:rPr>
          <w:szCs w:val="22"/>
        </w:rPr>
        <w:t xml:space="preserve"> </w:t>
      </w:r>
      <w:r w:rsidR="00AC57C0">
        <w:rPr>
          <w:szCs w:val="22"/>
        </w:rPr>
        <w:t xml:space="preserve">evidence for </w:t>
      </w:r>
      <w:r w:rsidR="002029FF">
        <w:rPr>
          <w:szCs w:val="22"/>
        </w:rPr>
        <w:t>negative vaccine effectiveness</w:t>
      </w:r>
      <w:r w:rsidR="00A77013">
        <w:rPr>
          <w:szCs w:val="22"/>
        </w:rPr>
        <w:t xml:space="preserve">, </w:t>
      </w:r>
      <w:r w:rsidR="00AC57C0">
        <w:rPr>
          <w:szCs w:val="22"/>
        </w:rPr>
        <w:t>vaccine failure</w:t>
      </w:r>
      <w:r w:rsidR="00A77013">
        <w:rPr>
          <w:szCs w:val="22"/>
        </w:rPr>
        <w:t xml:space="preserve">, and toxic </w:t>
      </w:r>
      <w:r w:rsidR="00587CF5">
        <w:rPr>
          <w:szCs w:val="22"/>
        </w:rPr>
        <w:t xml:space="preserve">vaccine </w:t>
      </w:r>
      <w:r w:rsidR="00A77013">
        <w:rPr>
          <w:szCs w:val="22"/>
        </w:rPr>
        <w:t>lots</w:t>
      </w:r>
      <w:r w:rsidR="002029FF">
        <w:rPr>
          <w:szCs w:val="22"/>
        </w:rPr>
        <w:t xml:space="preserve">, </w:t>
      </w:r>
      <w:r w:rsidR="00AC57C0">
        <w:rPr>
          <w:szCs w:val="22"/>
        </w:rPr>
        <w:t xml:space="preserve">(2) </w:t>
      </w:r>
      <w:r w:rsidR="00BD20E7">
        <w:rPr>
          <w:szCs w:val="22"/>
        </w:rPr>
        <w:t xml:space="preserve">the </w:t>
      </w:r>
      <w:r w:rsidR="00482929">
        <w:rPr>
          <w:szCs w:val="22"/>
        </w:rPr>
        <w:t xml:space="preserve">statistical </w:t>
      </w:r>
      <w:r w:rsidR="00BD20E7">
        <w:rPr>
          <w:szCs w:val="22"/>
        </w:rPr>
        <w:t xml:space="preserve">biases </w:t>
      </w:r>
      <w:r w:rsidR="00BD20E7">
        <w:rPr>
          <w:bCs w:val="0"/>
          <w:szCs w:val="22"/>
        </w:rPr>
        <w:t>evident in</w:t>
      </w:r>
      <w:r w:rsidR="00BD20E7">
        <w:rPr>
          <w:szCs w:val="22"/>
        </w:rPr>
        <w:t xml:space="preserve"> the </w:t>
      </w:r>
      <w:r w:rsidR="005D1248">
        <w:rPr>
          <w:szCs w:val="22"/>
        </w:rPr>
        <w:t>MoH</w:t>
      </w:r>
      <w:r w:rsidR="00BD20E7">
        <w:rPr>
          <w:szCs w:val="22"/>
        </w:rPr>
        <w:t xml:space="preserve"> and other healthcare agencies</w:t>
      </w:r>
      <w:r w:rsidR="00BD20E7">
        <w:rPr>
          <w:bCs w:val="0"/>
          <w:szCs w:val="22"/>
        </w:rPr>
        <w:t xml:space="preserve">’ </w:t>
      </w:r>
      <w:r w:rsidR="00BD20E7">
        <w:rPr>
          <w:szCs w:val="22"/>
        </w:rPr>
        <w:t>calculable unvaccinated COVID-19 case rates</w:t>
      </w:r>
      <w:r w:rsidR="003B4B01">
        <w:rPr>
          <w:szCs w:val="22"/>
        </w:rPr>
        <w:t xml:space="preserve">, which </w:t>
      </w:r>
      <w:r w:rsidR="00AA0A95">
        <w:rPr>
          <w:szCs w:val="22"/>
        </w:rPr>
        <w:t>essentially</w:t>
      </w:r>
      <w:r w:rsidR="003B4B01">
        <w:rPr>
          <w:szCs w:val="22"/>
        </w:rPr>
        <w:t xml:space="preserve"> eliminated the negative vaccine effectiveness</w:t>
      </w:r>
      <w:r w:rsidR="00482929">
        <w:rPr>
          <w:szCs w:val="22"/>
        </w:rPr>
        <w:t xml:space="preserve"> signal</w:t>
      </w:r>
      <w:r w:rsidR="002029FF">
        <w:rPr>
          <w:szCs w:val="22"/>
        </w:rPr>
        <w:t xml:space="preserve">, </w:t>
      </w:r>
      <w:r w:rsidR="00AC57C0">
        <w:rPr>
          <w:szCs w:val="22"/>
        </w:rPr>
        <w:t xml:space="preserve">(3) </w:t>
      </w:r>
      <w:r w:rsidR="008549E8">
        <w:rPr>
          <w:szCs w:val="22"/>
        </w:rPr>
        <w:t xml:space="preserve">the role of COVID-19 vaccination in </w:t>
      </w:r>
      <w:r w:rsidR="008549E8" w:rsidRPr="005D1248">
        <w:rPr>
          <w:i/>
          <w:iCs/>
          <w:szCs w:val="22"/>
        </w:rPr>
        <w:t>exacerbating</w:t>
      </w:r>
      <w:r w:rsidR="008549E8">
        <w:rPr>
          <w:szCs w:val="22"/>
        </w:rPr>
        <w:t xml:space="preserve"> comorbidities most frequently associated with </w:t>
      </w:r>
      <w:r w:rsidR="002E16CD">
        <w:rPr>
          <w:bCs w:val="0"/>
          <w:szCs w:val="22"/>
        </w:rPr>
        <w:t>serious-</w:t>
      </w:r>
      <w:r w:rsidR="002E16CD" w:rsidRPr="00B04D36">
        <w:rPr>
          <w:szCs w:val="22"/>
        </w:rPr>
        <w:t xml:space="preserve">severe COVID-19 </w:t>
      </w:r>
      <w:r w:rsidR="002E16CD">
        <w:rPr>
          <w:bCs w:val="0"/>
          <w:szCs w:val="22"/>
        </w:rPr>
        <w:t>outcomes</w:t>
      </w:r>
      <w:r w:rsidR="00AC57C0">
        <w:rPr>
          <w:szCs w:val="22"/>
        </w:rPr>
        <w:t>, (4)</w:t>
      </w:r>
      <w:r w:rsidR="00AC57C0" w:rsidRPr="00AC57C0">
        <w:rPr>
          <w:szCs w:val="22"/>
        </w:rPr>
        <w:t xml:space="preserve"> </w:t>
      </w:r>
      <w:r w:rsidR="00AC57C0">
        <w:rPr>
          <w:szCs w:val="22"/>
        </w:rPr>
        <w:t xml:space="preserve">SARS-CoV-2’s gain-of-function origin while </w:t>
      </w:r>
      <w:r w:rsidR="00033DA3">
        <w:rPr>
          <w:szCs w:val="22"/>
        </w:rPr>
        <w:t xml:space="preserve">internationally </w:t>
      </w:r>
      <w:r w:rsidR="00044134">
        <w:rPr>
          <w:szCs w:val="22"/>
        </w:rPr>
        <w:t>championing</w:t>
      </w:r>
      <w:r w:rsidR="00AC57C0">
        <w:rPr>
          <w:szCs w:val="22"/>
        </w:rPr>
        <w:t xml:space="preserve"> </w:t>
      </w:r>
      <w:r w:rsidR="00033DA3">
        <w:rPr>
          <w:szCs w:val="22"/>
        </w:rPr>
        <w:t>a</w:t>
      </w:r>
      <w:r w:rsidR="00AC57C0">
        <w:rPr>
          <w:szCs w:val="22"/>
        </w:rPr>
        <w:t xml:space="preserve"> punitive </w:t>
      </w:r>
      <w:r w:rsidR="00AC57C0" w:rsidRPr="00F01452">
        <w:rPr>
          <w:szCs w:val="22"/>
        </w:rPr>
        <w:t>global ban</w:t>
      </w:r>
      <w:r w:rsidR="00AC57C0">
        <w:rPr>
          <w:szCs w:val="22"/>
        </w:rPr>
        <w:t xml:space="preserve"> on gain-of-function R&amp;D, and (5) the </w:t>
      </w:r>
      <w:r w:rsidR="00AC57C0">
        <w:rPr>
          <w:szCs w:val="22"/>
        </w:rPr>
        <w:lastRenderedPageBreak/>
        <w:t xml:space="preserve">conduct of the WHO during COVID-19 linked to seven </w:t>
      </w:r>
      <w:r w:rsidR="00AA0A95">
        <w:rPr>
          <w:szCs w:val="22"/>
        </w:rPr>
        <w:t>critical</w:t>
      </w:r>
      <w:r w:rsidR="00AC57C0">
        <w:rPr>
          <w:szCs w:val="22"/>
        </w:rPr>
        <w:t xml:space="preserve"> points detailed in section 2.7. W</w:t>
      </w:r>
      <w:r w:rsidR="002029FF">
        <w:rPr>
          <w:szCs w:val="22"/>
        </w:rPr>
        <w:t xml:space="preserve">ould you </w:t>
      </w:r>
      <w:r w:rsidR="007E388F">
        <w:rPr>
          <w:szCs w:val="22"/>
        </w:rPr>
        <w:t xml:space="preserve">please </w:t>
      </w:r>
      <w:r w:rsidR="002029FF">
        <w:rPr>
          <w:szCs w:val="22"/>
        </w:rPr>
        <w:t xml:space="preserve">ensure </w:t>
      </w:r>
      <w:r w:rsidR="00F744EB" w:rsidRPr="00236796">
        <w:rPr>
          <w:bCs w:val="0"/>
          <w:szCs w:val="22"/>
        </w:rPr>
        <w:t xml:space="preserve">New Zealanders are </w:t>
      </w:r>
      <w:r w:rsidR="00F744EB" w:rsidRPr="00236796">
        <w:rPr>
          <w:szCs w:val="22"/>
        </w:rPr>
        <w:t xml:space="preserve">updated on their </w:t>
      </w:r>
      <w:r w:rsidR="00F744EB">
        <w:rPr>
          <w:szCs w:val="22"/>
        </w:rPr>
        <w:t xml:space="preserve">recently acquired </w:t>
      </w:r>
      <w:r w:rsidR="00F744EB" w:rsidRPr="00236796">
        <w:rPr>
          <w:szCs w:val="22"/>
        </w:rPr>
        <w:t xml:space="preserve">life-long health risks and that informed consent guidelines </w:t>
      </w:r>
      <w:r w:rsidR="00F744EB">
        <w:rPr>
          <w:szCs w:val="22"/>
        </w:rPr>
        <w:t xml:space="preserve">associated with COVID-19 vaccination </w:t>
      </w:r>
      <w:r w:rsidR="00F744EB" w:rsidRPr="00236796">
        <w:rPr>
          <w:szCs w:val="22"/>
        </w:rPr>
        <w:t xml:space="preserve">be </w:t>
      </w:r>
      <w:r w:rsidR="00F744EB">
        <w:rPr>
          <w:szCs w:val="22"/>
        </w:rPr>
        <w:t xml:space="preserve">urgently </w:t>
      </w:r>
      <w:r w:rsidR="00F744EB" w:rsidRPr="00236796">
        <w:rPr>
          <w:szCs w:val="22"/>
        </w:rPr>
        <w:t>amended?</w:t>
      </w:r>
      <w:r w:rsidR="00AC57C0">
        <w:rPr>
          <w:szCs w:val="22"/>
        </w:rPr>
        <w:t xml:space="preserve"> Would government </w:t>
      </w:r>
      <w:r w:rsidR="007E388F">
        <w:rPr>
          <w:szCs w:val="22"/>
        </w:rPr>
        <w:t xml:space="preserve">please </w:t>
      </w:r>
      <w:r w:rsidR="00AC57C0">
        <w:rPr>
          <w:szCs w:val="22"/>
        </w:rPr>
        <w:t>prioritize</w:t>
      </w:r>
      <w:r w:rsidR="00AC57C0" w:rsidRPr="00AC57C0">
        <w:rPr>
          <w:szCs w:val="22"/>
        </w:rPr>
        <w:t xml:space="preserve"> </w:t>
      </w:r>
      <w:r w:rsidR="00AC57C0" w:rsidRPr="00B04D36">
        <w:rPr>
          <w:szCs w:val="22"/>
        </w:rPr>
        <w:t xml:space="preserve">clinical research into </w:t>
      </w:r>
      <w:r w:rsidR="00AC57C0">
        <w:rPr>
          <w:bCs w:val="0"/>
          <w:szCs w:val="22"/>
        </w:rPr>
        <w:t xml:space="preserve">COVID-19 </w:t>
      </w:r>
      <w:r w:rsidR="00AC57C0" w:rsidRPr="006A074E">
        <w:rPr>
          <w:szCs w:val="22"/>
        </w:rPr>
        <w:t>antibody-dependent enhancement of virus infection</w:t>
      </w:r>
      <w:r w:rsidR="00AC57C0">
        <w:rPr>
          <w:szCs w:val="22"/>
        </w:rPr>
        <w:t xml:space="preserve">, </w:t>
      </w:r>
      <w:r w:rsidR="00AC57C0" w:rsidRPr="006A074E">
        <w:rPr>
          <w:szCs w:val="22"/>
        </w:rPr>
        <w:t>vaccine-associated enhanced disease</w:t>
      </w:r>
      <w:r w:rsidR="00AC57C0">
        <w:rPr>
          <w:szCs w:val="22"/>
        </w:rPr>
        <w:t xml:space="preserve">, and antigenic imprinting </w:t>
      </w:r>
      <w:r w:rsidR="00AC57C0" w:rsidRPr="00B04D36">
        <w:rPr>
          <w:szCs w:val="22"/>
        </w:rPr>
        <w:t xml:space="preserve">in </w:t>
      </w:r>
      <w:r w:rsidR="001E56F6">
        <w:rPr>
          <w:szCs w:val="22"/>
        </w:rPr>
        <w:t xml:space="preserve">the </w:t>
      </w:r>
      <w:r w:rsidR="00AC57C0" w:rsidRPr="00B04D36">
        <w:rPr>
          <w:szCs w:val="22"/>
        </w:rPr>
        <w:t>New Zealand</w:t>
      </w:r>
      <w:r w:rsidR="001E56F6">
        <w:rPr>
          <w:szCs w:val="22"/>
        </w:rPr>
        <w:t xml:space="preserve"> population</w:t>
      </w:r>
      <w:r w:rsidR="00BD20E7">
        <w:rPr>
          <w:szCs w:val="22"/>
        </w:rPr>
        <w:t>?</w:t>
      </w:r>
      <w:r w:rsidR="00AC57C0">
        <w:rPr>
          <w:szCs w:val="22"/>
        </w:rPr>
        <w:t xml:space="preserve"> </w:t>
      </w:r>
      <w:r w:rsidR="0030767E">
        <w:rPr>
          <w:szCs w:val="22"/>
        </w:rPr>
        <w:t>Thank you.</w:t>
      </w:r>
    </w:p>
    <w:p w14:paraId="7F0ADBD7" w14:textId="77777777" w:rsidR="00AC57C0" w:rsidRPr="005242EC" w:rsidRDefault="00AC57C0" w:rsidP="00AC57C0">
      <w:pPr>
        <w:rPr>
          <w:szCs w:val="22"/>
        </w:rPr>
      </w:pPr>
      <w:r w:rsidRPr="005242EC">
        <w:rPr>
          <w:szCs w:val="22"/>
        </w:rPr>
        <w:t>Yours sincerely</w:t>
      </w:r>
    </w:p>
    <w:p w14:paraId="0C4B7E31" w14:textId="77777777" w:rsidR="00F25583" w:rsidRPr="005242EC" w:rsidRDefault="00F25583" w:rsidP="00F25583">
      <w:pPr>
        <w:spacing w:after="0" w:line="240" w:lineRule="auto"/>
        <w:rPr>
          <w:szCs w:val="22"/>
        </w:rPr>
      </w:pPr>
      <w:r w:rsidRPr="005242EC">
        <w:rPr>
          <w:szCs w:val="22"/>
        </w:rPr>
        <w:t xml:space="preserve">Dr. Carlton Brown BVSc </w:t>
      </w:r>
      <w:r>
        <w:rPr>
          <w:bCs w:val="0"/>
          <w:szCs w:val="22"/>
        </w:rPr>
        <w:t xml:space="preserve">(1986, Massey University), </w:t>
      </w:r>
      <w:r w:rsidRPr="005242EC">
        <w:rPr>
          <w:szCs w:val="22"/>
        </w:rPr>
        <w:t>MBA</w:t>
      </w:r>
      <w:r>
        <w:rPr>
          <w:bCs w:val="0"/>
          <w:szCs w:val="22"/>
        </w:rPr>
        <w:t xml:space="preserve"> (1997, London Business School).</w:t>
      </w:r>
    </w:p>
    <w:p w14:paraId="4734DA58" w14:textId="7D87DD86" w:rsidR="00F25583" w:rsidRPr="005242EC" w:rsidRDefault="00F25583" w:rsidP="00F25583">
      <w:pPr>
        <w:spacing w:after="0" w:line="240" w:lineRule="auto"/>
        <w:rPr>
          <w:szCs w:val="22"/>
        </w:rPr>
      </w:pPr>
      <w:r w:rsidRPr="005242EC">
        <w:rPr>
          <w:szCs w:val="22"/>
        </w:rPr>
        <w:t xml:space="preserve">Former CEO </w:t>
      </w:r>
      <w:r>
        <w:rPr>
          <w:bCs w:val="0"/>
          <w:szCs w:val="22"/>
        </w:rPr>
        <w:t xml:space="preserve">and co-innovator at </w:t>
      </w:r>
      <w:r w:rsidRPr="005242EC">
        <w:rPr>
          <w:szCs w:val="22"/>
        </w:rPr>
        <w:t>Immune Targeting Systems Ltd (UK), “Vaccines for Mutating Viruses</w:t>
      </w:r>
      <w:r w:rsidR="00AA0A95">
        <w:rPr>
          <w:szCs w:val="22"/>
        </w:rPr>
        <w:t>.</w:t>
      </w:r>
      <w:r w:rsidRPr="005242EC">
        <w:rPr>
          <w:szCs w:val="22"/>
        </w:rPr>
        <w:t>”</w:t>
      </w:r>
    </w:p>
    <w:p w14:paraId="1F3743C8" w14:textId="77777777" w:rsidR="00810FE4" w:rsidRDefault="00F25583" w:rsidP="00AC57C0">
      <w:pPr>
        <w:spacing w:after="0" w:line="240" w:lineRule="auto"/>
        <w:rPr>
          <w:rFonts w:eastAsiaTheme="majorEastAsia"/>
          <w:szCs w:val="22"/>
        </w:rPr>
      </w:pPr>
      <w:r w:rsidRPr="005242EC">
        <w:rPr>
          <w:szCs w:val="22"/>
        </w:rPr>
        <w:t xml:space="preserve">https://www.linkedin.com/in/carlton-brown-13b66232/, </w:t>
      </w:r>
      <w:r w:rsidRPr="00F25583">
        <w:rPr>
          <w:rFonts w:eastAsiaTheme="majorEastAsia"/>
          <w:szCs w:val="22"/>
        </w:rPr>
        <w:t>https://orcid.org/0000-0003-4871-7521</w:t>
      </w:r>
      <w:r>
        <w:rPr>
          <w:rFonts w:eastAsiaTheme="majorEastAsia"/>
          <w:szCs w:val="22"/>
        </w:rPr>
        <w:t>.</w:t>
      </w:r>
    </w:p>
    <w:p w14:paraId="6A3FCE76" w14:textId="0E54F18A" w:rsidR="00AC57C0" w:rsidRPr="00810FE4" w:rsidRDefault="00810FE4" w:rsidP="00AC57C0">
      <w:pPr>
        <w:spacing w:after="0" w:line="240" w:lineRule="auto"/>
        <w:rPr>
          <w:szCs w:val="22"/>
        </w:rPr>
      </w:pPr>
      <w:r>
        <w:rPr>
          <w:szCs w:val="22"/>
        </w:rPr>
        <w:t>Download</w:t>
      </w:r>
      <w:r w:rsidR="00F946BA">
        <w:rPr>
          <w:szCs w:val="22"/>
        </w:rPr>
        <w:t xml:space="preserve"> </w:t>
      </w:r>
      <w:r>
        <w:rPr>
          <w:szCs w:val="22"/>
        </w:rPr>
        <w:t xml:space="preserve">the evidentiary document: </w:t>
      </w:r>
      <w:hyperlink r:id="rId8" w:history="1">
        <w:r w:rsidR="00153D18" w:rsidRPr="007645C6">
          <w:rPr>
            <w:rStyle w:val="Hyperlink"/>
            <w:szCs w:val="22"/>
          </w:rPr>
          <w:t>https://grandsolarminimum.com/2022/12/01/covid-19-vaccine-harm-evidence/</w:t>
        </w:r>
      </w:hyperlink>
      <w:r w:rsidR="00153D18">
        <w:rPr>
          <w:szCs w:val="22"/>
        </w:rPr>
        <w:t xml:space="preserve"> </w:t>
      </w:r>
      <w:r w:rsidR="00AC57C0" w:rsidRPr="00810FE4">
        <w:rPr>
          <w:szCs w:val="22"/>
        </w:rPr>
        <w:br w:type="page"/>
      </w:r>
    </w:p>
    <w:p w14:paraId="4ED71740" w14:textId="487C7921" w:rsidR="00971B0E" w:rsidRPr="005A5632" w:rsidRDefault="00483568" w:rsidP="005A5632">
      <w:pPr>
        <w:widowControl/>
        <w:spacing w:after="0" w:line="240" w:lineRule="auto"/>
        <w:jc w:val="center"/>
        <w:rPr>
          <w:b/>
          <w:sz w:val="28"/>
          <w:szCs w:val="28"/>
          <w:u w:val="double"/>
        </w:rPr>
      </w:pPr>
      <w:r>
        <w:rPr>
          <w:b/>
          <w:sz w:val="28"/>
          <w:szCs w:val="28"/>
          <w:u w:val="double"/>
        </w:rPr>
        <w:lastRenderedPageBreak/>
        <w:t>TABLE OF CONTENTS</w:t>
      </w:r>
    </w:p>
    <w:p w14:paraId="68A1D839" w14:textId="77777777" w:rsidR="00B0669E" w:rsidRPr="00A27538" w:rsidRDefault="00B0669E" w:rsidP="00B0669E">
      <w:pPr>
        <w:spacing w:after="0" w:line="240" w:lineRule="auto"/>
        <w:jc w:val="center"/>
        <w:rPr>
          <w:szCs w:val="22"/>
        </w:rPr>
      </w:pPr>
    </w:p>
    <w:bookmarkStart w:id="0" w:name="_Toc510678489"/>
    <w:bookmarkStart w:id="1" w:name="_Toc510879993"/>
    <w:bookmarkStart w:id="2" w:name="_Toc512275123"/>
    <w:bookmarkStart w:id="3" w:name="_Toc512360338"/>
    <w:bookmarkStart w:id="4" w:name="_Toc516645022"/>
    <w:p w14:paraId="113D3C80" w14:textId="51F018ED" w:rsidR="003329F4" w:rsidRDefault="00C81435">
      <w:pPr>
        <w:pStyle w:val="TOC1"/>
        <w:rPr>
          <w:rFonts w:eastAsiaTheme="minorEastAsia" w:cstheme="minorBidi"/>
          <w:b w:val="0"/>
          <w:bCs w:val="0"/>
          <w:caps w:val="0"/>
          <w:noProof/>
          <w:sz w:val="24"/>
          <w:szCs w:val="24"/>
          <w:lang w:eastAsia="en-US"/>
        </w:rPr>
      </w:pPr>
      <w:r w:rsidRPr="00E77B51">
        <w:fldChar w:fldCharType="begin"/>
      </w:r>
      <w:r w:rsidRPr="00E77B51">
        <w:instrText xml:space="preserve"> TOC \o "1-3" \h \z \u </w:instrText>
      </w:r>
      <w:r w:rsidRPr="00E77B51">
        <w:fldChar w:fldCharType="separate"/>
      </w:r>
      <w:hyperlink w:anchor="_Toc121035116" w:history="1">
        <w:r w:rsidR="003329F4" w:rsidRPr="004701FB">
          <w:rPr>
            <w:rStyle w:val="Hyperlink"/>
            <w:noProof/>
          </w:rPr>
          <w:t>1</w:t>
        </w:r>
        <w:r w:rsidR="003329F4">
          <w:rPr>
            <w:rFonts w:eastAsiaTheme="minorEastAsia" w:cstheme="minorBidi"/>
            <w:b w:val="0"/>
            <w:bCs w:val="0"/>
            <w:caps w:val="0"/>
            <w:noProof/>
            <w:sz w:val="24"/>
            <w:szCs w:val="24"/>
            <w:lang w:eastAsia="en-US"/>
          </w:rPr>
          <w:tab/>
        </w:r>
        <w:r w:rsidR="003329F4" w:rsidRPr="004701FB">
          <w:rPr>
            <w:rStyle w:val="Hyperlink"/>
            <w:noProof/>
          </w:rPr>
          <w:t>COVID-19 VACCINE INEFFECTIVENESS, HARM &amp; TOXICITY</w:t>
        </w:r>
        <w:r w:rsidR="003329F4">
          <w:rPr>
            <w:noProof/>
            <w:webHidden/>
          </w:rPr>
          <w:tab/>
        </w:r>
        <w:r w:rsidR="003329F4">
          <w:rPr>
            <w:noProof/>
            <w:webHidden/>
          </w:rPr>
          <w:fldChar w:fldCharType="begin"/>
        </w:r>
        <w:r w:rsidR="003329F4">
          <w:rPr>
            <w:noProof/>
            <w:webHidden/>
          </w:rPr>
          <w:instrText xml:space="preserve"> PAGEREF _Toc121035116 \h </w:instrText>
        </w:r>
        <w:r w:rsidR="003329F4">
          <w:rPr>
            <w:noProof/>
            <w:webHidden/>
          </w:rPr>
        </w:r>
        <w:r w:rsidR="003329F4">
          <w:rPr>
            <w:noProof/>
            <w:webHidden/>
          </w:rPr>
          <w:fldChar w:fldCharType="separate"/>
        </w:r>
        <w:r w:rsidR="00421FD6">
          <w:rPr>
            <w:noProof/>
            <w:webHidden/>
          </w:rPr>
          <w:t>6</w:t>
        </w:r>
        <w:r w:rsidR="003329F4">
          <w:rPr>
            <w:noProof/>
            <w:webHidden/>
          </w:rPr>
          <w:fldChar w:fldCharType="end"/>
        </w:r>
      </w:hyperlink>
    </w:p>
    <w:p w14:paraId="7546A295" w14:textId="59B05DFB"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17" w:history="1">
        <w:r w:rsidR="003329F4" w:rsidRPr="004701FB">
          <w:rPr>
            <w:rStyle w:val="Hyperlink"/>
            <w:noProof/>
          </w:rPr>
          <w:t>1.1</w:t>
        </w:r>
        <w:r w:rsidR="003329F4">
          <w:rPr>
            <w:rFonts w:eastAsiaTheme="minorEastAsia" w:cstheme="minorBidi"/>
            <w:smallCaps w:val="0"/>
            <w:noProof/>
            <w:sz w:val="24"/>
            <w:szCs w:val="24"/>
            <w:lang w:eastAsia="en-US"/>
          </w:rPr>
          <w:tab/>
        </w:r>
        <w:r w:rsidR="003329F4" w:rsidRPr="004701FB">
          <w:rPr>
            <w:rStyle w:val="Hyperlink"/>
            <w:noProof/>
          </w:rPr>
          <w:t>Analysis of Government COVID-19 Surveillance Data Demonstrates Negative Vaccine Effectiveness (Global and National Data)</w:t>
        </w:r>
        <w:r w:rsidR="003329F4">
          <w:rPr>
            <w:noProof/>
            <w:webHidden/>
          </w:rPr>
          <w:tab/>
        </w:r>
        <w:r w:rsidR="003329F4">
          <w:rPr>
            <w:noProof/>
            <w:webHidden/>
          </w:rPr>
          <w:fldChar w:fldCharType="begin"/>
        </w:r>
        <w:r w:rsidR="003329F4">
          <w:rPr>
            <w:noProof/>
            <w:webHidden/>
          </w:rPr>
          <w:instrText xml:space="preserve"> PAGEREF _Toc121035117 \h </w:instrText>
        </w:r>
        <w:r w:rsidR="003329F4">
          <w:rPr>
            <w:noProof/>
            <w:webHidden/>
          </w:rPr>
        </w:r>
        <w:r w:rsidR="003329F4">
          <w:rPr>
            <w:noProof/>
            <w:webHidden/>
          </w:rPr>
          <w:fldChar w:fldCharType="separate"/>
        </w:r>
        <w:r w:rsidR="00421FD6">
          <w:rPr>
            <w:noProof/>
            <w:webHidden/>
          </w:rPr>
          <w:t>7</w:t>
        </w:r>
        <w:r w:rsidR="003329F4">
          <w:rPr>
            <w:noProof/>
            <w:webHidden/>
          </w:rPr>
          <w:fldChar w:fldCharType="end"/>
        </w:r>
      </w:hyperlink>
    </w:p>
    <w:p w14:paraId="31D83527" w14:textId="7EE6C410"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18" w:history="1">
        <w:r w:rsidR="003329F4" w:rsidRPr="004701FB">
          <w:rPr>
            <w:rStyle w:val="Hyperlink"/>
            <w:noProof/>
          </w:rPr>
          <w:t>1.1.1</w:t>
        </w:r>
        <w:r w:rsidR="003329F4">
          <w:rPr>
            <w:rFonts w:eastAsiaTheme="minorEastAsia" w:cstheme="minorBidi"/>
            <w:i w:val="0"/>
            <w:iCs w:val="0"/>
            <w:noProof/>
            <w:sz w:val="24"/>
            <w:szCs w:val="24"/>
            <w:lang w:eastAsia="en-US"/>
          </w:rPr>
          <w:tab/>
        </w:r>
        <w:r w:rsidR="003329F4" w:rsidRPr="004701FB">
          <w:rPr>
            <w:rStyle w:val="Hyperlink"/>
            <w:noProof/>
          </w:rPr>
          <w:t>High Rates of COVID-19 Vaccination Quadrupled and Tripled Global Rates of COVID-19 Infection and Death Respectively Over Low Vaccination Rates</w:t>
        </w:r>
        <w:r w:rsidR="003329F4">
          <w:rPr>
            <w:noProof/>
            <w:webHidden/>
          </w:rPr>
          <w:tab/>
        </w:r>
        <w:r w:rsidR="003329F4">
          <w:rPr>
            <w:noProof/>
            <w:webHidden/>
          </w:rPr>
          <w:fldChar w:fldCharType="begin"/>
        </w:r>
        <w:r w:rsidR="003329F4">
          <w:rPr>
            <w:noProof/>
            <w:webHidden/>
          </w:rPr>
          <w:instrText xml:space="preserve"> PAGEREF _Toc121035118 \h </w:instrText>
        </w:r>
        <w:r w:rsidR="003329F4">
          <w:rPr>
            <w:noProof/>
            <w:webHidden/>
          </w:rPr>
        </w:r>
        <w:r w:rsidR="003329F4">
          <w:rPr>
            <w:noProof/>
            <w:webHidden/>
          </w:rPr>
          <w:fldChar w:fldCharType="separate"/>
        </w:r>
        <w:r w:rsidR="00421FD6">
          <w:rPr>
            <w:noProof/>
            <w:webHidden/>
          </w:rPr>
          <w:t>7</w:t>
        </w:r>
        <w:r w:rsidR="003329F4">
          <w:rPr>
            <w:noProof/>
            <w:webHidden/>
          </w:rPr>
          <w:fldChar w:fldCharType="end"/>
        </w:r>
      </w:hyperlink>
    </w:p>
    <w:p w14:paraId="4E7BD8EE" w14:textId="741B1AE3"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19" w:history="1">
        <w:r w:rsidR="003329F4" w:rsidRPr="004701FB">
          <w:rPr>
            <w:rStyle w:val="Hyperlink"/>
            <w:noProof/>
          </w:rPr>
          <w:t>1.1.2</w:t>
        </w:r>
        <w:r w:rsidR="003329F4">
          <w:rPr>
            <w:rFonts w:eastAsiaTheme="minorEastAsia" w:cstheme="minorBidi"/>
            <w:i w:val="0"/>
            <w:iCs w:val="0"/>
            <w:noProof/>
            <w:sz w:val="24"/>
            <w:szCs w:val="24"/>
            <w:lang w:eastAsia="en-US"/>
          </w:rPr>
          <w:tab/>
        </w:r>
        <w:r w:rsidR="003329F4" w:rsidRPr="004701FB">
          <w:rPr>
            <w:rStyle w:val="Hyperlink"/>
            <w:noProof/>
          </w:rPr>
          <w:t>COVID-19 Vaccination Increased COVID-19 Infection Rates Over the Unvaccinated</w:t>
        </w:r>
        <w:r w:rsidR="003329F4">
          <w:rPr>
            <w:noProof/>
            <w:webHidden/>
          </w:rPr>
          <w:tab/>
        </w:r>
        <w:r w:rsidR="003329F4">
          <w:rPr>
            <w:noProof/>
            <w:webHidden/>
          </w:rPr>
          <w:fldChar w:fldCharType="begin"/>
        </w:r>
        <w:r w:rsidR="003329F4">
          <w:rPr>
            <w:noProof/>
            <w:webHidden/>
          </w:rPr>
          <w:instrText xml:space="preserve"> PAGEREF _Toc121035119 \h </w:instrText>
        </w:r>
        <w:r w:rsidR="003329F4">
          <w:rPr>
            <w:noProof/>
            <w:webHidden/>
          </w:rPr>
        </w:r>
        <w:r w:rsidR="003329F4">
          <w:rPr>
            <w:noProof/>
            <w:webHidden/>
          </w:rPr>
          <w:fldChar w:fldCharType="separate"/>
        </w:r>
        <w:r w:rsidR="00421FD6">
          <w:rPr>
            <w:noProof/>
            <w:webHidden/>
          </w:rPr>
          <w:t>9</w:t>
        </w:r>
        <w:r w:rsidR="003329F4">
          <w:rPr>
            <w:noProof/>
            <w:webHidden/>
          </w:rPr>
          <w:fldChar w:fldCharType="end"/>
        </w:r>
      </w:hyperlink>
    </w:p>
    <w:p w14:paraId="003E1268" w14:textId="070752FA"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0" w:history="1">
        <w:r w:rsidR="003329F4" w:rsidRPr="004701FB">
          <w:rPr>
            <w:rStyle w:val="Hyperlink"/>
            <w:noProof/>
          </w:rPr>
          <w:t>1.1.3</w:t>
        </w:r>
        <w:r w:rsidR="003329F4">
          <w:rPr>
            <w:rFonts w:eastAsiaTheme="minorEastAsia" w:cstheme="minorBidi"/>
            <w:i w:val="0"/>
            <w:iCs w:val="0"/>
            <w:noProof/>
            <w:sz w:val="24"/>
            <w:szCs w:val="24"/>
            <w:lang w:eastAsia="en-US"/>
          </w:rPr>
          <w:tab/>
        </w:r>
        <w:r w:rsidR="003329F4" w:rsidRPr="004701FB">
          <w:rPr>
            <w:rStyle w:val="Hyperlink"/>
            <w:noProof/>
          </w:rPr>
          <w:t>COVID-19 Vaccination Increased the Risk of COVID-19 Death Over the Unvaccinated</w:t>
        </w:r>
        <w:r w:rsidR="003329F4">
          <w:rPr>
            <w:noProof/>
            <w:webHidden/>
          </w:rPr>
          <w:tab/>
        </w:r>
        <w:r w:rsidR="003329F4">
          <w:rPr>
            <w:noProof/>
            <w:webHidden/>
          </w:rPr>
          <w:fldChar w:fldCharType="begin"/>
        </w:r>
        <w:r w:rsidR="003329F4">
          <w:rPr>
            <w:noProof/>
            <w:webHidden/>
          </w:rPr>
          <w:instrText xml:space="preserve"> PAGEREF _Toc121035120 \h </w:instrText>
        </w:r>
        <w:r w:rsidR="003329F4">
          <w:rPr>
            <w:noProof/>
            <w:webHidden/>
          </w:rPr>
        </w:r>
        <w:r w:rsidR="003329F4">
          <w:rPr>
            <w:noProof/>
            <w:webHidden/>
          </w:rPr>
          <w:fldChar w:fldCharType="separate"/>
        </w:r>
        <w:r w:rsidR="00421FD6">
          <w:rPr>
            <w:noProof/>
            <w:webHidden/>
          </w:rPr>
          <w:t>10</w:t>
        </w:r>
        <w:r w:rsidR="003329F4">
          <w:rPr>
            <w:noProof/>
            <w:webHidden/>
          </w:rPr>
          <w:fldChar w:fldCharType="end"/>
        </w:r>
      </w:hyperlink>
    </w:p>
    <w:p w14:paraId="6854E17E" w14:textId="076409F8"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1" w:history="1">
        <w:r w:rsidR="003329F4" w:rsidRPr="004701FB">
          <w:rPr>
            <w:rStyle w:val="Hyperlink"/>
            <w:noProof/>
          </w:rPr>
          <w:t>1.1.4</w:t>
        </w:r>
        <w:r w:rsidR="003329F4">
          <w:rPr>
            <w:rFonts w:eastAsiaTheme="minorEastAsia" w:cstheme="minorBidi"/>
            <w:i w:val="0"/>
            <w:iCs w:val="0"/>
            <w:noProof/>
            <w:sz w:val="24"/>
            <w:szCs w:val="24"/>
            <w:lang w:eastAsia="en-US"/>
          </w:rPr>
          <w:tab/>
        </w:r>
        <w:r w:rsidR="003329F4" w:rsidRPr="004701FB">
          <w:rPr>
            <w:rStyle w:val="Hyperlink"/>
            <w:noProof/>
          </w:rPr>
          <w:t>COVID-19 Vaccination Increased the Risk of COVID-19 Hospitalization Over the Unvaccinated</w:t>
        </w:r>
        <w:r w:rsidR="003329F4">
          <w:rPr>
            <w:noProof/>
            <w:webHidden/>
          </w:rPr>
          <w:tab/>
        </w:r>
        <w:r w:rsidR="003329F4">
          <w:rPr>
            <w:noProof/>
            <w:webHidden/>
          </w:rPr>
          <w:fldChar w:fldCharType="begin"/>
        </w:r>
        <w:r w:rsidR="003329F4">
          <w:rPr>
            <w:noProof/>
            <w:webHidden/>
          </w:rPr>
          <w:instrText xml:space="preserve"> PAGEREF _Toc121035121 \h </w:instrText>
        </w:r>
        <w:r w:rsidR="003329F4">
          <w:rPr>
            <w:noProof/>
            <w:webHidden/>
          </w:rPr>
        </w:r>
        <w:r w:rsidR="003329F4">
          <w:rPr>
            <w:noProof/>
            <w:webHidden/>
          </w:rPr>
          <w:fldChar w:fldCharType="separate"/>
        </w:r>
        <w:r w:rsidR="00421FD6">
          <w:rPr>
            <w:noProof/>
            <w:webHidden/>
          </w:rPr>
          <w:t>12</w:t>
        </w:r>
        <w:r w:rsidR="003329F4">
          <w:rPr>
            <w:noProof/>
            <w:webHidden/>
          </w:rPr>
          <w:fldChar w:fldCharType="end"/>
        </w:r>
      </w:hyperlink>
    </w:p>
    <w:p w14:paraId="1B5B8415" w14:textId="415AF6EE"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2" w:history="1">
        <w:r w:rsidR="003329F4" w:rsidRPr="004701FB">
          <w:rPr>
            <w:rStyle w:val="Hyperlink"/>
            <w:noProof/>
          </w:rPr>
          <w:t>1.1.5</w:t>
        </w:r>
        <w:r w:rsidR="003329F4">
          <w:rPr>
            <w:rFonts w:eastAsiaTheme="minorEastAsia" w:cstheme="minorBidi"/>
            <w:i w:val="0"/>
            <w:iCs w:val="0"/>
            <w:noProof/>
            <w:sz w:val="24"/>
            <w:szCs w:val="24"/>
            <w:lang w:eastAsia="en-US"/>
          </w:rPr>
          <w:tab/>
        </w:r>
        <w:r w:rsidR="003329F4" w:rsidRPr="004701FB">
          <w:rPr>
            <w:rStyle w:val="Hyperlink"/>
            <w:noProof/>
          </w:rPr>
          <w:t>Statistical Bias Evident in Healthcare Agencies’ Calculable COVID-19 Case Rates Essentially Eliminated the Negative Vaccine Effectiveness Harm Signal (Data)</w:t>
        </w:r>
        <w:r w:rsidR="003329F4">
          <w:rPr>
            <w:noProof/>
            <w:webHidden/>
          </w:rPr>
          <w:tab/>
        </w:r>
        <w:r w:rsidR="003329F4">
          <w:rPr>
            <w:noProof/>
            <w:webHidden/>
          </w:rPr>
          <w:fldChar w:fldCharType="begin"/>
        </w:r>
        <w:r w:rsidR="003329F4">
          <w:rPr>
            <w:noProof/>
            <w:webHidden/>
          </w:rPr>
          <w:instrText xml:space="preserve"> PAGEREF _Toc121035122 \h </w:instrText>
        </w:r>
        <w:r w:rsidR="003329F4">
          <w:rPr>
            <w:noProof/>
            <w:webHidden/>
          </w:rPr>
        </w:r>
        <w:r w:rsidR="003329F4">
          <w:rPr>
            <w:noProof/>
            <w:webHidden/>
          </w:rPr>
          <w:fldChar w:fldCharType="separate"/>
        </w:r>
        <w:r w:rsidR="00421FD6">
          <w:rPr>
            <w:noProof/>
            <w:webHidden/>
          </w:rPr>
          <w:t>15</w:t>
        </w:r>
        <w:r w:rsidR="003329F4">
          <w:rPr>
            <w:noProof/>
            <w:webHidden/>
          </w:rPr>
          <w:fldChar w:fldCharType="end"/>
        </w:r>
      </w:hyperlink>
    </w:p>
    <w:p w14:paraId="20E6CB4F" w14:textId="2E54386F"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3" w:history="1">
        <w:r w:rsidR="003329F4" w:rsidRPr="004701FB">
          <w:rPr>
            <w:rStyle w:val="Hyperlink"/>
            <w:noProof/>
          </w:rPr>
          <w:t>1.1.6</w:t>
        </w:r>
        <w:r w:rsidR="003329F4">
          <w:rPr>
            <w:rFonts w:eastAsiaTheme="minorEastAsia" w:cstheme="minorBidi"/>
            <w:i w:val="0"/>
            <w:iCs w:val="0"/>
            <w:noProof/>
            <w:sz w:val="24"/>
            <w:szCs w:val="24"/>
            <w:lang w:eastAsia="en-US"/>
          </w:rPr>
          <w:tab/>
        </w:r>
        <w:r w:rsidR="003329F4" w:rsidRPr="004701FB">
          <w:rPr>
            <w:rStyle w:val="Hyperlink"/>
            <w:noProof/>
          </w:rPr>
          <w:t>A Biological Explanation for Negative Vaccine Effectiveness and Vaccine Failure Rooted in a Multi-Decade Base of Coronavirus and Vaccine Science</w:t>
        </w:r>
        <w:r w:rsidR="003329F4">
          <w:rPr>
            <w:noProof/>
            <w:webHidden/>
          </w:rPr>
          <w:tab/>
        </w:r>
        <w:r w:rsidR="003329F4">
          <w:rPr>
            <w:noProof/>
            <w:webHidden/>
          </w:rPr>
          <w:fldChar w:fldCharType="begin"/>
        </w:r>
        <w:r w:rsidR="003329F4">
          <w:rPr>
            <w:noProof/>
            <w:webHidden/>
          </w:rPr>
          <w:instrText xml:space="preserve"> PAGEREF _Toc121035123 \h </w:instrText>
        </w:r>
        <w:r w:rsidR="003329F4">
          <w:rPr>
            <w:noProof/>
            <w:webHidden/>
          </w:rPr>
        </w:r>
        <w:r w:rsidR="003329F4">
          <w:rPr>
            <w:noProof/>
            <w:webHidden/>
          </w:rPr>
          <w:fldChar w:fldCharType="separate"/>
        </w:r>
        <w:r w:rsidR="00421FD6">
          <w:rPr>
            <w:noProof/>
            <w:webHidden/>
          </w:rPr>
          <w:t>23</w:t>
        </w:r>
        <w:r w:rsidR="003329F4">
          <w:rPr>
            <w:noProof/>
            <w:webHidden/>
          </w:rPr>
          <w:fldChar w:fldCharType="end"/>
        </w:r>
      </w:hyperlink>
    </w:p>
    <w:p w14:paraId="51125995" w14:textId="29FF8890"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4" w:history="1">
        <w:r w:rsidR="003329F4" w:rsidRPr="004701FB">
          <w:rPr>
            <w:rStyle w:val="Hyperlink"/>
            <w:noProof/>
          </w:rPr>
          <w:t>1.1.7</w:t>
        </w:r>
        <w:r w:rsidR="003329F4">
          <w:rPr>
            <w:rFonts w:eastAsiaTheme="minorEastAsia" w:cstheme="minorBidi"/>
            <w:i w:val="0"/>
            <w:iCs w:val="0"/>
            <w:noProof/>
            <w:sz w:val="24"/>
            <w:szCs w:val="24"/>
            <w:lang w:eastAsia="en-US"/>
          </w:rPr>
          <w:tab/>
        </w:r>
        <w:r w:rsidR="003329F4" w:rsidRPr="004701FB">
          <w:rPr>
            <w:rStyle w:val="Hyperlink"/>
            <w:noProof/>
          </w:rPr>
          <w:t>The Biological Features Associated with Antibody-Dependent Enhancement (ADE) of Virus Infection Mirror Vaccine Surveillance Data Outcomes (Results Discussion)</w:t>
        </w:r>
        <w:r w:rsidR="003329F4">
          <w:rPr>
            <w:noProof/>
            <w:webHidden/>
          </w:rPr>
          <w:tab/>
        </w:r>
        <w:r w:rsidR="003329F4">
          <w:rPr>
            <w:noProof/>
            <w:webHidden/>
          </w:rPr>
          <w:fldChar w:fldCharType="begin"/>
        </w:r>
        <w:r w:rsidR="003329F4">
          <w:rPr>
            <w:noProof/>
            <w:webHidden/>
          </w:rPr>
          <w:instrText xml:space="preserve"> PAGEREF _Toc121035124 \h </w:instrText>
        </w:r>
        <w:r w:rsidR="003329F4">
          <w:rPr>
            <w:noProof/>
            <w:webHidden/>
          </w:rPr>
        </w:r>
        <w:r w:rsidR="003329F4">
          <w:rPr>
            <w:noProof/>
            <w:webHidden/>
          </w:rPr>
          <w:fldChar w:fldCharType="separate"/>
        </w:r>
        <w:r w:rsidR="00421FD6">
          <w:rPr>
            <w:noProof/>
            <w:webHidden/>
          </w:rPr>
          <w:t>26</w:t>
        </w:r>
        <w:r w:rsidR="003329F4">
          <w:rPr>
            <w:noProof/>
            <w:webHidden/>
          </w:rPr>
          <w:fldChar w:fldCharType="end"/>
        </w:r>
      </w:hyperlink>
    </w:p>
    <w:p w14:paraId="480398B2" w14:textId="28159454"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5" w:history="1">
        <w:r w:rsidR="003329F4" w:rsidRPr="004701FB">
          <w:rPr>
            <w:rStyle w:val="Hyperlink"/>
            <w:noProof/>
          </w:rPr>
          <w:t>1.1.8</w:t>
        </w:r>
        <w:r w:rsidR="003329F4">
          <w:rPr>
            <w:rFonts w:eastAsiaTheme="minorEastAsia" w:cstheme="minorBidi"/>
            <w:i w:val="0"/>
            <w:iCs w:val="0"/>
            <w:noProof/>
            <w:sz w:val="24"/>
            <w:szCs w:val="24"/>
            <w:lang w:eastAsia="en-US"/>
          </w:rPr>
          <w:tab/>
        </w:r>
        <w:r w:rsidR="003329F4" w:rsidRPr="004701FB">
          <w:rPr>
            <w:rStyle w:val="Hyperlink"/>
            <w:noProof/>
          </w:rPr>
          <w:t>Antigenic Imprinting Underpins COVID-19 Vaccine Failure (Part of a Trinity)</w:t>
        </w:r>
        <w:r w:rsidR="003329F4">
          <w:rPr>
            <w:noProof/>
            <w:webHidden/>
          </w:rPr>
          <w:tab/>
        </w:r>
        <w:r w:rsidR="003329F4">
          <w:rPr>
            <w:noProof/>
            <w:webHidden/>
          </w:rPr>
          <w:fldChar w:fldCharType="begin"/>
        </w:r>
        <w:r w:rsidR="003329F4">
          <w:rPr>
            <w:noProof/>
            <w:webHidden/>
          </w:rPr>
          <w:instrText xml:space="preserve"> PAGEREF _Toc121035125 \h </w:instrText>
        </w:r>
        <w:r w:rsidR="003329F4">
          <w:rPr>
            <w:noProof/>
            <w:webHidden/>
          </w:rPr>
        </w:r>
        <w:r w:rsidR="003329F4">
          <w:rPr>
            <w:noProof/>
            <w:webHidden/>
          </w:rPr>
          <w:fldChar w:fldCharType="separate"/>
        </w:r>
        <w:r w:rsidR="00421FD6">
          <w:rPr>
            <w:noProof/>
            <w:webHidden/>
          </w:rPr>
          <w:t>28</w:t>
        </w:r>
        <w:r w:rsidR="003329F4">
          <w:rPr>
            <w:noProof/>
            <w:webHidden/>
          </w:rPr>
          <w:fldChar w:fldCharType="end"/>
        </w:r>
      </w:hyperlink>
    </w:p>
    <w:p w14:paraId="4D05D043" w14:textId="0CD71C9D"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6" w:history="1">
        <w:r w:rsidR="003329F4" w:rsidRPr="004701FB">
          <w:rPr>
            <w:rStyle w:val="Hyperlink"/>
            <w:noProof/>
          </w:rPr>
          <w:t>1.1.9</w:t>
        </w:r>
        <w:r w:rsidR="003329F4">
          <w:rPr>
            <w:rFonts w:eastAsiaTheme="minorEastAsia" w:cstheme="minorBidi"/>
            <w:i w:val="0"/>
            <w:iCs w:val="0"/>
            <w:noProof/>
            <w:sz w:val="24"/>
            <w:szCs w:val="24"/>
            <w:lang w:eastAsia="en-US"/>
          </w:rPr>
          <w:tab/>
        </w:r>
        <w:r w:rsidR="003329F4" w:rsidRPr="004701FB">
          <w:rPr>
            <w:rStyle w:val="Hyperlink"/>
            <w:noProof/>
          </w:rPr>
          <w:t>Did ADE, Antigenic Imprinting, and Viral Mutation Risks Versus High Influenza-like Survival Rates in Sub-70 year Demographics and Superior Natural Immunity Support Whole Population Vaccination?</w:t>
        </w:r>
        <w:r w:rsidR="003329F4">
          <w:rPr>
            <w:noProof/>
            <w:webHidden/>
          </w:rPr>
          <w:tab/>
        </w:r>
        <w:r w:rsidR="003329F4">
          <w:rPr>
            <w:noProof/>
            <w:webHidden/>
          </w:rPr>
          <w:fldChar w:fldCharType="begin"/>
        </w:r>
        <w:r w:rsidR="003329F4">
          <w:rPr>
            <w:noProof/>
            <w:webHidden/>
          </w:rPr>
          <w:instrText xml:space="preserve"> PAGEREF _Toc121035126 \h </w:instrText>
        </w:r>
        <w:r w:rsidR="003329F4">
          <w:rPr>
            <w:noProof/>
            <w:webHidden/>
          </w:rPr>
        </w:r>
        <w:r w:rsidR="003329F4">
          <w:rPr>
            <w:noProof/>
            <w:webHidden/>
          </w:rPr>
          <w:fldChar w:fldCharType="separate"/>
        </w:r>
        <w:r w:rsidR="00421FD6">
          <w:rPr>
            <w:noProof/>
            <w:webHidden/>
          </w:rPr>
          <w:t>29</w:t>
        </w:r>
        <w:r w:rsidR="003329F4">
          <w:rPr>
            <w:noProof/>
            <w:webHidden/>
          </w:rPr>
          <w:fldChar w:fldCharType="end"/>
        </w:r>
      </w:hyperlink>
    </w:p>
    <w:p w14:paraId="73136DE2" w14:textId="21ACF34C"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27" w:history="1">
        <w:r w:rsidR="003329F4" w:rsidRPr="004701FB">
          <w:rPr>
            <w:rStyle w:val="Hyperlink"/>
            <w:noProof/>
          </w:rPr>
          <w:t>1.2</w:t>
        </w:r>
        <w:r w:rsidR="003329F4">
          <w:rPr>
            <w:rFonts w:eastAsiaTheme="minorEastAsia" w:cstheme="minorBidi"/>
            <w:smallCaps w:val="0"/>
            <w:noProof/>
            <w:sz w:val="24"/>
            <w:szCs w:val="24"/>
            <w:lang w:eastAsia="en-US"/>
          </w:rPr>
          <w:tab/>
        </w:r>
        <w:r w:rsidR="003329F4" w:rsidRPr="004701FB">
          <w:rPr>
            <w:rStyle w:val="Hyperlink"/>
            <w:noProof/>
          </w:rPr>
          <w:t>Evidence of Toxic COVID-19 Vaccine Lots Under FDA Jurisdiction Had Global Implications</w:t>
        </w:r>
        <w:r w:rsidR="003329F4">
          <w:rPr>
            <w:noProof/>
            <w:webHidden/>
          </w:rPr>
          <w:tab/>
        </w:r>
        <w:r w:rsidR="003329F4">
          <w:rPr>
            <w:noProof/>
            <w:webHidden/>
          </w:rPr>
          <w:fldChar w:fldCharType="begin"/>
        </w:r>
        <w:r w:rsidR="003329F4">
          <w:rPr>
            <w:noProof/>
            <w:webHidden/>
          </w:rPr>
          <w:instrText xml:space="preserve"> PAGEREF _Toc121035127 \h </w:instrText>
        </w:r>
        <w:r w:rsidR="003329F4">
          <w:rPr>
            <w:noProof/>
            <w:webHidden/>
          </w:rPr>
        </w:r>
        <w:r w:rsidR="003329F4">
          <w:rPr>
            <w:noProof/>
            <w:webHidden/>
          </w:rPr>
          <w:fldChar w:fldCharType="separate"/>
        </w:r>
        <w:r w:rsidR="00421FD6">
          <w:rPr>
            <w:noProof/>
            <w:webHidden/>
          </w:rPr>
          <w:t>30</w:t>
        </w:r>
        <w:r w:rsidR="003329F4">
          <w:rPr>
            <w:noProof/>
            <w:webHidden/>
          </w:rPr>
          <w:fldChar w:fldCharType="end"/>
        </w:r>
      </w:hyperlink>
    </w:p>
    <w:p w14:paraId="4B6B653F" w14:textId="75A56A0E"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8" w:history="1">
        <w:r w:rsidR="003329F4" w:rsidRPr="004701FB">
          <w:rPr>
            <w:rStyle w:val="Hyperlink"/>
            <w:noProof/>
          </w:rPr>
          <w:t>1.2.1</w:t>
        </w:r>
        <w:r w:rsidR="003329F4">
          <w:rPr>
            <w:rFonts w:eastAsiaTheme="minorEastAsia" w:cstheme="minorBidi"/>
            <w:i w:val="0"/>
            <w:iCs w:val="0"/>
            <w:noProof/>
            <w:sz w:val="24"/>
            <w:szCs w:val="24"/>
            <w:lang w:eastAsia="en-US"/>
          </w:rPr>
          <w:tab/>
        </w:r>
        <w:r w:rsidR="003329F4" w:rsidRPr="004701FB">
          <w:rPr>
            <w:rStyle w:val="Hyperlink"/>
            <w:noProof/>
          </w:rPr>
          <w:t>Vaccine Development Experts Identified Vaccine Safety Signals from VAERS Data</w:t>
        </w:r>
        <w:r w:rsidR="003329F4">
          <w:rPr>
            <w:noProof/>
            <w:webHidden/>
          </w:rPr>
          <w:tab/>
        </w:r>
        <w:r w:rsidR="003329F4">
          <w:rPr>
            <w:noProof/>
            <w:webHidden/>
          </w:rPr>
          <w:fldChar w:fldCharType="begin"/>
        </w:r>
        <w:r w:rsidR="003329F4">
          <w:rPr>
            <w:noProof/>
            <w:webHidden/>
          </w:rPr>
          <w:instrText xml:space="preserve"> PAGEREF _Toc121035128 \h </w:instrText>
        </w:r>
        <w:r w:rsidR="003329F4">
          <w:rPr>
            <w:noProof/>
            <w:webHidden/>
          </w:rPr>
        </w:r>
        <w:r w:rsidR="003329F4">
          <w:rPr>
            <w:noProof/>
            <w:webHidden/>
          </w:rPr>
          <w:fldChar w:fldCharType="separate"/>
        </w:r>
        <w:r w:rsidR="00421FD6">
          <w:rPr>
            <w:noProof/>
            <w:webHidden/>
          </w:rPr>
          <w:t>33</w:t>
        </w:r>
        <w:r w:rsidR="003329F4">
          <w:rPr>
            <w:noProof/>
            <w:webHidden/>
          </w:rPr>
          <w:fldChar w:fldCharType="end"/>
        </w:r>
      </w:hyperlink>
    </w:p>
    <w:p w14:paraId="7217FC53" w14:textId="3FCE612E"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29" w:history="1">
        <w:r w:rsidR="003329F4" w:rsidRPr="004701FB">
          <w:rPr>
            <w:rStyle w:val="Hyperlink"/>
            <w:noProof/>
          </w:rPr>
          <w:t>1.2.2</w:t>
        </w:r>
        <w:r w:rsidR="003329F4">
          <w:rPr>
            <w:rFonts w:eastAsiaTheme="minorEastAsia" w:cstheme="minorBidi"/>
            <w:i w:val="0"/>
            <w:iCs w:val="0"/>
            <w:noProof/>
            <w:sz w:val="24"/>
            <w:szCs w:val="24"/>
            <w:lang w:eastAsia="en-US"/>
          </w:rPr>
          <w:tab/>
        </w:r>
        <w:r w:rsidR="003329F4" w:rsidRPr="004701FB">
          <w:rPr>
            <w:rStyle w:val="Hyperlink"/>
            <w:noProof/>
          </w:rPr>
          <w:t>Comirnaty is Composed of Toxic and Hazardous Chemicals Whose Toxicological Properties were Not Fully Investigated (Safety Data Sheet Disclosures)</w:t>
        </w:r>
        <w:r w:rsidR="003329F4">
          <w:rPr>
            <w:noProof/>
            <w:webHidden/>
          </w:rPr>
          <w:tab/>
        </w:r>
        <w:r w:rsidR="003329F4">
          <w:rPr>
            <w:noProof/>
            <w:webHidden/>
          </w:rPr>
          <w:fldChar w:fldCharType="begin"/>
        </w:r>
        <w:r w:rsidR="003329F4">
          <w:rPr>
            <w:noProof/>
            <w:webHidden/>
          </w:rPr>
          <w:instrText xml:space="preserve"> PAGEREF _Toc121035129 \h </w:instrText>
        </w:r>
        <w:r w:rsidR="003329F4">
          <w:rPr>
            <w:noProof/>
            <w:webHidden/>
          </w:rPr>
        </w:r>
        <w:r w:rsidR="003329F4">
          <w:rPr>
            <w:noProof/>
            <w:webHidden/>
          </w:rPr>
          <w:fldChar w:fldCharType="separate"/>
        </w:r>
        <w:r w:rsidR="00421FD6">
          <w:rPr>
            <w:noProof/>
            <w:webHidden/>
          </w:rPr>
          <w:t>34</w:t>
        </w:r>
        <w:r w:rsidR="003329F4">
          <w:rPr>
            <w:noProof/>
            <w:webHidden/>
          </w:rPr>
          <w:fldChar w:fldCharType="end"/>
        </w:r>
      </w:hyperlink>
    </w:p>
    <w:p w14:paraId="1D37DF36" w14:textId="366DF348"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30" w:history="1">
        <w:r w:rsidR="003329F4" w:rsidRPr="004701FB">
          <w:rPr>
            <w:rStyle w:val="Hyperlink"/>
            <w:noProof/>
          </w:rPr>
          <w:t>1.3</w:t>
        </w:r>
        <w:r w:rsidR="003329F4">
          <w:rPr>
            <w:rFonts w:eastAsiaTheme="minorEastAsia" w:cstheme="minorBidi"/>
            <w:smallCaps w:val="0"/>
            <w:noProof/>
            <w:sz w:val="24"/>
            <w:szCs w:val="24"/>
            <w:lang w:eastAsia="en-US"/>
          </w:rPr>
          <w:tab/>
        </w:r>
        <w:r w:rsidR="003329F4" w:rsidRPr="004701FB">
          <w:rPr>
            <w:rStyle w:val="Hyperlink"/>
            <w:noProof/>
          </w:rPr>
          <w:t>Pathogenesis Mechanisms Underpinning Vaccine-Associated Enhanced Disease (Spike Protein &amp; Lipid Nanoparticle Related)</w:t>
        </w:r>
        <w:r w:rsidR="003329F4">
          <w:rPr>
            <w:noProof/>
            <w:webHidden/>
          </w:rPr>
          <w:tab/>
        </w:r>
        <w:r w:rsidR="003329F4">
          <w:rPr>
            <w:noProof/>
            <w:webHidden/>
          </w:rPr>
          <w:fldChar w:fldCharType="begin"/>
        </w:r>
        <w:r w:rsidR="003329F4">
          <w:rPr>
            <w:noProof/>
            <w:webHidden/>
          </w:rPr>
          <w:instrText xml:space="preserve"> PAGEREF _Toc121035130 \h </w:instrText>
        </w:r>
        <w:r w:rsidR="003329F4">
          <w:rPr>
            <w:noProof/>
            <w:webHidden/>
          </w:rPr>
        </w:r>
        <w:r w:rsidR="003329F4">
          <w:rPr>
            <w:noProof/>
            <w:webHidden/>
          </w:rPr>
          <w:fldChar w:fldCharType="separate"/>
        </w:r>
        <w:r w:rsidR="00421FD6">
          <w:rPr>
            <w:noProof/>
            <w:webHidden/>
          </w:rPr>
          <w:t>35</w:t>
        </w:r>
        <w:r w:rsidR="003329F4">
          <w:rPr>
            <w:noProof/>
            <w:webHidden/>
          </w:rPr>
          <w:fldChar w:fldCharType="end"/>
        </w:r>
      </w:hyperlink>
    </w:p>
    <w:p w14:paraId="037AD331" w14:textId="29DB9424"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1" w:history="1">
        <w:r w:rsidR="003329F4" w:rsidRPr="004701FB">
          <w:rPr>
            <w:rStyle w:val="Hyperlink"/>
            <w:noProof/>
          </w:rPr>
          <w:t>1.3.1</w:t>
        </w:r>
        <w:r w:rsidR="003329F4">
          <w:rPr>
            <w:rFonts w:eastAsiaTheme="minorEastAsia" w:cstheme="minorBidi"/>
            <w:i w:val="0"/>
            <w:iCs w:val="0"/>
            <w:noProof/>
            <w:sz w:val="24"/>
            <w:szCs w:val="24"/>
            <w:lang w:eastAsia="en-US"/>
          </w:rPr>
          <w:tab/>
        </w:r>
        <w:r w:rsidR="003329F4" w:rsidRPr="004701FB">
          <w:rPr>
            <w:rStyle w:val="Hyperlink"/>
            <w:noProof/>
          </w:rPr>
          <w:t>Pfizer was Unprepared for the Sheer Volume of Comirnaty Adverse Event Reports, which Revealed Predictable Safety Signals</w:t>
        </w:r>
        <w:r w:rsidR="003329F4">
          <w:rPr>
            <w:noProof/>
            <w:webHidden/>
          </w:rPr>
          <w:tab/>
        </w:r>
        <w:r w:rsidR="003329F4">
          <w:rPr>
            <w:noProof/>
            <w:webHidden/>
          </w:rPr>
          <w:fldChar w:fldCharType="begin"/>
        </w:r>
        <w:r w:rsidR="003329F4">
          <w:rPr>
            <w:noProof/>
            <w:webHidden/>
          </w:rPr>
          <w:instrText xml:space="preserve"> PAGEREF _Toc121035131 \h </w:instrText>
        </w:r>
        <w:r w:rsidR="003329F4">
          <w:rPr>
            <w:noProof/>
            <w:webHidden/>
          </w:rPr>
        </w:r>
        <w:r w:rsidR="003329F4">
          <w:rPr>
            <w:noProof/>
            <w:webHidden/>
          </w:rPr>
          <w:fldChar w:fldCharType="separate"/>
        </w:r>
        <w:r w:rsidR="00421FD6">
          <w:rPr>
            <w:noProof/>
            <w:webHidden/>
          </w:rPr>
          <w:t>36</w:t>
        </w:r>
        <w:r w:rsidR="003329F4">
          <w:rPr>
            <w:noProof/>
            <w:webHidden/>
          </w:rPr>
          <w:fldChar w:fldCharType="end"/>
        </w:r>
      </w:hyperlink>
    </w:p>
    <w:p w14:paraId="1A04B799" w14:textId="06D03B2D"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2" w:history="1">
        <w:r w:rsidR="003329F4" w:rsidRPr="004701FB">
          <w:rPr>
            <w:rStyle w:val="Hyperlink"/>
            <w:noProof/>
          </w:rPr>
          <w:t>1.3.2</w:t>
        </w:r>
        <w:r w:rsidR="003329F4">
          <w:rPr>
            <w:rFonts w:eastAsiaTheme="minorEastAsia" w:cstheme="minorBidi"/>
            <w:i w:val="0"/>
            <w:iCs w:val="0"/>
            <w:noProof/>
            <w:sz w:val="24"/>
            <w:szCs w:val="24"/>
            <w:lang w:eastAsia="en-US"/>
          </w:rPr>
          <w:tab/>
        </w:r>
        <w:r w:rsidR="003329F4" w:rsidRPr="004701FB">
          <w:rPr>
            <w:rStyle w:val="Hyperlink"/>
            <w:noProof/>
          </w:rPr>
          <w:t>Lipid Nanoparticles (LNPs) are Pro-Inflammatory and Toxic</w:t>
        </w:r>
        <w:r w:rsidR="003329F4">
          <w:rPr>
            <w:noProof/>
            <w:webHidden/>
          </w:rPr>
          <w:tab/>
        </w:r>
        <w:r w:rsidR="003329F4">
          <w:rPr>
            <w:noProof/>
            <w:webHidden/>
          </w:rPr>
          <w:fldChar w:fldCharType="begin"/>
        </w:r>
        <w:r w:rsidR="003329F4">
          <w:rPr>
            <w:noProof/>
            <w:webHidden/>
          </w:rPr>
          <w:instrText xml:space="preserve"> PAGEREF _Toc121035132 \h </w:instrText>
        </w:r>
        <w:r w:rsidR="003329F4">
          <w:rPr>
            <w:noProof/>
            <w:webHidden/>
          </w:rPr>
        </w:r>
        <w:r w:rsidR="003329F4">
          <w:rPr>
            <w:noProof/>
            <w:webHidden/>
          </w:rPr>
          <w:fldChar w:fldCharType="separate"/>
        </w:r>
        <w:r w:rsidR="00421FD6">
          <w:rPr>
            <w:noProof/>
            <w:webHidden/>
          </w:rPr>
          <w:t>38</w:t>
        </w:r>
        <w:r w:rsidR="003329F4">
          <w:rPr>
            <w:noProof/>
            <w:webHidden/>
          </w:rPr>
          <w:fldChar w:fldCharType="end"/>
        </w:r>
      </w:hyperlink>
    </w:p>
    <w:p w14:paraId="42043648" w14:textId="6BD0EA30"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3" w:history="1">
        <w:r w:rsidR="003329F4" w:rsidRPr="004701FB">
          <w:rPr>
            <w:rStyle w:val="Hyperlink"/>
            <w:noProof/>
          </w:rPr>
          <w:t>1.3.3</w:t>
        </w:r>
        <w:r w:rsidR="003329F4">
          <w:rPr>
            <w:rFonts w:eastAsiaTheme="minorEastAsia" w:cstheme="minorBidi"/>
            <w:i w:val="0"/>
            <w:iCs w:val="0"/>
            <w:noProof/>
            <w:sz w:val="24"/>
            <w:szCs w:val="24"/>
            <w:lang w:eastAsia="en-US"/>
          </w:rPr>
          <w:tab/>
        </w:r>
        <w:r w:rsidR="003329F4" w:rsidRPr="004701FB">
          <w:rPr>
            <w:rStyle w:val="Hyperlink"/>
            <w:noProof/>
          </w:rPr>
          <w:t>Vaccine-Induced Spike Proteins Drive an Array of Pathogenesis Mechanisms that Trigger Pathologies and Exacerbate Comorbidities</w:t>
        </w:r>
        <w:r w:rsidR="003329F4">
          <w:rPr>
            <w:noProof/>
            <w:webHidden/>
          </w:rPr>
          <w:tab/>
        </w:r>
        <w:r w:rsidR="003329F4">
          <w:rPr>
            <w:noProof/>
            <w:webHidden/>
          </w:rPr>
          <w:fldChar w:fldCharType="begin"/>
        </w:r>
        <w:r w:rsidR="003329F4">
          <w:rPr>
            <w:noProof/>
            <w:webHidden/>
          </w:rPr>
          <w:instrText xml:space="preserve"> PAGEREF _Toc121035133 \h </w:instrText>
        </w:r>
        <w:r w:rsidR="003329F4">
          <w:rPr>
            <w:noProof/>
            <w:webHidden/>
          </w:rPr>
        </w:r>
        <w:r w:rsidR="003329F4">
          <w:rPr>
            <w:noProof/>
            <w:webHidden/>
          </w:rPr>
          <w:fldChar w:fldCharType="separate"/>
        </w:r>
        <w:r w:rsidR="00421FD6">
          <w:rPr>
            <w:noProof/>
            <w:webHidden/>
          </w:rPr>
          <w:t>39</w:t>
        </w:r>
        <w:r w:rsidR="003329F4">
          <w:rPr>
            <w:noProof/>
            <w:webHidden/>
          </w:rPr>
          <w:fldChar w:fldCharType="end"/>
        </w:r>
      </w:hyperlink>
    </w:p>
    <w:p w14:paraId="36A34FDC" w14:textId="67888EFB"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4" w:history="1">
        <w:r w:rsidR="003329F4" w:rsidRPr="004701FB">
          <w:rPr>
            <w:rStyle w:val="Hyperlink"/>
            <w:noProof/>
          </w:rPr>
          <w:t>1.3.4</w:t>
        </w:r>
        <w:r w:rsidR="003329F4">
          <w:rPr>
            <w:rFonts w:eastAsiaTheme="minorEastAsia" w:cstheme="minorBidi"/>
            <w:i w:val="0"/>
            <w:iCs w:val="0"/>
            <w:noProof/>
            <w:sz w:val="24"/>
            <w:szCs w:val="24"/>
            <w:lang w:eastAsia="en-US"/>
          </w:rPr>
          <w:tab/>
        </w:r>
        <w:r w:rsidR="003329F4" w:rsidRPr="004701FB">
          <w:rPr>
            <w:rStyle w:val="Hyperlink"/>
            <w:noProof/>
          </w:rPr>
          <w:t>Spike Protein Inducible Prion Diseases are a Potential Ticking Time Bomb</w:t>
        </w:r>
        <w:r w:rsidR="003329F4">
          <w:rPr>
            <w:noProof/>
            <w:webHidden/>
          </w:rPr>
          <w:tab/>
        </w:r>
        <w:r w:rsidR="003329F4">
          <w:rPr>
            <w:noProof/>
            <w:webHidden/>
          </w:rPr>
          <w:fldChar w:fldCharType="begin"/>
        </w:r>
        <w:r w:rsidR="003329F4">
          <w:rPr>
            <w:noProof/>
            <w:webHidden/>
          </w:rPr>
          <w:instrText xml:space="preserve"> PAGEREF _Toc121035134 \h </w:instrText>
        </w:r>
        <w:r w:rsidR="003329F4">
          <w:rPr>
            <w:noProof/>
            <w:webHidden/>
          </w:rPr>
        </w:r>
        <w:r w:rsidR="003329F4">
          <w:rPr>
            <w:noProof/>
            <w:webHidden/>
          </w:rPr>
          <w:fldChar w:fldCharType="separate"/>
        </w:r>
        <w:r w:rsidR="00421FD6">
          <w:rPr>
            <w:noProof/>
            <w:webHidden/>
          </w:rPr>
          <w:t>42</w:t>
        </w:r>
        <w:r w:rsidR="003329F4">
          <w:rPr>
            <w:noProof/>
            <w:webHidden/>
          </w:rPr>
          <w:fldChar w:fldCharType="end"/>
        </w:r>
      </w:hyperlink>
    </w:p>
    <w:p w14:paraId="323B6D62" w14:textId="0C9DD15B"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35" w:history="1">
        <w:r w:rsidR="003329F4" w:rsidRPr="004701FB">
          <w:rPr>
            <w:rStyle w:val="Hyperlink"/>
            <w:noProof/>
          </w:rPr>
          <w:t>1.4</w:t>
        </w:r>
        <w:r w:rsidR="003329F4">
          <w:rPr>
            <w:rFonts w:eastAsiaTheme="minorEastAsia" w:cstheme="minorBidi"/>
            <w:smallCaps w:val="0"/>
            <w:noProof/>
            <w:sz w:val="24"/>
            <w:szCs w:val="24"/>
            <w:lang w:eastAsia="en-US"/>
          </w:rPr>
          <w:tab/>
        </w:r>
        <w:r w:rsidR="003329F4" w:rsidRPr="004701FB">
          <w:rPr>
            <w:rStyle w:val="Hyperlink"/>
            <w:noProof/>
          </w:rPr>
          <w:t>Regulatory Reviews Indicate Critical Deficits in our Preclinical Safety Understanding for Comirnaty at EUA Approval (USA, EU, &amp; Australia)</w:t>
        </w:r>
        <w:r w:rsidR="003329F4">
          <w:rPr>
            <w:noProof/>
            <w:webHidden/>
          </w:rPr>
          <w:tab/>
        </w:r>
        <w:r w:rsidR="003329F4">
          <w:rPr>
            <w:noProof/>
            <w:webHidden/>
          </w:rPr>
          <w:fldChar w:fldCharType="begin"/>
        </w:r>
        <w:r w:rsidR="003329F4">
          <w:rPr>
            <w:noProof/>
            <w:webHidden/>
          </w:rPr>
          <w:instrText xml:space="preserve"> PAGEREF _Toc121035135 \h </w:instrText>
        </w:r>
        <w:r w:rsidR="003329F4">
          <w:rPr>
            <w:noProof/>
            <w:webHidden/>
          </w:rPr>
        </w:r>
        <w:r w:rsidR="003329F4">
          <w:rPr>
            <w:noProof/>
            <w:webHidden/>
          </w:rPr>
          <w:fldChar w:fldCharType="separate"/>
        </w:r>
        <w:r w:rsidR="00421FD6">
          <w:rPr>
            <w:noProof/>
            <w:webHidden/>
          </w:rPr>
          <w:t>43</w:t>
        </w:r>
        <w:r w:rsidR="003329F4">
          <w:rPr>
            <w:noProof/>
            <w:webHidden/>
          </w:rPr>
          <w:fldChar w:fldCharType="end"/>
        </w:r>
      </w:hyperlink>
    </w:p>
    <w:p w14:paraId="2CE026DD" w14:textId="3816E026"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6" w:history="1">
        <w:r w:rsidR="003329F4" w:rsidRPr="004701FB">
          <w:rPr>
            <w:rStyle w:val="Hyperlink"/>
            <w:noProof/>
          </w:rPr>
          <w:t>1.4.1</w:t>
        </w:r>
        <w:r w:rsidR="003329F4">
          <w:rPr>
            <w:rFonts w:eastAsiaTheme="minorEastAsia" w:cstheme="minorBidi"/>
            <w:i w:val="0"/>
            <w:iCs w:val="0"/>
            <w:noProof/>
            <w:sz w:val="24"/>
            <w:szCs w:val="24"/>
            <w:lang w:eastAsia="en-US"/>
          </w:rPr>
          <w:tab/>
        </w:r>
        <w:r w:rsidR="003329F4" w:rsidRPr="004701FB">
          <w:rPr>
            <w:rStyle w:val="Hyperlink"/>
            <w:noProof/>
          </w:rPr>
          <w:t>Biodistribution Studies Bypassed Spike Protein-ACE2 Pathology Mechanisms</w:t>
        </w:r>
        <w:r w:rsidR="003329F4">
          <w:rPr>
            <w:noProof/>
            <w:webHidden/>
          </w:rPr>
          <w:tab/>
        </w:r>
        <w:r w:rsidR="003329F4">
          <w:rPr>
            <w:noProof/>
            <w:webHidden/>
          </w:rPr>
          <w:fldChar w:fldCharType="begin"/>
        </w:r>
        <w:r w:rsidR="003329F4">
          <w:rPr>
            <w:noProof/>
            <w:webHidden/>
          </w:rPr>
          <w:instrText xml:space="preserve"> PAGEREF _Toc121035136 \h </w:instrText>
        </w:r>
        <w:r w:rsidR="003329F4">
          <w:rPr>
            <w:noProof/>
            <w:webHidden/>
          </w:rPr>
        </w:r>
        <w:r w:rsidR="003329F4">
          <w:rPr>
            <w:noProof/>
            <w:webHidden/>
          </w:rPr>
          <w:fldChar w:fldCharType="separate"/>
        </w:r>
        <w:r w:rsidR="00421FD6">
          <w:rPr>
            <w:noProof/>
            <w:webHidden/>
          </w:rPr>
          <w:t>44</w:t>
        </w:r>
        <w:r w:rsidR="003329F4">
          <w:rPr>
            <w:noProof/>
            <w:webHidden/>
          </w:rPr>
          <w:fldChar w:fldCharType="end"/>
        </w:r>
      </w:hyperlink>
    </w:p>
    <w:p w14:paraId="2E3FB318" w14:textId="3BB50ED3"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7" w:history="1">
        <w:r w:rsidR="003329F4" w:rsidRPr="004701FB">
          <w:rPr>
            <w:rStyle w:val="Hyperlink"/>
            <w:noProof/>
          </w:rPr>
          <w:t>1.4.2</w:t>
        </w:r>
        <w:r w:rsidR="003329F4">
          <w:rPr>
            <w:rFonts w:eastAsiaTheme="minorEastAsia" w:cstheme="minorBidi"/>
            <w:i w:val="0"/>
            <w:iCs w:val="0"/>
            <w:noProof/>
            <w:sz w:val="24"/>
            <w:szCs w:val="24"/>
            <w:lang w:eastAsia="en-US"/>
          </w:rPr>
          <w:tab/>
        </w:r>
        <w:r w:rsidR="003329F4" w:rsidRPr="004701FB">
          <w:rPr>
            <w:rStyle w:val="Hyperlink"/>
            <w:noProof/>
          </w:rPr>
          <w:t>Pre-Clinical Toxicology Revealed a Debilitating Proinflammatory Response, BUT the Lipid Nanoparticle Formulation Without mRNA went Unassessed</w:t>
        </w:r>
        <w:r w:rsidR="003329F4">
          <w:rPr>
            <w:noProof/>
            <w:webHidden/>
          </w:rPr>
          <w:tab/>
        </w:r>
        <w:r w:rsidR="003329F4">
          <w:rPr>
            <w:noProof/>
            <w:webHidden/>
          </w:rPr>
          <w:fldChar w:fldCharType="begin"/>
        </w:r>
        <w:r w:rsidR="003329F4">
          <w:rPr>
            <w:noProof/>
            <w:webHidden/>
          </w:rPr>
          <w:instrText xml:space="preserve"> PAGEREF _Toc121035137 \h </w:instrText>
        </w:r>
        <w:r w:rsidR="003329F4">
          <w:rPr>
            <w:noProof/>
            <w:webHidden/>
          </w:rPr>
        </w:r>
        <w:r w:rsidR="003329F4">
          <w:rPr>
            <w:noProof/>
            <w:webHidden/>
          </w:rPr>
          <w:fldChar w:fldCharType="separate"/>
        </w:r>
        <w:r w:rsidR="00421FD6">
          <w:rPr>
            <w:noProof/>
            <w:webHidden/>
          </w:rPr>
          <w:t>44</w:t>
        </w:r>
        <w:r w:rsidR="003329F4">
          <w:rPr>
            <w:noProof/>
            <w:webHidden/>
          </w:rPr>
          <w:fldChar w:fldCharType="end"/>
        </w:r>
      </w:hyperlink>
    </w:p>
    <w:p w14:paraId="5CC66C25" w14:textId="12F7050D"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38" w:history="1">
        <w:r w:rsidR="003329F4" w:rsidRPr="004701FB">
          <w:rPr>
            <w:rStyle w:val="Hyperlink"/>
            <w:noProof/>
          </w:rPr>
          <w:t>1.4.3</w:t>
        </w:r>
        <w:r w:rsidR="003329F4">
          <w:rPr>
            <w:rFonts w:eastAsiaTheme="minorEastAsia" w:cstheme="minorBidi"/>
            <w:i w:val="0"/>
            <w:iCs w:val="0"/>
            <w:noProof/>
            <w:sz w:val="24"/>
            <w:szCs w:val="24"/>
            <w:lang w:eastAsia="en-US"/>
          </w:rPr>
          <w:tab/>
        </w:r>
        <w:r w:rsidR="003329F4" w:rsidRPr="004701FB">
          <w:rPr>
            <w:rStyle w:val="Hyperlink"/>
            <w:noProof/>
          </w:rPr>
          <w:t xml:space="preserve">Pre-Clinical Assessment of Autoimmunity, Genotoxicity, and Carcinogenicity was Not Detailed in the </w:t>
        </w:r>
        <w:r w:rsidR="003329F4" w:rsidRPr="004701FB">
          <w:rPr>
            <w:rStyle w:val="Hyperlink"/>
            <w:noProof/>
          </w:rPr>
          <w:lastRenderedPageBreak/>
          <w:t>Regulatory Reviews</w:t>
        </w:r>
        <w:r w:rsidR="003329F4">
          <w:rPr>
            <w:noProof/>
            <w:webHidden/>
          </w:rPr>
          <w:tab/>
        </w:r>
        <w:r w:rsidR="003329F4">
          <w:rPr>
            <w:noProof/>
            <w:webHidden/>
          </w:rPr>
          <w:fldChar w:fldCharType="begin"/>
        </w:r>
        <w:r w:rsidR="003329F4">
          <w:rPr>
            <w:noProof/>
            <w:webHidden/>
          </w:rPr>
          <w:instrText xml:space="preserve"> PAGEREF _Toc121035138 \h </w:instrText>
        </w:r>
        <w:r w:rsidR="003329F4">
          <w:rPr>
            <w:noProof/>
            <w:webHidden/>
          </w:rPr>
        </w:r>
        <w:r w:rsidR="003329F4">
          <w:rPr>
            <w:noProof/>
            <w:webHidden/>
          </w:rPr>
          <w:fldChar w:fldCharType="separate"/>
        </w:r>
        <w:r w:rsidR="00421FD6">
          <w:rPr>
            <w:noProof/>
            <w:webHidden/>
          </w:rPr>
          <w:t>46</w:t>
        </w:r>
        <w:r w:rsidR="003329F4">
          <w:rPr>
            <w:noProof/>
            <w:webHidden/>
          </w:rPr>
          <w:fldChar w:fldCharType="end"/>
        </w:r>
      </w:hyperlink>
    </w:p>
    <w:p w14:paraId="432FABC5" w14:textId="1B9D1AF5"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39" w:history="1">
        <w:r w:rsidR="003329F4" w:rsidRPr="004701FB">
          <w:rPr>
            <w:rStyle w:val="Hyperlink"/>
            <w:noProof/>
          </w:rPr>
          <w:t>1.5</w:t>
        </w:r>
        <w:r w:rsidR="003329F4">
          <w:rPr>
            <w:rFonts w:eastAsiaTheme="minorEastAsia" w:cstheme="minorBidi"/>
            <w:smallCaps w:val="0"/>
            <w:noProof/>
            <w:sz w:val="24"/>
            <w:szCs w:val="24"/>
            <w:lang w:eastAsia="en-US"/>
          </w:rPr>
          <w:tab/>
        </w:r>
        <w:r w:rsidR="003329F4" w:rsidRPr="004701FB">
          <w:rPr>
            <w:rStyle w:val="Hyperlink"/>
            <w:noProof/>
          </w:rPr>
          <w:t>The Clinical Efficacy and Safety Claims for Comirnaty at EUA Approval Were Falsifiable</w:t>
        </w:r>
        <w:r w:rsidR="003329F4">
          <w:rPr>
            <w:noProof/>
            <w:webHidden/>
          </w:rPr>
          <w:tab/>
        </w:r>
        <w:r w:rsidR="003329F4">
          <w:rPr>
            <w:noProof/>
            <w:webHidden/>
          </w:rPr>
          <w:fldChar w:fldCharType="begin"/>
        </w:r>
        <w:r w:rsidR="003329F4">
          <w:rPr>
            <w:noProof/>
            <w:webHidden/>
          </w:rPr>
          <w:instrText xml:space="preserve"> PAGEREF _Toc121035139 \h </w:instrText>
        </w:r>
        <w:r w:rsidR="003329F4">
          <w:rPr>
            <w:noProof/>
            <w:webHidden/>
          </w:rPr>
        </w:r>
        <w:r w:rsidR="003329F4">
          <w:rPr>
            <w:noProof/>
            <w:webHidden/>
          </w:rPr>
          <w:fldChar w:fldCharType="separate"/>
        </w:r>
        <w:r w:rsidR="00421FD6">
          <w:rPr>
            <w:noProof/>
            <w:webHidden/>
          </w:rPr>
          <w:t>47</w:t>
        </w:r>
        <w:r w:rsidR="003329F4">
          <w:rPr>
            <w:noProof/>
            <w:webHidden/>
          </w:rPr>
          <w:fldChar w:fldCharType="end"/>
        </w:r>
      </w:hyperlink>
    </w:p>
    <w:p w14:paraId="16DD86BA" w14:textId="654B4A78"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0" w:history="1">
        <w:r w:rsidR="003329F4" w:rsidRPr="004701FB">
          <w:rPr>
            <w:rStyle w:val="Hyperlink"/>
            <w:noProof/>
          </w:rPr>
          <w:t>1.5.1</w:t>
        </w:r>
        <w:r w:rsidR="003329F4">
          <w:rPr>
            <w:rFonts w:eastAsiaTheme="minorEastAsia" w:cstheme="minorBidi"/>
            <w:i w:val="0"/>
            <w:iCs w:val="0"/>
            <w:noProof/>
            <w:sz w:val="24"/>
            <w:szCs w:val="24"/>
            <w:lang w:eastAsia="en-US"/>
          </w:rPr>
          <w:tab/>
        </w:r>
        <w:r w:rsidR="003329F4" w:rsidRPr="004701FB">
          <w:rPr>
            <w:rStyle w:val="Hyperlink"/>
            <w:noProof/>
          </w:rPr>
          <w:t>How Comirnaty’s Falsifiable 95% Vaccine Efficacy Was Determined</w:t>
        </w:r>
        <w:r w:rsidR="003329F4">
          <w:rPr>
            <w:noProof/>
            <w:webHidden/>
          </w:rPr>
          <w:tab/>
        </w:r>
        <w:r w:rsidR="003329F4">
          <w:rPr>
            <w:noProof/>
            <w:webHidden/>
          </w:rPr>
          <w:fldChar w:fldCharType="begin"/>
        </w:r>
        <w:r w:rsidR="003329F4">
          <w:rPr>
            <w:noProof/>
            <w:webHidden/>
          </w:rPr>
          <w:instrText xml:space="preserve"> PAGEREF _Toc121035140 \h </w:instrText>
        </w:r>
        <w:r w:rsidR="003329F4">
          <w:rPr>
            <w:noProof/>
            <w:webHidden/>
          </w:rPr>
        </w:r>
        <w:r w:rsidR="003329F4">
          <w:rPr>
            <w:noProof/>
            <w:webHidden/>
          </w:rPr>
          <w:fldChar w:fldCharType="separate"/>
        </w:r>
        <w:r w:rsidR="00421FD6">
          <w:rPr>
            <w:noProof/>
            <w:webHidden/>
          </w:rPr>
          <w:t>47</w:t>
        </w:r>
        <w:r w:rsidR="003329F4">
          <w:rPr>
            <w:noProof/>
            <w:webHidden/>
          </w:rPr>
          <w:fldChar w:fldCharType="end"/>
        </w:r>
      </w:hyperlink>
    </w:p>
    <w:p w14:paraId="4B863F19" w14:textId="6187B720"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1" w:history="1">
        <w:r w:rsidR="003329F4" w:rsidRPr="004701FB">
          <w:rPr>
            <w:rStyle w:val="Hyperlink"/>
            <w:noProof/>
          </w:rPr>
          <w:t>1.5.2</w:t>
        </w:r>
        <w:r w:rsidR="003329F4">
          <w:rPr>
            <w:rFonts w:eastAsiaTheme="minorEastAsia" w:cstheme="minorBidi"/>
            <w:i w:val="0"/>
            <w:iCs w:val="0"/>
            <w:noProof/>
            <w:sz w:val="24"/>
            <w:szCs w:val="24"/>
            <w:lang w:eastAsia="en-US"/>
          </w:rPr>
          <w:tab/>
        </w:r>
        <w:r w:rsidR="003329F4" w:rsidRPr="004701FB">
          <w:rPr>
            <w:rStyle w:val="Hyperlink"/>
            <w:noProof/>
          </w:rPr>
          <w:t>High False Positive Diagnostic Methods Generate Bogus Data (Rule of Thumb)</w:t>
        </w:r>
        <w:r w:rsidR="003329F4">
          <w:rPr>
            <w:noProof/>
            <w:webHidden/>
          </w:rPr>
          <w:tab/>
        </w:r>
        <w:r w:rsidR="003329F4">
          <w:rPr>
            <w:noProof/>
            <w:webHidden/>
          </w:rPr>
          <w:fldChar w:fldCharType="begin"/>
        </w:r>
        <w:r w:rsidR="003329F4">
          <w:rPr>
            <w:noProof/>
            <w:webHidden/>
          </w:rPr>
          <w:instrText xml:space="preserve"> PAGEREF _Toc121035141 \h </w:instrText>
        </w:r>
        <w:r w:rsidR="003329F4">
          <w:rPr>
            <w:noProof/>
            <w:webHidden/>
          </w:rPr>
        </w:r>
        <w:r w:rsidR="003329F4">
          <w:rPr>
            <w:noProof/>
            <w:webHidden/>
          </w:rPr>
          <w:fldChar w:fldCharType="separate"/>
        </w:r>
        <w:r w:rsidR="00421FD6">
          <w:rPr>
            <w:noProof/>
            <w:webHidden/>
          </w:rPr>
          <w:t>49</w:t>
        </w:r>
        <w:r w:rsidR="003329F4">
          <w:rPr>
            <w:noProof/>
            <w:webHidden/>
          </w:rPr>
          <w:fldChar w:fldCharType="end"/>
        </w:r>
      </w:hyperlink>
    </w:p>
    <w:p w14:paraId="782F7E64" w14:textId="6107E05D"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2" w:history="1">
        <w:r w:rsidR="003329F4" w:rsidRPr="004701FB">
          <w:rPr>
            <w:rStyle w:val="Hyperlink"/>
            <w:noProof/>
          </w:rPr>
          <w:t>1.5.3</w:t>
        </w:r>
        <w:r w:rsidR="003329F4">
          <w:rPr>
            <w:rFonts w:eastAsiaTheme="minorEastAsia" w:cstheme="minorBidi"/>
            <w:i w:val="0"/>
            <w:iCs w:val="0"/>
            <w:noProof/>
            <w:sz w:val="24"/>
            <w:szCs w:val="24"/>
            <w:lang w:eastAsia="en-US"/>
          </w:rPr>
          <w:tab/>
        </w:r>
        <w:r w:rsidR="003329F4" w:rsidRPr="004701FB">
          <w:rPr>
            <w:rStyle w:val="Hyperlink"/>
            <w:noProof/>
          </w:rPr>
          <w:t>Statistical Analysis Confirms Comirnaty was Unsafe at EUA Approval</w:t>
        </w:r>
        <w:r w:rsidR="003329F4">
          <w:rPr>
            <w:noProof/>
            <w:webHidden/>
          </w:rPr>
          <w:tab/>
        </w:r>
        <w:r w:rsidR="003329F4">
          <w:rPr>
            <w:noProof/>
            <w:webHidden/>
          </w:rPr>
          <w:fldChar w:fldCharType="begin"/>
        </w:r>
        <w:r w:rsidR="003329F4">
          <w:rPr>
            <w:noProof/>
            <w:webHidden/>
          </w:rPr>
          <w:instrText xml:space="preserve"> PAGEREF _Toc121035142 \h </w:instrText>
        </w:r>
        <w:r w:rsidR="003329F4">
          <w:rPr>
            <w:noProof/>
            <w:webHidden/>
          </w:rPr>
        </w:r>
        <w:r w:rsidR="003329F4">
          <w:rPr>
            <w:noProof/>
            <w:webHidden/>
          </w:rPr>
          <w:fldChar w:fldCharType="separate"/>
        </w:r>
        <w:r w:rsidR="00421FD6">
          <w:rPr>
            <w:noProof/>
            <w:webHidden/>
          </w:rPr>
          <w:t>50</w:t>
        </w:r>
        <w:r w:rsidR="003329F4">
          <w:rPr>
            <w:noProof/>
            <w:webHidden/>
          </w:rPr>
          <w:fldChar w:fldCharType="end"/>
        </w:r>
      </w:hyperlink>
    </w:p>
    <w:p w14:paraId="5110BA23" w14:textId="0D22325A"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3" w:history="1">
        <w:r w:rsidR="003329F4" w:rsidRPr="004701FB">
          <w:rPr>
            <w:rStyle w:val="Hyperlink"/>
            <w:noProof/>
          </w:rPr>
          <w:t>1.5.4</w:t>
        </w:r>
        <w:r w:rsidR="003329F4">
          <w:rPr>
            <w:rFonts w:eastAsiaTheme="minorEastAsia" w:cstheme="minorBidi"/>
            <w:i w:val="0"/>
            <w:iCs w:val="0"/>
            <w:noProof/>
            <w:sz w:val="24"/>
            <w:szCs w:val="24"/>
            <w:lang w:eastAsia="en-US"/>
          </w:rPr>
          <w:tab/>
        </w:r>
        <w:r w:rsidR="003329F4" w:rsidRPr="004701FB">
          <w:rPr>
            <w:rStyle w:val="Hyperlink"/>
            <w:noProof/>
          </w:rPr>
          <w:t>Safety Consequences of the FDA-Approved Phase-3 Clinical Study Design for Comirnaty</w:t>
        </w:r>
        <w:r w:rsidR="003329F4">
          <w:rPr>
            <w:noProof/>
            <w:webHidden/>
          </w:rPr>
          <w:tab/>
        </w:r>
        <w:r w:rsidR="003329F4">
          <w:rPr>
            <w:noProof/>
            <w:webHidden/>
          </w:rPr>
          <w:fldChar w:fldCharType="begin"/>
        </w:r>
        <w:r w:rsidR="003329F4">
          <w:rPr>
            <w:noProof/>
            <w:webHidden/>
          </w:rPr>
          <w:instrText xml:space="preserve"> PAGEREF _Toc121035143 \h </w:instrText>
        </w:r>
        <w:r w:rsidR="003329F4">
          <w:rPr>
            <w:noProof/>
            <w:webHidden/>
          </w:rPr>
        </w:r>
        <w:r w:rsidR="003329F4">
          <w:rPr>
            <w:noProof/>
            <w:webHidden/>
          </w:rPr>
          <w:fldChar w:fldCharType="separate"/>
        </w:r>
        <w:r w:rsidR="00421FD6">
          <w:rPr>
            <w:noProof/>
            <w:webHidden/>
          </w:rPr>
          <w:t>51</w:t>
        </w:r>
        <w:r w:rsidR="003329F4">
          <w:rPr>
            <w:noProof/>
            <w:webHidden/>
          </w:rPr>
          <w:fldChar w:fldCharType="end"/>
        </w:r>
      </w:hyperlink>
    </w:p>
    <w:p w14:paraId="09C1BBA4" w14:textId="3512494B" w:rsidR="003329F4" w:rsidRDefault="00000000">
      <w:pPr>
        <w:pStyle w:val="TOC1"/>
        <w:rPr>
          <w:rFonts w:eastAsiaTheme="minorEastAsia" w:cstheme="minorBidi"/>
          <w:b w:val="0"/>
          <w:bCs w:val="0"/>
          <w:caps w:val="0"/>
          <w:noProof/>
          <w:sz w:val="24"/>
          <w:szCs w:val="24"/>
          <w:lang w:eastAsia="en-US"/>
        </w:rPr>
      </w:pPr>
      <w:hyperlink w:anchor="_Toc121035144" w:history="1">
        <w:r w:rsidR="003329F4" w:rsidRPr="004701FB">
          <w:rPr>
            <w:rStyle w:val="Hyperlink"/>
            <w:noProof/>
          </w:rPr>
          <w:t>2</w:t>
        </w:r>
        <w:r w:rsidR="003329F4">
          <w:rPr>
            <w:rFonts w:eastAsiaTheme="minorEastAsia" w:cstheme="minorBidi"/>
            <w:b w:val="0"/>
            <w:bCs w:val="0"/>
            <w:caps w:val="0"/>
            <w:noProof/>
            <w:sz w:val="24"/>
            <w:szCs w:val="24"/>
            <w:lang w:eastAsia="en-US"/>
          </w:rPr>
          <w:tab/>
        </w:r>
        <w:r w:rsidR="003329F4" w:rsidRPr="004701FB">
          <w:rPr>
            <w:rStyle w:val="Hyperlink"/>
            <w:noProof/>
          </w:rPr>
          <w:t>SARS-CoV-2 FEATURES INFECTIVITY-ENHANCING GAIN-OF-FUNCTION TECHNOLOGY UNPRECEDENTED IN NATURE</w:t>
        </w:r>
        <w:r w:rsidR="003329F4">
          <w:rPr>
            <w:noProof/>
            <w:webHidden/>
          </w:rPr>
          <w:tab/>
        </w:r>
        <w:r w:rsidR="003329F4">
          <w:rPr>
            <w:noProof/>
            <w:webHidden/>
          </w:rPr>
          <w:fldChar w:fldCharType="begin"/>
        </w:r>
        <w:r w:rsidR="003329F4">
          <w:rPr>
            <w:noProof/>
            <w:webHidden/>
          </w:rPr>
          <w:instrText xml:space="preserve"> PAGEREF _Toc121035144 \h </w:instrText>
        </w:r>
        <w:r w:rsidR="003329F4">
          <w:rPr>
            <w:noProof/>
            <w:webHidden/>
          </w:rPr>
        </w:r>
        <w:r w:rsidR="003329F4">
          <w:rPr>
            <w:noProof/>
            <w:webHidden/>
          </w:rPr>
          <w:fldChar w:fldCharType="separate"/>
        </w:r>
        <w:r w:rsidR="00421FD6">
          <w:rPr>
            <w:noProof/>
            <w:webHidden/>
          </w:rPr>
          <w:t>53</w:t>
        </w:r>
        <w:r w:rsidR="003329F4">
          <w:rPr>
            <w:noProof/>
            <w:webHidden/>
          </w:rPr>
          <w:fldChar w:fldCharType="end"/>
        </w:r>
      </w:hyperlink>
    </w:p>
    <w:p w14:paraId="68483DC5" w14:textId="26F3DB41"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45" w:history="1">
        <w:r w:rsidR="003329F4" w:rsidRPr="004701FB">
          <w:rPr>
            <w:rStyle w:val="Hyperlink"/>
            <w:noProof/>
          </w:rPr>
          <w:t>2.1</w:t>
        </w:r>
        <w:r w:rsidR="003329F4">
          <w:rPr>
            <w:rFonts w:eastAsiaTheme="minorEastAsia" w:cstheme="minorBidi"/>
            <w:smallCaps w:val="0"/>
            <w:noProof/>
            <w:sz w:val="24"/>
            <w:szCs w:val="24"/>
            <w:lang w:eastAsia="en-US"/>
          </w:rPr>
          <w:tab/>
        </w:r>
        <w:r w:rsidR="003329F4" w:rsidRPr="004701FB">
          <w:rPr>
            <w:rStyle w:val="Hyperlink"/>
            <w:noProof/>
          </w:rPr>
          <w:t>There Is Zero Hard Evidence for a SARS-CoV-2 Zoonosis (Virus Progenitor or Animal Host)</w:t>
        </w:r>
        <w:r w:rsidR="003329F4">
          <w:rPr>
            <w:noProof/>
            <w:webHidden/>
          </w:rPr>
          <w:tab/>
        </w:r>
        <w:r w:rsidR="003329F4">
          <w:rPr>
            <w:noProof/>
            <w:webHidden/>
          </w:rPr>
          <w:fldChar w:fldCharType="begin"/>
        </w:r>
        <w:r w:rsidR="003329F4">
          <w:rPr>
            <w:noProof/>
            <w:webHidden/>
          </w:rPr>
          <w:instrText xml:space="preserve"> PAGEREF _Toc121035145 \h </w:instrText>
        </w:r>
        <w:r w:rsidR="003329F4">
          <w:rPr>
            <w:noProof/>
            <w:webHidden/>
          </w:rPr>
        </w:r>
        <w:r w:rsidR="003329F4">
          <w:rPr>
            <w:noProof/>
            <w:webHidden/>
          </w:rPr>
          <w:fldChar w:fldCharType="separate"/>
        </w:r>
        <w:r w:rsidR="00421FD6">
          <w:rPr>
            <w:noProof/>
            <w:webHidden/>
          </w:rPr>
          <w:t>53</w:t>
        </w:r>
        <w:r w:rsidR="003329F4">
          <w:rPr>
            <w:noProof/>
            <w:webHidden/>
          </w:rPr>
          <w:fldChar w:fldCharType="end"/>
        </w:r>
      </w:hyperlink>
    </w:p>
    <w:p w14:paraId="36769B70" w14:textId="4D92DC74"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46" w:history="1">
        <w:r w:rsidR="003329F4" w:rsidRPr="004701FB">
          <w:rPr>
            <w:rStyle w:val="Hyperlink"/>
            <w:noProof/>
          </w:rPr>
          <w:t>2.2</w:t>
        </w:r>
        <w:r w:rsidR="003329F4">
          <w:rPr>
            <w:rFonts w:eastAsiaTheme="minorEastAsia" w:cstheme="minorBidi"/>
            <w:smallCaps w:val="0"/>
            <w:noProof/>
            <w:sz w:val="24"/>
            <w:szCs w:val="24"/>
            <w:lang w:eastAsia="en-US"/>
          </w:rPr>
          <w:tab/>
        </w:r>
        <w:r w:rsidR="003329F4" w:rsidRPr="004701FB">
          <w:rPr>
            <w:rStyle w:val="Hyperlink"/>
            <w:rFonts w:eastAsiaTheme="majorEastAsia"/>
            <w:noProof/>
          </w:rPr>
          <w:t>SARS-CoV-2 Spike Protein Bristles with Gain-of-Function Technology that Enabled-Enhanced Human Infectivity and Pathogenicity</w:t>
        </w:r>
        <w:r w:rsidR="003329F4">
          <w:rPr>
            <w:noProof/>
            <w:webHidden/>
          </w:rPr>
          <w:tab/>
        </w:r>
        <w:r w:rsidR="003329F4">
          <w:rPr>
            <w:noProof/>
            <w:webHidden/>
          </w:rPr>
          <w:fldChar w:fldCharType="begin"/>
        </w:r>
        <w:r w:rsidR="003329F4">
          <w:rPr>
            <w:noProof/>
            <w:webHidden/>
          </w:rPr>
          <w:instrText xml:space="preserve"> PAGEREF _Toc121035146 \h </w:instrText>
        </w:r>
        <w:r w:rsidR="003329F4">
          <w:rPr>
            <w:noProof/>
            <w:webHidden/>
          </w:rPr>
        </w:r>
        <w:r w:rsidR="003329F4">
          <w:rPr>
            <w:noProof/>
            <w:webHidden/>
          </w:rPr>
          <w:fldChar w:fldCharType="separate"/>
        </w:r>
        <w:r w:rsidR="00421FD6">
          <w:rPr>
            <w:noProof/>
            <w:webHidden/>
          </w:rPr>
          <w:t>55</w:t>
        </w:r>
        <w:r w:rsidR="003329F4">
          <w:rPr>
            <w:noProof/>
            <w:webHidden/>
          </w:rPr>
          <w:fldChar w:fldCharType="end"/>
        </w:r>
      </w:hyperlink>
    </w:p>
    <w:p w14:paraId="7F35EE9A" w14:textId="6B571218"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7" w:history="1">
        <w:r w:rsidR="003329F4" w:rsidRPr="004701FB">
          <w:rPr>
            <w:rStyle w:val="Hyperlink"/>
            <w:noProof/>
          </w:rPr>
          <w:t>2.2.1</w:t>
        </w:r>
        <w:r w:rsidR="003329F4">
          <w:rPr>
            <w:rFonts w:eastAsiaTheme="minorEastAsia" w:cstheme="minorBidi"/>
            <w:i w:val="0"/>
            <w:iCs w:val="0"/>
            <w:noProof/>
            <w:sz w:val="24"/>
            <w:szCs w:val="24"/>
            <w:lang w:eastAsia="en-US"/>
          </w:rPr>
          <w:tab/>
        </w:r>
        <w:r w:rsidR="003329F4" w:rsidRPr="004701FB">
          <w:rPr>
            <w:rStyle w:val="Hyperlink"/>
            <w:noProof/>
          </w:rPr>
          <w:t>SARS-CoV-2 Spike Protein’s Unique 2-in-1 Furin Cleavage Site and Nuclear Localization Signal are Unprecedented in Nature and Potentially Infringe Patents</w:t>
        </w:r>
        <w:r w:rsidR="003329F4">
          <w:rPr>
            <w:noProof/>
            <w:webHidden/>
          </w:rPr>
          <w:tab/>
        </w:r>
        <w:r w:rsidR="003329F4">
          <w:rPr>
            <w:noProof/>
            <w:webHidden/>
          </w:rPr>
          <w:fldChar w:fldCharType="begin"/>
        </w:r>
        <w:r w:rsidR="003329F4">
          <w:rPr>
            <w:noProof/>
            <w:webHidden/>
          </w:rPr>
          <w:instrText xml:space="preserve"> PAGEREF _Toc121035147 \h </w:instrText>
        </w:r>
        <w:r w:rsidR="003329F4">
          <w:rPr>
            <w:noProof/>
            <w:webHidden/>
          </w:rPr>
        </w:r>
        <w:r w:rsidR="003329F4">
          <w:rPr>
            <w:noProof/>
            <w:webHidden/>
          </w:rPr>
          <w:fldChar w:fldCharType="separate"/>
        </w:r>
        <w:r w:rsidR="00421FD6">
          <w:rPr>
            <w:noProof/>
            <w:webHidden/>
          </w:rPr>
          <w:t>56</w:t>
        </w:r>
        <w:r w:rsidR="003329F4">
          <w:rPr>
            <w:noProof/>
            <w:webHidden/>
          </w:rPr>
          <w:fldChar w:fldCharType="end"/>
        </w:r>
      </w:hyperlink>
    </w:p>
    <w:p w14:paraId="530F7EC2" w14:textId="61CDE7BE"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8" w:history="1">
        <w:r w:rsidR="003329F4" w:rsidRPr="004701FB">
          <w:rPr>
            <w:rStyle w:val="Hyperlink"/>
            <w:noProof/>
          </w:rPr>
          <w:t>2.2.2</w:t>
        </w:r>
        <w:r w:rsidR="003329F4">
          <w:rPr>
            <w:rFonts w:eastAsiaTheme="minorEastAsia" w:cstheme="minorBidi"/>
            <w:i w:val="0"/>
            <w:iCs w:val="0"/>
            <w:noProof/>
            <w:sz w:val="24"/>
            <w:szCs w:val="24"/>
            <w:lang w:eastAsia="en-US"/>
          </w:rPr>
          <w:tab/>
        </w:r>
        <w:r w:rsidR="003329F4" w:rsidRPr="004701FB">
          <w:rPr>
            <w:rStyle w:val="Hyperlink"/>
            <w:noProof/>
          </w:rPr>
          <w:t>SARS-CoV-2 Contains HIV-1 Sequences and Utilizes the Same Lymphocyte Entry Pathway as HIV-1, Among Other Cell Entry Mechanisms Besides ACE2</w:t>
        </w:r>
        <w:r w:rsidR="003329F4">
          <w:rPr>
            <w:noProof/>
            <w:webHidden/>
          </w:rPr>
          <w:tab/>
        </w:r>
        <w:r w:rsidR="003329F4">
          <w:rPr>
            <w:noProof/>
            <w:webHidden/>
          </w:rPr>
          <w:fldChar w:fldCharType="begin"/>
        </w:r>
        <w:r w:rsidR="003329F4">
          <w:rPr>
            <w:noProof/>
            <w:webHidden/>
          </w:rPr>
          <w:instrText xml:space="preserve"> PAGEREF _Toc121035148 \h </w:instrText>
        </w:r>
        <w:r w:rsidR="003329F4">
          <w:rPr>
            <w:noProof/>
            <w:webHidden/>
          </w:rPr>
        </w:r>
        <w:r w:rsidR="003329F4">
          <w:rPr>
            <w:noProof/>
            <w:webHidden/>
          </w:rPr>
          <w:fldChar w:fldCharType="separate"/>
        </w:r>
        <w:r w:rsidR="00421FD6">
          <w:rPr>
            <w:noProof/>
            <w:webHidden/>
          </w:rPr>
          <w:t>58</w:t>
        </w:r>
        <w:r w:rsidR="003329F4">
          <w:rPr>
            <w:noProof/>
            <w:webHidden/>
          </w:rPr>
          <w:fldChar w:fldCharType="end"/>
        </w:r>
      </w:hyperlink>
    </w:p>
    <w:p w14:paraId="147EB936" w14:textId="445564A7"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49" w:history="1">
        <w:r w:rsidR="003329F4" w:rsidRPr="004701FB">
          <w:rPr>
            <w:rStyle w:val="Hyperlink"/>
            <w:noProof/>
          </w:rPr>
          <w:t>2.2.3</w:t>
        </w:r>
        <w:r w:rsidR="003329F4">
          <w:rPr>
            <w:rFonts w:eastAsiaTheme="minorEastAsia" w:cstheme="minorBidi"/>
            <w:i w:val="0"/>
            <w:iCs w:val="0"/>
            <w:noProof/>
            <w:sz w:val="24"/>
            <w:szCs w:val="24"/>
            <w:lang w:eastAsia="en-US"/>
          </w:rPr>
          <w:tab/>
        </w:r>
        <w:r w:rsidR="003329F4" w:rsidRPr="004701FB">
          <w:rPr>
            <w:rStyle w:val="Hyperlink"/>
            <w:noProof/>
          </w:rPr>
          <w:t>SARS-CoV-2’s Period of Intense Evolution in Mice Resulted in Omicron (Transgenic Mice?)</w:t>
        </w:r>
        <w:r w:rsidR="003329F4">
          <w:rPr>
            <w:noProof/>
            <w:webHidden/>
          </w:rPr>
          <w:tab/>
        </w:r>
        <w:r w:rsidR="003329F4">
          <w:rPr>
            <w:noProof/>
            <w:webHidden/>
          </w:rPr>
          <w:fldChar w:fldCharType="begin"/>
        </w:r>
        <w:r w:rsidR="003329F4">
          <w:rPr>
            <w:noProof/>
            <w:webHidden/>
          </w:rPr>
          <w:instrText xml:space="preserve"> PAGEREF _Toc121035149 \h </w:instrText>
        </w:r>
        <w:r w:rsidR="003329F4">
          <w:rPr>
            <w:noProof/>
            <w:webHidden/>
          </w:rPr>
        </w:r>
        <w:r w:rsidR="003329F4">
          <w:rPr>
            <w:noProof/>
            <w:webHidden/>
          </w:rPr>
          <w:fldChar w:fldCharType="separate"/>
        </w:r>
        <w:r w:rsidR="00421FD6">
          <w:rPr>
            <w:noProof/>
            <w:webHidden/>
          </w:rPr>
          <w:t>59</w:t>
        </w:r>
        <w:r w:rsidR="003329F4">
          <w:rPr>
            <w:noProof/>
            <w:webHidden/>
          </w:rPr>
          <w:fldChar w:fldCharType="end"/>
        </w:r>
      </w:hyperlink>
    </w:p>
    <w:p w14:paraId="5C941333" w14:textId="65B748C0"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0" w:history="1">
        <w:r w:rsidR="003329F4" w:rsidRPr="004701FB">
          <w:rPr>
            <w:rStyle w:val="Hyperlink"/>
            <w:noProof/>
          </w:rPr>
          <w:t>2.3</w:t>
        </w:r>
        <w:r w:rsidR="003329F4">
          <w:rPr>
            <w:rFonts w:eastAsiaTheme="minorEastAsia" w:cstheme="minorBidi"/>
            <w:smallCaps w:val="0"/>
            <w:noProof/>
            <w:sz w:val="24"/>
            <w:szCs w:val="24"/>
            <w:lang w:eastAsia="en-US"/>
          </w:rPr>
          <w:tab/>
        </w:r>
        <w:r w:rsidR="003329F4" w:rsidRPr="004701FB">
          <w:rPr>
            <w:rStyle w:val="Hyperlink"/>
            <w:noProof/>
          </w:rPr>
          <w:t>Cover-Ups and Failures to Properly Investigate SARS-CoV-2’s Origin</w:t>
        </w:r>
        <w:r w:rsidR="003329F4">
          <w:rPr>
            <w:noProof/>
            <w:webHidden/>
          </w:rPr>
          <w:tab/>
        </w:r>
        <w:r w:rsidR="003329F4">
          <w:rPr>
            <w:noProof/>
            <w:webHidden/>
          </w:rPr>
          <w:fldChar w:fldCharType="begin"/>
        </w:r>
        <w:r w:rsidR="003329F4">
          <w:rPr>
            <w:noProof/>
            <w:webHidden/>
          </w:rPr>
          <w:instrText xml:space="preserve"> PAGEREF _Toc121035150 \h </w:instrText>
        </w:r>
        <w:r w:rsidR="003329F4">
          <w:rPr>
            <w:noProof/>
            <w:webHidden/>
          </w:rPr>
        </w:r>
        <w:r w:rsidR="003329F4">
          <w:rPr>
            <w:noProof/>
            <w:webHidden/>
          </w:rPr>
          <w:fldChar w:fldCharType="separate"/>
        </w:r>
        <w:r w:rsidR="00421FD6">
          <w:rPr>
            <w:noProof/>
            <w:webHidden/>
          </w:rPr>
          <w:t>59</w:t>
        </w:r>
        <w:r w:rsidR="003329F4">
          <w:rPr>
            <w:noProof/>
            <w:webHidden/>
          </w:rPr>
          <w:fldChar w:fldCharType="end"/>
        </w:r>
      </w:hyperlink>
    </w:p>
    <w:p w14:paraId="37B1696A" w14:textId="0D308EEB"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1" w:history="1">
        <w:r w:rsidR="003329F4" w:rsidRPr="004701FB">
          <w:rPr>
            <w:rStyle w:val="Hyperlink"/>
            <w:noProof/>
          </w:rPr>
          <w:t>2.4</w:t>
        </w:r>
        <w:r w:rsidR="003329F4">
          <w:rPr>
            <w:rFonts w:eastAsiaTheme="minorEastAsia" w:cstheme="minorBidi"/>
            <w:smallCaps w:val="0"/>
            <w:noProof/>
            <w:sz w:val="24"/>
            <w:szCs w:val="24"/>
            <w:lang w:eastAsia="en-US"/>
          </w:rPr>
          <w:tab/>
        </w:r>
        <w:r w:rsidR="003329F4" w:rsidRPr="004701FB">
          <w:rPr>
            <w:rStyle w:val="Hyperlink"/>
            <w:noProof/>
          </w:rPr>
          <w:t>Was Pentagon-Operated Biolabs Along Russia’s Borders Implicated in SARS-CoV-2’s Gain-of-Function Origin? Was China Framed &amp; Blamed?</w:t>
        </w:r>
        <w:r w:rsidR="003329F4">
          <w:rPr>
            <w:noProof/>
            <w:webHidden/>
          </w:rPr>
          <w:tab/>
        </w:r>
        <w:r w:rsidR="003329F4">
          <w:rPr>
            <w:noProof/>
            <w:webHidden/>
          </w:rPr>
          <w:fldChar w:fldCharType="begin"/>
        </w:r>
        <w:r w:rsidR="003329F4">
          <w:rPr>
            <w:noProof/>
            <w:webHidden/>
          </w:rPr>
          <w:instrText xml:space="preserve"> PAGEREF _Toc121035151 \h </w:instrText>
        </w:r>
        <w:r w:rsidR="003329F4">
          <w:rPr>
            <w:noProof/>
            <w:webHidden/>
          </w:rPr>
        </w:r>
        <w:r w:rsidR="003329F4">
          <w:rPr>
            <w:noProof/>
            <w:webHidden/>
          </w:rPr>
          <w:fldChar w:fldCharType="separate"/>
        </w:r>
        <w:r w:rsidR="00421FD6">
          <w:rPr>
            <w:noProof/>
            <w:webHidden/>
          </w:rPr>
          <w:t>61</w:t>
        </w:r>
        <w:r w:rsidR="003329F4">
          <w:rPr>
            <w:noProof/>
            <w:webHidden/>
          </w:rPr>
          <w:fldChar w:fldCharType="end"/>
        </w:r>
      </w:hyperlink>
    </w:p>
    <w:p w14:paraId="2C25D1D7" w14:textId="3D698076"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52" w:history="1">
        <w:r w:rsidR="003329F4" w:rsidRPr="004701FB">
          <w:rPr>
            <w:rStyle w:val="Hyperlink"/>
            <w:noProof/>
          </w:rPr>
          <w:t>2.4.1</w:t>
        </w:r>
        <w:r w:rsidR="003329F4">
          <w:rPr>
            <w:rFonts w:eastAsiaTheme="minorEastAsia" w:cstheme="minorBidi"/>
            <w:i w:val="0"/>
            <w:iCs w:val="0"/>
            <w:noProof/>
            <w:sz w:val="24"/>
            <w:szCs w:val="24"/>
            <w:lang w:eastAsia="en-US"/>
          </w:rPr>
          <w:tab/>
        </w:r>
        <w:r w:rsidR="003329F4" w:rsidRPr="004701FB">
          <w:rPr>
            <w:rStyle w:val="Hyperlink"/>
            <w:noProof/>
          </w:rPr>
          <w:t>Follow Pentagon Money from EcoHealth Alliance (Gain-of-Function, Cover-up) to Hunter Biden’s part-owned Metabiota to Off-Shored Biolabs (Ukraine, Cameroon)</w:t>
        </w:r>
        <w:r w:rsidR="003329F4">
          <w:rPr>
            <w:noProof/>
            <w:webHidden/>
          </w:rPr>
          <w:tab/>
        </w:r>
        <w:r w:rsidR="003329F4">
          <w:rPr>
            <w:noProof/>
            <w:webHidden/>
          </w:rPr>
          <w:fldChar w:fldCharType="begin"/>
        </w:r>
        <w:r w:rsidR="003329F4">
          <w:rPr>
            <w:noProof/>
            <w:webHidden/>
          </w:rPr>
          <w:instrText xml:space="preserve"> PAGEREF _Toc121035152 \h </w:instrText>
        </w:r>
        <w:r w:rsidR="003329F4">
          <w:rPr>
            <w:noProof/>
            <w:webHidden/>
          </w:rPr>
        </w:r>
        <w:r w:rsidR="003329F4">
          <w:rPr>
            <w:noProof/>
            <w:webHidden/>
          </w:rPr>
          <w:fldChar w:fldCharType="separate"/>
        </w:r>
        <w:r w:rsidR="00421FD6">
          <w:rPr>
            <w:noProof/>
            <w:webHidden/>
          </w:rPr>
          <w:t>63</w:t>
        </w:r>
        <w:r w:rsidR="003329F4">
          <w:rPr>
            <w:noProof/>
            <w:webHidden/>
          </w:rPr>
          <w:fldChar w:fldCharType="end"/>
        </w:r>
      </w:hyperlink>
    </w:p>
    <w:p w14:paraId="41EFDFC6" w14:textId="1A43283A"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3" w:history="1">
        <w:r w:rsidR="003329F4" w:rsidRPr="004701FB">
          <w:rPr>
            <w:rStyle w:val="Hyperlink"/>
            <w:noProof/>
          </w:rPr>
          <w:t>2.5</w:t>
        </w:r>
        <w:r w:rsidR="003329F4">
          <w:rPr>
            <w:rFonts w:eastAsiaTheme="minorEastAsia" w:cstheme="minorBidi"/>
            <w:smallCaps w:val="0"/>
            <w:noProof/>
            <w:sz w:val="24"/>
            <w:szCs w:val="24"/>
            <w:lang w:eastAsia="en-US"/>
          </w:rPr>
          <w:tab/>
        </w:r>
        <w:r w:rsidR="003329F4" w:rsidRPr="004701FB">
          <w:rPr>
            <w:rStyle w:val="Hyperlink"/>
            <w:noProof/>
          </w:rPr>
          <w:t>How A Containable SARS-CoV-2 Outbreak Led to A Pandemic</w:t>
        </w:r>
        <w:r w:rsidR="003329F4">
          <w:rPr>
            <w:noProof/>
            <w:webHidden/>
          </w:rPr>
          <w:tab/>
        </w:r>
        <w:r w:rsidR="003329F4">
          <w:rPr>
            <w:noProof/>
            <w:webHidden/>
          </w:rPr>
          <w:fldChar w:fldCharType="begin"/>
        </w:r>
        <w:r w:rsidR="003329F4">
          <w:rPr>
            <w:noProof/>
            <w:webHidden/>
          </w:rPr>
          <w:instrText xml:space="preserve"> PAGEREF _Toc121035153 \h </w:instrText>
        </w:r>
        <w:r w:rsidR="003329F4">
          <w:rPr>
            <w:noProof/>
            <w:webHidden/>
          </w:rPr>
        </w:r>
        <w:r w:rsidR="003329F4">
          <w:rPr>
            <w:noProof/>
            <w:webHidden/>
          </w:rPr>
          <w:fldChar w:fldCharType="separate"/>
        </w:r>
        <w:r w:rsidR="00421FD6">
          <w:rPr>
            <w:noProof/>
            <w:webHidden/>
          </w:rPr>
          <w:t>65</w:t>
        </w:r>
        <w:r w:rsidR="003329F4">
          <w:rPr>
            <w:noProof/>
            <w:webHidden/>
          </w:rPr>
          <w:fldChar w:fldCharType="end"/>
        </w:r>
      </w:hyperlink>
    </w:p>
    <w:p w14:paraId="2A689163" w14:textId="2E097A1B"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54" w:history="1">
        <w:r w:rsidR="003329F4" w:rsidRPr="004701FB">
          <w:rPr>
            <w:rStyle w:val="Hyperlink"/>
            <w:noProof/>
          </w:rPr>
          <w:t>2.5.1</w:t>
        </w:r>
        <w:r w:rsidR="003329F4">
          <w:rPr>
            <w:rFonts w:eastAsiaTheme="minorEastAsia" w:cstheme="minorBidi"/>
            <w:i w:val="0"/>
            <w:iCs w:val="0"/>
            <w:noProof/>
            <w:sz w:val="24"/>
            <w:szCs w:val="24"/>
            <w:lang w:eastAsia="en-US"/>
          </w:rPr>
          <w:tab/>
        </w:r>
        <w:r w:rsidR="003329F4" w:rsidRPr="004701FB">
          <w:rPr>
            <w:rStyle w:val="Hyperlink"/>
            <w:noProof/>
          </w:rPr>
          <w:t>International Health Regulation Mandate Failures That Helped Ignite the Pandemic</w:t>
        </w:r>
        <w:r w:rsidR="003329F4">
          <w:rPr>
            <w:noProof/>
            <w:webHidden/>
          </w:rPr>
          <w:tab/>
        </w:r>
        <w:r w:rsidR="003329F4">
          <w:rPr>
            <w:noProof/>
            <w:webHidden/>
          </w:rPr>
          <w:fldChar w:fldCharType="begin"/>
        </w:r>
        <w:r w:rsidR="003329F4">
          <w:rPr>
            <w:noProof/>
            <w:webHidden/>
          </w:rPr>
          <w:instrText xml:space="preserve"> PAGEREF _Toc121035154 \h </w:instrText>
        </w:r>
        <w:r w:rsidR="003329F4">
          <w:rPr>
            <w:noProof/>
            <w:webHidden/>
          </w:rPr>
        </w:r>
        <w:r w:rsidR="003329F4">
          <w:rPr>
            <w:noProof/>
            <w:webHidden/>
          </w:rPr>
          <w:fldChar w:fldCharType="separate"/>
        </w:r>
        <w:r w:rsidR="00421FD6">
          <w:rPr>
            <w:noProof/>
            <w:webHidden/>
          </w:rPr>
          <w:t>65</w:t>
        </w:r>
        <w:r w:rsidR="003329F4">
          <w:rPr>
            <w:noProof/>
            <w:webHidden/>
          </w:rPr>
          <w:fldChar w:fldCharType="end"/>
        </w:r>
      </w:hyperlink>
    </w:p>
    <w:p w14:paraId="089E505F" w14:textId="1979B321" w:rsidR="003329F4" w:rsidRDefault="00000000">
      <w:pPr>
        <w:pStyle w:val="TOC3"/>
        <w:tabs>
          <w:tab w:val="left" w:pos="1100"/>
          <w:tab w:val="right" w:leader="dot" w:pos="9350"/>
        </w:tabs>
        <w:rPr>
          <w:rFonts w:eastAsiaTheme="minorEastAsia" w:cstheme="minorBidi"/>
          <w:i w:val="0"/>
          <w:iCs w:val="0"/>
          <w:noProof/>
          <w:sz w:val="24"/>
          <w:szCs w:val="24"/>
          <w:lang w:eastAsia="en-US"/>
        </w:rPr>
      </w:pPr>
      <w:hyperlink w:anchor="_Toc121035155" w:history="1">
        <w:r w:rsidR="003329F4" w:rsidRPr="004701FB">
          <w:rPr>
            <w:rStyle w:val="Hyperlink"/>
            <w:noProof/>
          </w:rPr>
          <w:t>2.5.2</w:t>
        </w:r>
        <w:r w:rsidR="003329F4">
          <w:rPr>
            <w:rFonts w:eastAsiaTheme="minorEastAsia" w:cstheme="minorBidi"/>
            <w:i w:val="0"/>
            <w:iCs w:val="0"/>
            <w:noProof/>
            <w:sz w:val="24"/>
            <w:szCs w:val="24"/>
            <w:lang w:eastAsia="en-US"/>
          </w:rPr>
          <w:tab/>
        </w:r>
        <w:r w:rsidR="003329F4" w:rsidRPr="004701FB">
          <w:rPr>
            <w:rStyle w:val="Hyperlink"/>
            <w:noProof/>
          </w:rPr>
          <w:t>Did WHO Advice Against Travel Restrictions Facilitate Global Viral Spread?</w:t>
        </w:r>
        <w:r w:rsidR="003329F4">
          <w:rPr>
            <w:noProof/>
            <w:webHidden/>
          </w:rPr>
          <w:tab/>
        </w:r>
        <w:r w:rsidR="003329F4">
          <w:rPr>
            <w:noProof/>
            <w:webHidden/>
          </w:rPr>
          <w:fldChar w:fldCharType="begin"/>
        </w:r>
        <w:r w:rsidR="003329F4">
          <w:rPr>
            <w:noProof/>
            <w:webHidden/>
          </w:rPr>
          <w:instrText xml:space="preserve"> PAGEREF _Toc121035155 \h </w:instrText>
        </w:r>
        <w:r w:rsidR="003329F4">
          <w:rPr>
            <w:noProof/>
            <w:webHidden/>
          </w:rPr>
        </w:r>
        <w:r w:rsidR="003329F4">
          <w:rPr>
            <w:noProof/>
            <w:webHidden/>
          </w:rPr>
          <w:fldChar w:fldCharType="separate"/>
        </w:r>
        <w:r w:rsidR="00421FD6">
          <w:rPr>
            <w:noProof/>
            <w:webHidden/>
          </w:rPr>
          <w:t>66</w:t>
        </w:r>
        <w:r w:rsidR="003329F4">
          <w:rPr>
            <w:noProof/>
            <w:webHidden/>
          </w:rPr>
          <w:fldChar w:fldCharType="end"/>
        </w:r>
      </w:hyperlink>
    </w:p>
    <w:p w14:paraId="3C7DF1FA" w14:textId="799F9606"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6" w:history="1">
        <w:r w:rsidR="003329F4" w:rsidRPr="004701FB">
          <w:rPr>
            <w:rStyle w:val="Hyperlink"/>
            <w:noProof/>
          </w:rPr>
          <w:t>2.6</w:t>
        </w:r>
        <w:r w:rsidR="003329F4">
          <w:rPr>
            <w:rFonts w:eastAsiaTheme="minorEastAsia" w:cstheme="minorBidi"/>
            <w:smallCaps w:val="0"/>
            <w:noProof/>
            <w:sz w:val="24"/>
            <w:szCs w:val="24"/>
            <w:lang w:eastAsia="en-US"/>
          </w:rPr>
          <w:tab/>
        </w:r>
        <w:r w:rsidR="003329F4" w:rsidRPr="004701FB">
          <w:rPr>
            <w:rStyle w:val="Hyperlink"/>
            <w:noProof/>
          </w:rPr>
          <w:t>Who Controlled the Potential for Perpetual Mass Death by Coronavirus and COVID-19 Vaccination?</w:t>
        </w:r>
        <w:r w:rsidR="003329F4">
          <w:rPr>
            <w:noProof/>
            <w:webHidden/>
          </w:rPr>
          <w:tab/>
        </w:r>
        <w:r w:rsidR="003329F4">
          <w:rPr>
            <w:noProof/>
            <w:webHidden/>
          </w:rPr>
          <w:fldChar w:fldCharType="begin"/>
        </w:r>
        <w:r w:rsidR="003329F4">
          <w:rPr>
            <w:noProof/>
            <w:webHidden/>
          </w:rPr>
          <w:instrText xml:space="preserve"> PAGEREF _Toc121035156 \h </w:instrText>
        </w:r>
        <w:r w:rsidR="003329F4">
          <w:rPr>
            <w:noProof/>
            <w:webHidden/>
          </w:rPr>
        </w:r>
        <w:r w:rsidR="003329F4">
          <w:rPr>
            <w:noProof/>
            <w:webHidden/>
          </w:rPr>
          <w:fldChar w:fldCharType="separate"/>
        </w:r>
        <w:r w:rsidR="00421FD6">
          <w:rPr>
            <w:noProof/>
            <w:webHidden/>
          </w:rPr>
          <w:t>67</w:t>
        </w:r>
        <w:r w:rsidR="003329F4">
          <w:rPr>
            <w:noProof/>
            <w:webHidden/>
          </w:rPr>
          <w:fldChar w:fldCharType="end"/>
        </w:r>
      </w:hyperlink>
    </w:p>
    <w:p w14:paraId="46B8D6C4" w14:textId="37B3283B"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7" w:history="1">
        <w:r w:rsidR="003329F4" w:rsidRPr="004701FB">
          <w:rPr>
            <w:rStyle w:val="Hyperlink"/>
            <w:noProof/>
          </w:rPr>
          <w:t>2.7</w:t>
        </w:r>
        <w:r w:rsidR="003329F4">
          <w:rPr>
            <w:rFonts w:eastAsiaTheme="minorEastAsia" w:cstheme="minorBidi"/>
            <w:smallCaps w:val="0"/>
            <w:noProof/>
            <w:sz w:val="24"/>
            <w:szCs w:val="24"/>
            <w:lang w:eastAsia="en-US"/>
          </w:rPr>
          <w:tab/>
        </w:r>
        <w:r w:rsidR="003329F4" w:rsidRPr="004701FB">
          <w:rPr>
            <w:rStyle w:val="Hyperlink"/>
            <w:noProof/>
          </w:rPr>
          <w:t>A Pandemic Treaty or Other Legal Instrument before a WHO COVID-19 Investigation?</w:t>
        </w:r>
        <w:r w:rsidR="003329F4">
          <w:rPr>
            <w:noProof/>
            <w:webHidden/>
          </w:rPr>
          <w:tab/>
        </w:r>
        <w:r w:rsidR="003329F4">
          <w:rPr>
            <w:noProof/>
            <w:webHidden/>
          </w:rPr>
          <w:fldChar w:fldCharType="begin"/>
        </w:r>
        <w:r w:rsidR="003329F4">
          <w:rPr>
            <w:noProof/>
            <w:webHidden/>
          </w:rPr>
          <w:instrText xml:space="preserve"> PAGEREF _Toc121035157 \h </w:instrText>
        </w:r>
        <w:r w:rsidR="003329F4">
          <w:rPr>
            <w:noProof/>
            <w:webHidden/>
          </w:rPr>
        </w:r>
        <w:r w:rsidR="003329F4">
          <w:rPr>
            <w:noProof/>
            <w:webHidden/>
          </w:rPr>
          <w:fldChar w:fldCharType="separate"/>
        </w:r>
        <w:r w:rsidR="00421FD6">
          <w:rPr>
            <w:noProof/>
            <w:webHidden/>
          </w:rPr>
          <w:t>68</w:t>
        </w:r>
        <w:r w:rsidR="003329F4">
          <w:rPr>
            <w:noProof/>
            <w:webHidden/>
          </w:rPr>
          <w:fldChar w:fldCharType="end"/>
        </w:r>
      </w:hyperlink>
    </w:p>
    <w:p w14:paraId="3C13F9F7" w14:textId="019C4DAD" w:rsidR="003329F4" w:rsidRDefault="00000000">
      <w:pPr>
        <w:pStyle w:val="TOC1"/>
        <w:rPr>
          <w:rFonts w:eastAsiaTheme="minorEastAsia" w:cstheme="minorBidi"/>
          <w:b w:val="0"/>
          <w:bCs w:val="0"/>
          <w:caps w:val="0"/>
          <w:noProof/>
          <w:sz w:val="24"/>
          <w:szCs w:val="24"/>
          <w:lang w:eastAsia="en-US"/>
        </w:rPr>
      </w:pPr>
      <w:hyperlink w:anchor="_Toc121035158" w:history="1">
        <w:r w:rsidR="003329F4" w:rsidRPr="004701FB">
          <w:rPr>
            <w:rStyle w:val="Hyperlink"/>
            <w:noProof/>
          </w:rPr>
          <w:t>3</w:t>
        </w:r>
        <w:r w:rsidR="003329F4">
          <w:rPr>
            <w:rFonts w:eastAsiaTheme="minorEastAsia" w:cstheme="minorBidi"/>
            <w:b w:val="0"/>
            <w:bCs w:val="0"/>
            <w:caps w:val="0"/>
            <w:noProof/>
            <w:sz w:val="24"/>
            <w:szCs w:val="24"/>
            <w:lang w:eastAsia="en-US"/>
          </w:rPr>
          <w:tab/>
        </w:r>
        <w:r w:rsidR="003329F4" w:rsidRPr="004701FB">
          <w:rPr>
            <w:rStyle w:val="Hyperlink"/>
            <w:noProof/>
          </w:rPr>
          <w:t>RESUME &amp; EXPERIENCE</w:t>
        </w:r>
        <w:r w:rsidR="003329F4">
          <w:rPr>
            <w:noProof/>
            <w:webHidden/>
          </w:rPr>
          <w:tab/>
        </w:r>
        <w:r w:rsidR="003329F4">
          <w:rPr>
            <w:noProof/>
            <w:webHidden/>
          </w:rPr>
          <w:fldChar w:fldCharType="begin"/>
        </w:r>
        <w:r w:rsidR="003329F4">
          <w:rPr>
            <w:noProof/>
            <w:webHidden/>
          </w:rPr>
          <w:instrText xml:space="preserve"> PAGEREF _Toc121035158 \h </w:instrText>
        </w:r>
        <w:r w:rsidR="003329F4">
          <w:rPr>
            <w:noProof/>
            <w:webHidden/>
          </w:rPr>
        </w:r>
        <w:r w:rsidR="003329F4">
          <w:rPr>
            <w:noProof/>
            <w:webHidden/>
          </w:rPr>
          <w:fldChar w:fldCharType="separate"/>
        </w:r>
        <w:r w:rsidR="00421FD6">
          <w:rPr>
            <w:noProof/>
            <w:webHidden/>
          </w:rPr>
          <w:t>70</w:t>
        </w:r>
        <w:r w:rsidR="003329F4">
          <w:rPr>
            <w:noProof/>
            <w:webHidden/>
          </w:rPr>
          <w:fldChar w:fldCharType="end"/>
        </w:r>
      </w:hyperlink>
    </w:p>
    <w:p w14:paraId="65694D9F" w14:textId="4F16DAF7" w:rsidR="003329F4" w:rsidRDefault="00000000">
      <w:pPr>
        <w:pStyle w:val="TOC2"/>
        <w:tabs>
          <w:tab w:val="left" w:pos="880"/>
          <w:tab w:val="right" w:leader="dot" w:pos="9350"/>
        </w:tabs>
        <w:rPr>
          <w:rFonts w:eastAsiaTheme="minorEastAsia" w:cstheme="minorBidi"/>
          <w:smallCaps w:val="0"/>
          <w:noProof/>
          <w:sz w:val="24"/>
          <w:szCs w:val="24"/>
          <w:lang w:eastAsia="en-US"/>
        </w:rPr>
      </w:pPr>
      <w:hyperlink w:anchor="_Toc121035159" w:history="1">
        <w:r w:rsidR="003329F4" w:rsidRPr="004701FB">
          <w:rPr>
            <w:rStyle w:val="Hyperlink"/>
            <w:noProof/>
          </w:rPr>
          <w:t>3.1</w:t>
        </w:r>
        <w:r w:rsidR="003329F4">
          <w:rPr>
            <w:rFonts w:eastAsiaTheme="minorEastAsia" w:cstheme="minorBidi"/>
            <w:smallCaps w:val="0"/>
            <w:noProof/>
            <w:sz w:val="24"/>
            <w:szCs w:val="24"/>
            <w:lang w:eastAsia="en-US"/>
          </w:rPr>
          <w:tab/>
        </w:r>
        <w:r w:rsidR="003329F4" w:rsidRPr="004701FB">
          <w:rPr>
            <w:rStyle w:val="Hyperlink"/>
            <w:noProof/>
          </w:rPr>
          <w:t>An Uncommon Vaccine R&amp;D and Risk Factor Experience with Zoonotic-Mutating RNA Viruses</w:t>
        </w:r>
        <w:r w:rsidR="003329F4">
          <w:rPr>
            <w:noProof/>
            <w:webHidden/>
          </w:rPr>
          <w:tab/>
        </w:r>
        <w:r w:rsidR="003329F4">
          <w:rPr>
            <w:noProof/>
            <w:webHidden/>
          </w:rPr>
          <w:fldChar w:fldCharType="begin"/>
        </w:r>
        <w:r w:rsidR="003329F4">
          <w:rPr>
            <w:noProof/>
            <w:webHidden/>
          </w:rPr>
          <w:instrText xml:space="preserve"> PAGEREF _Toc121035159 \h </w:instrText>
        </w:r>
        <w:r w:rsidR="003329F4">
          <w:rPr>
            <w:noProof/>
            <w:webHidden/>
          </w:rPr>
        </w:r>
        <w:r w:rsidR="003329F4">
          <w:rPr>
            <w:noProof/>
            <w:webHidden/>
          </w:rPr>
          <w:fldChar w:fldCharType="separate"/>
        </w:r>
        <w:r w:rsidR="00421FD6">
          <w:rPr>
            <w:noProof/>
            <w:webHidden/>
          </w:rPr>
          <w:t>70</w:t>
        </w:r>
        <w:r w:rsidR="003329F4">
          <w:rPr>
            <w:noProof/>
            <w:webHidden/>
          </w:rPr>
          <w:fldChar w:fldCharType="end"/>
        </w:r>
      </w:hyperlink>
    </w:p>
    <w:p w14:paraId="13D3C540" w14:textId="7F5BD7F1" w:rsidR="003329F4" w:rsidRDefault="00000000">
      <w:pPr>
        <w:pStyle w:val="TOC1"/>
        <w:rPr>
          <w:rFonts w:eastAsiaTheme="minorEastAsia" w:cstheme="minorBidi"/>
          <w:b w:val="0"/>
          <w:bCs w:val="0"/>
          <w:caps w:val="0"/>
          <w:noProof/>
          <w:sz w:val="24"/>
          <w:szCs w:val="24"/>
          <w:lang w:eastAsia="en-US"/>
        </w:rPr>
      </w:pPr>
      <w:hyperlink w:anchor="_Toc121035160" w:history="1">
        <w:r w:rsidR="003329F4" w:rsidRPr="004701FB">
          <w:rPr>
            <w:rStyle w:val="Hyperlink"/>
            <w:noProof/>
          </w:rPr>
          <w:t>4</w:t>
        </w:r>
        <w:r w:rsidR="003329F4">
          <w:rPr>
            <w:rFonts w:eastAsiaTheme="minorEastAsia" w:cstheme="minorBidi"/>
            <w:b w:val="0"/>
            <w:bCs w:val="0"/>
            <w:caps w:val="0"/>
            <w:noProof/>
            <w:sz w:val="24"/>
            <w:szCs w:val="24"/>
            <w:lang w:eastAsia="en-US"/>
          </w:rPr>
          <w:tab/>
        </w:r>
        <w:r w:rsidR="003329F4" w:rsidRPr="004701FB">
          <w:rPr>
            <w:rStyle w:val="Hyperlink"/>
            <w:noProof/>
          </w:rPr>
          <w:t>REFERENCES</w:t>
        </w:r>
        <w:r w:rsidR="003329F4">
          <w:rPr>
            <w:noProof/>
            <w:webHidden/>
          </w:rPr>
          <w:tab/>
        </w:r>
        <w:r w:rsidR="003329F4">
          <w:rPr>
            <w:noProof/>
            <w:webHidden/>
          </w:rPr>
          <w:fldChar w:fldCharType="begin"/>
        </w:r>
        <w:r w:rsidR="003329F4">
          <w:rPr>
            <w:noProof/>
            <w:webHidden/>
          </w:rPr>
          <w:instrText xml:space="preserve"> PAGEREF _Toc121035160 \h </w:instrText>
        </w:r>
        <w:r w:rsidR="003329F4">
          <w:rPr>
            <w:noProof/>
            <w:webHidden/>
          </w:rPr>
        </w:r>
        <w:r w:rsidR="003329F4">
          <w:rPr>
            <w:noProof/>
            <w:webHidden/>
          </w:rPr>
          <w:fldChar w:fldCharType="separate"/>
        </w:r>
        <w:r w:rsidR="00421FD6">
          <w:rPr>
            <w:noProof/>
            <w:webHidden/>
          </w:rPr>
          <w:t>71</w:t>
        </w:r>
        <w:r w:rsidR="003329F4">
          <w:rPr>
            <w:noProof/>
            <w:webHidden/>
          </w:rPr>
          <w:fldChar w:fldCharType="end"/>
        </w:r>
      </w:hyperlink>
    </w:p>
    <w:p w14:paraId="650358FA" w14:textId="3E42DEB9" w:rsidR="00D7274A" w:rsidRPr="00E77B51" w:rsidRDefault="00C81435" w:rsidP="004D436B">
      <w:pPr>
        <w:rPr>
          <w:b/>
          <w:sz w:val="20"/>
          <w:szCs w:val="20"/>
          <w:u w:val="double"/>
        </w:rPr>
      </w:pPr>
      <w:r w:rsidRPr="00E77B51">
        <w:rPr>
          <w:sz w:val="20"/>
          <w:szCs w:val="20"/>
        </w:rPr>
        <w:fldChar w:fldCharType="end"/>
      </w:r>
      <w:r w:rsidR="00D7274A" w:rsidRPr="00E77B51">
        <w:rPr>
          <w:sz w:val="20"/>
          <w:szCs w:val="20"/>
        </w:rPr>
        <w:br w:type="page"/>
      </w:r>
    </w:p>
    <w:p w14:paraId="045DA6A3" w14:textId="77777777" w:rsidR="0043514D" w:rsidRDefault="0043514D" w:rsidP="006F43B8">
      <w:pPr>
        <w:pStyle w:val="Heading1"/>
        <w:sectPr w:rsidR="0043514D" w:rsidSect="00BC6B40">
          <w:footerReference w:type="even" r:id="rId9"/>
          <w:footerReference w:type="default" r:id="rId10"/>
          <w:endnotePr>
            <w:numFmt w:val="decimal"/>
          </w:endnotePr>
          <w:pgSz w:w="12240" w:h="15840"/>
          <w:pgMar w:top="1296" w:right="1440" w:bottom="1296" w:left="1440" w:header="720" w:footer="720" w:gutter="0"/>
          <w:cols w:space="720"/>
          <w:docGrid w:linePitch="360"/>
        </w:sectPr>
      </w:pPr>
      <w:bookmarkStart w:id="5" w:name="_Toc111367983"/>
    </w:p>
    <w:p w14:paraId="5DDFEF9A" w14:textId="51F52225" w:rsidR="002B40AD" w:rsidRDefault="00D63A44" w:rsidP="006F43B8">
      <w:pPr>
        <w:pStyle w:val="Heading1"/>
      </w:pPr>
      <w:bookmarkStart w:id="6" w:name="_Toc121035116"/>
      <w:r>
        <w:lastRenderedPageBreak/>
        <w:t>COVID-19</w:t>
      </w:r>
      <w:r w:rsidR="00047B15">
        <w:t xml:space="preserve"> </w:t>
      </w:r>
      <w:r w:rsidR="003579E2">
        <w:t xml:space="preserve">VACCINE </w:t>
      </w:r>
      <w:r w:rsidR="009A16BD">
        <w:t>INEFFECTIVENESS</w:t>
      </w:r>
      <w:r w:rsidR="00970C92">
        <w:t xml:space="preserve">, </w:t>
      </w:r>
      <w:r w:rsidR="009A16BD">
        <w:t>HARM</w:t>
      </w:r>
      <w:bookmarkEnd w:id="0"/>
      <w:bookmarkEnd w:id="1"/>
      <w:bookmarkEnd w:id="2"/>
      <w:bookmarkEnd w:id="3"/>
      <w:bookmarkEnd w:id="4"/>
      <w:r w:rsidR="00970C92">
        <w:t xml:space="preserve"> &amp; TOXICITY</w:t>
      </w:r>
      <w:bookmarkEnd w:id="5"/>
      <w:bookmarkEnd w:id="6"/>
    </w:p>
    <w:p w14:paraId="049054C5" w14:textId="6CDE5F00" w:rsidR="006B1804" w:rsidRDefault="006B1804" w:rsidP="00CC3902">
      <w:pPr>
        <w:rPr>
          <w:szCs w:val="22"/>
        </w:rPr>
      </w:pPr>
      <w:r>
        <w:rPr>
          <w:b/>
          <w:bCs w:val="0"/>
          <w:szCs w:val="22"/>
          <w:u w:val="single"/>
        </w:rPr>
        <w:t xml:space="preserve">Part 1 </w:t>
      </w:r>
      <w:r w:rsidR="00DE1149" w:rsidRPr="00DE1149">
        <w:rPr>
          <w:b/>
          <w:bCs w:val="0"/>
          <w:szCs w:val="22"/>
          <w:u w:val="single"/>
        </w:rPr>
        <w:t>Organization</w:t>
      </w:r>
      <w:r w:rsidR="00DE1149">
        <w:rPr>
          <w:szCs w:val="22"/>
        </w:rPr>
        <w:t xml:space="preserve">: </w:t>
      </w:r>
      <w:r w:rsidR="005D1248">
        <w:rPr>
          <w:szCs w:val="22"/>
        </w:rPr>
        <w:t xml:space="preserve">The evidence for </w:t>
      </w:r>
      <w:r w:rsidR="00EC1B14">
        <w:rPr>
          <w:szCs w:val="22"/>
        </w:rPr>
        <w:t xml:space="preserve">COVID-19 vaccine harm </w:t>
      </w:r>
      <w:r w:rsidR="005D1248">
        <w:rPr>
          <w:szCs w:val="22"/>
        </w:rPr>
        <w:t>is</w:t>
      </w:r>
      <w:r w:rsidR="00CC3902" w:rsidRPr="001D0FAF">
        <w:rPr>
          <w:szCs w:val="22"/>
        </w:rPr>
        <w:t xml:space="preserve"> available </w:t>
      </w:r>
      <w:r w:rsidR="00EC1B14">
        <w:rPr>
          <w:szCs w:val="22"/>
        </w:rPr>
        <w:t>via numerous private research studies</w:t>
      </w:r>
      <w:r w:rsidR="00CC3902">
        <w:rPr>
          <w:szCs w:val="22"/>
        </w:rPr>
        <w:t>:</w:t>
      </w:r>
      <w:r w:rsidR="00CC3902" w:rsidRPr="001D0FAF">
        <w:rPr>
          <w:szCs w:val="22"/>
        </w:rPr>
        <w:t xml:space="preserve"> </w:t>
      </w:r>
      <w:r w:rsidR="00CC3902" w:rsidRPr="00AE05D9">
        <w:rPr>
          <w:b/>
          <w:bCs w:val="0"/>
          <w:szCs w:val="22"/>
        </w:rPr>
        <w:t>(1)</w:t>
      </w:r>
      <w:r w:rsidR="00CC3902" w:rsidRPr="001D0FAF">
        <w:rPr>
          <w:szCs w:val="22"/>
        </w:rPr>
        <w:t xml:space="preserve"> </w:t>
      </w:r>
      <w:r w:rsidR="00CC3902">
        <w:rPr>
          <w:szCs w:val="22"/>
        </w:rPr>
        <w:t>Our World in Data (</w:t>
      </w:r>
      <w:r w:rsidR="00CC3902" w:rsidRPr="001D0FAF">
        <w:rPr>
          <w:szCs w:val="22"/>
        </w:rPr>
        <w:t>OWID</w:t>
      </w:r>
      <w:r w:rsidR="00CC3902">
        <w:rPr>
          <w:szCs w:val="22"/>
        </w:rPr>
        <w:t>)</w:t>
      </w:r>
      <w:r w:rsidR="005D1248">
        <w:rPr>
          <w:szCs w:val="22"/>
        </w:rPr>
        <w:t>,</w:t>
      </w:r>
      <w:r w:rsidR="00CC3902" w:rsidRPr="001D0FAF">
        <w:rPr>
          <w:szCs w:val="22"/>
        </w:rPr>
        <w:t xml:space="preserve"> and </w:t>
      </w:r>
      <w:r w:rsidR="00EC1B14" w:rsidRPr="00AD2C16">
        <w:rPr>
          <w:szCs w:val="22"/>
        </w:rPr>
        <w:t>New Zealand</w:t>
      </w:r>
      <w:r w:rsidR="00EC1B14">
        <w:rPr>
          <w:szCs w:val="22"/>
        </w:rPr>
        <w:t>,</w:t>
      </w:r>
      <w:r w:rsidR="00EC1B14" w:rsidRPr="00AD2C16">
        <w:rPr>
          <w:szCs w:val="22"/>
        </w:rPr>
        <w:t xml:space="preserve"> </w:t>
      </w:r>
      <w:r w:rsidR="00CC3902" w:rsidRPr="00AD2C16">
        <w:rPr>
          <w:szCs w:val="22"/>
        </w:rPr>
        <w:t xml:space="preserve">England, Scotland, </w:t>
      </w:r>
      <w:r w:rsidR="005D1248">
        <w:rPr>
          <w:szCs w:val="22"/>
        </w:rPr>
        <w:t xml:space="preserve">and </w:t>
      </w:r>
      <w:r w:rsidR="00CC3902">
        <w:rPr>
          <w:szCs w:val="22"/>
        </w:rPr>
        <w:t>Canada</w:t>
      </w:r>
      <w:r w:rsidR="005D1248">
        <w:rPr>
          <w:szCs w:val="22"/>
        </w:rPr>
        <w:t xml:space="preserve"> </w:t>
      </w:r>
      <w:r w:rsidR="00CC3902" w:rsidRPr="001D0FAF">
        <w:rPr>
          <w:szCs w:val="22"/>
        </w:rPr>
        <w:t>results (</w:t>
      </w:r>
      <w:hyperlink r:id="rId11" w:history="1">
        <w:r w:rsidR="00CC3902" w:rsidRPr="00970C92">
          <w:rPr>
            <w:rStyle w:val="Hyperlink"/>
            <w:b/>
            <w:bCs w:val="0"/>
            <w:szCs w:val="22"/>
            <w:u w:val="none"/>
          </w:rPr>
          <w:t>hyperlink</w:t>
        </w:r>
      </w:hyperlink>
      <w:r w:rsidR="00CC3902" w:rsidRPr="00970C92">
        <w:rPr>
          <w:rStyle w:val="Hyperlink"/>
          <w:b/>
          <w:bCs w:val="0"/>
          <w:szCs w:val="22"/>
          <w:u w:val="none"/>
        </w:rPr>
        <w:t xml:space="preserve"> </w:t>
      </w:r>
      <w:r w:rsidR="00CC3902" w:rsidRPr="00970C92">
        <w:rPr>
          <w:rStyle w:val="Hyperlink"/>
          <w:color w:val="auto"/>
          <w:szCs w:val="22"/>
          <w:u w:val="none"/>
        </w:rPr>
        <w:t xml:space="preserve">to </w:t>
      </w:r>
      <w:r w:rsidR="00EC1B14">
        <w:rPr>
          <w:rStyle w:val="Hyperlink"/>
          <w:color w:val="auto"/>
          <w:szCs w:val="22"/>
          <w:u w:val="none"/>
        </w:rPr>
        <w:t xml:space="preserve">detailed results and annotated </w:t>
      </w:r>
      <w:r w:rsidR="00CC3902" w:rsidRPr="005E2980">
        <w:rPr>
          <w:rStyle w:val="Hyperlink"/>
          <w:color w:val="auto"/>
          <w:szCs w:val="22"/>
          <w:u w:val="none"/>
        </w:rPr>
        <w:t>graphics</w:t>
      </w:r>
      <w:r w:rsidR="00CC3902">
        <w:rPr>
          <w:szCs w:val="22"/>
        </w:rPr>
        <w:t>),</w:t>
      </w:r>
      <w:r w:rsidR="004D2973">
        <w:rPr>
          <w:rStyle w:val="EndnoteReference"/>
          <w:szCs w:val="22"/>
        </w:rPr>
        <w:endnoteReference w:id="1"/>
      </w:r>
      <w:r w:rsidR="00CC3902" w:rsidRPr="008F02B7">
        <w:rPr>
          <w:szCs w:val="22"/>
        </w:rPr>
        <w:t xml:space="preserve"> </w:t>
      </w:r>
      <w:r w:rsidR="00CC3902" w:rsidRPr="001D0FAF">
        <w:rPr>
          <w:szCs w:val="22"/>
        </w:rPr>
        <w:t xml:space="preserve">and </w:t>
      </w:r>
      <w:r w:rsidR="00CC3902" w:rsidRPr="00AE05D9">
        <w:rPr>
          <w:b/>
          <w:bCs w:val="0"/>
          <w:szCs w:val="22"/>
        </w:rPr>
        <w:t>(2)</w:t>
      </w:r>
      <w:r w:rsidR="00CC3902" w:rsidRPr="001D0FAF">
        <w:rPr>
          <w:szCs w:val="22"/>
        </w:rPr>
        <w:t xml:space="preserve"> </w:t>
      </w:r>
      <w:r w:rsidR="00CC3902">
        <w:rPr>
          <w:szCs w:val="22"/>
        </w:rPr>
        <w:t>Vaccine Adverse Event Reporting System (VAERS) t</w:t>
      </w:r>
      <w:r w:rsidR="00CC3902" w:rsidRPr="001D0FAF">
        <w:rPr>
          <w:szCs w:val="22"/>
        </w:rPr>
        <w:t xml:space="preserve">oxic </w:t>
      </w:r>
      <w:r w:rsidR="00CC3902">
        <w:rPr>
          <w:szCs w:val="22"/>
        </w:rPr>
        <w:t>COVID-19</w:t>
      </w:r>
      <w:r w:rsidR="00CC3902" w:rsidRPr="001D0FAF">
        <w:rPr>
          <w:szCs w:val="22"/>
        </w:rPr>
        <w:t xml:space="preserve"> vaccine lot results (</w:t>
      </w:r>
      <w:hyperlink r:id="rId12" w:history="1">
        <w:r w:rsidR="00CC3902" w:rsidRPr="00970C92">
          <w:rPr>
            <w:rStyle w:val="Hyperlink"/>
            <w:b/>
            <w:bCs w:val="0"/>
            <w:szCs w:val="22"/>
            <w:u w:val="none"/>
          </w:rPr>
          <w:t>hyperlink</w:t>
        </w:r>
      </w:hyperlink>
      <w:r w:rsidR="00CC3902">
        <w:rPr>
          <w:rStyle w:val="Hyperlink"/>
          <w:szCs w:val="22"/>
          <w:u w:val="none"/>
        </w:rPr>
        <w:t xml:space="preserve"> </w:t>
      </w:r>
      <w:r w:rsidR="00EC1B14" w:rsidRPr="00970C92">
        <w:rPr>
          <w:rStyle w:val="Hyperlink"/>
          <w:color w:val="auto"/>
          <w:szCs w:val="22"/>
          <w:u w:val="none"/>
        </w:rPr>
        <w:t xml:space="preserve">to </w:t>
      </w:r>
      <w:r w:rsidR="00EC1B14">
        <w:rPr>
          <w:rStyle w:val="Hyperlink"/>
          <w:color w:val="auto"/>
          <w:szCs w:val="22"/>
          <w:u w:val="none"/>
        </w:rPr>
        <w:t xml:space="preserve">detailed results and annotated </w:t>
      </w:r>
      <w:r w:rsidR="00EC1B14" w:rsidRPr="005E2980">
        <w:rPr>
          <w:rStyle w:val="Hyperlink"/>
          <w:color w:val="auto"/>
          <w:szCs w:val="22"/>
          <w:u w:val="none"/>
        </w:rPr>
        <w:t>graphics</w:t>
      </w:r>
      <w:r w:rsidR="00CC3902" w:rsidRPr="001D0FAF">
        <w:rPr>
          <w:szCs w:val="22"/>
        </w:rPr>
        <w:t>)</w:t>
      </w:r>
      <w:r w:rsidR="004D2973">
        <w:rPr>
          <w:rStyle w:val="EndnoteReference"/>
          <w:szCs w:val="22"/>
        </w:rPr>
        <w:endnoteReference w:id="2"/>
      </w:r>
      <w:r w:rsidR="00EC1B14">
        <w:rPr>
          <w:szCs w:val="22"/>
        </w:rPr>
        <w:t xml:space="preserve"> (via my website blogs)</w:t>
      </w:r>
      <w:r w:rsidR="00CC3902">
        <w:rPr>
          <w:szCs w:val="22"/>
        </w:rPr>
        <w:t xml:space="preserve">. </w:t>
      </w:r>
      <w:r w:rsidR="009B7B0C">
        <w:rPr>
          <w:szCs w:val="22"/>
        </w:rPr>
        <w:t>If</w:t>
      </w:r>
      <w:r w:rsidR="00CC3902">
        <w:rPr>
          <w:szCs w:val="22"/>
        </w:rPr>
        <w:t xml:space="preserve"> these results are no longer available online</w:t>
      </w:r>
      <w:r w:rsidR="009B7B0C">
        <w:rPr>
          <w:szCs w:val="22"/>
        </w:rPr>
        <w:t>,</w:t>
      </w:r>
      <w:r w:rsidR="00AE05D9">
        <w:rPr>
          <w:szCs w:val="22"/>
        </w:rPr>
        <w:t xml:space="preserve"> </w:t>
      </w:r>
      <w:r w:rsidR="00CC3902" w:rsidRPr="0077297C">
        <w:rPr>
          <w:szCs w:val="22"/>
        </w:rPr>
        <w:t xml:space="preserve">please </w:t>
      </w:r>
      <w:r w:rsidR="002936D7">
        <w:rPr>
          <w:szCs w:val="22"/>
        </w:rPr>
        <w:t xml:space="preserve">request a copy by </w:t>
      </w:r>
      <w:r w:rsidR="00CC3902" w:rsidRPr="0077297C">
        <w:rPr>
          <w:szCs w:val="22"/>
        </w:rPr>
        <w:t xml:space="preserve">email </w:t>
      </w:r>
      <w:r w:rsidR="00CC3902" w:rsidRPr="001A019F">
        <w:rPr>
          <w:szCs w:val="22"/>
        </w:rPr>
        <w:t>(</w:t>
      </w:r>
      <w:hyperlink r:id="rId13" w:history="1">
        <w:r w:rsidR="00CC3902" w:rsidRPr="008E1188">
          <w:rPr>
            <w:rStyle w:val="Hyperlink"/>
            <w:szCs w:val="22"/>
          </w:rPr>
          <w:t>covid19vaccinesafetynz@protonmail.com</w:t>
        </w:r>
      </w:hyperlink>
      <w:r w:rsidR="00CC3902">
        <w:rPr>
          <w:color w:val="0000FF"/>
          <w:szCs w:val="22"/>
        </w:rPr>
        <w:t>)</w:t>
      </w:r>
      <w:r w:rsidR="00CC3902" w:rsidRPr="00E13FFD">
        <w:rPr>
          <w:color w:val="0000FF"/>
          <w:szCs w:val="22"/>
        </w:rPr>
        <w:t>.</w:t>
      </w:r>
      <w:r w:rsidR="00CC3902">
        <w:rPr>
          <w:color w:val="0000FF"/>
          <w:szCs w:val="22"/>
        </w:rPr>
        <w:t xml:space="preserve"> </w:t>
      </w:r>
      <w:r w:rsidR="00CC3902">
        <w:rPr>
          <w:szCs w:val="22"/>
        </w:rPr>
        <w:t xml:space="preserve">Sections 1.1.1 – 1.1.4 represent the global and national evidence for vaccine-associated enhanced SARS-CoV-2 infection, hospitalization, and death rates. Section 1.2 presents an analysis of one year of vaccine adverse events using data </w:t>
      </w:r>
      <w:r w:rsidR="00FF350C">
        <w:rPr>
          <w:szCs w:val="22"/>
        </w:rPr>
        <w:t>from</w:t>
      </w:r>
      <w:r w:rsidR="00CC3902">
        <w:rPr>
          <w:szCs w:val="22"/>
        </w:rPr>
        <w:t xml:space="preserve"> the US </w:t>
      </w:r>
      <w:r w:rsidR="00631CD8" w:rsidRPr="00631CD8">
        <w:rPr>
          <w:szCs w:val="22"/>
        </w:rPr>
        <w:t xml:space="preserve">Center for Disease Control </w:t>
      </w:r>
      <w:r w:rsidR="00631CD8">
        <w:rPr>
          <w:szCs w:val="22"/>
        </w:rPr>
        <w:t xml:space="preserve">(CDC) Vaccine Adverse Event Reporting System (VAERS). </w:t>
      </w:r>
    </w:p>
    <w:p w14:paraId="4065DA67" w14:textId="5F02DCA3" w:rsidR="00DE1149" w:rsidRPr="00FF350C" w:rsidRDefault="00631CD8" w:rsidP="00CC3902">
      <w:pPr>
        <w:rPr>
          <w:szCs w:val="22"/>
        </w:rPr>
      </w:pPr>
      <w:r>
        <w:rPr>
          <w:szCs w:val="22"/>
        </w:rPr>
        <w:t xml:space="preserve">The enhanced rates of COVID-19 infection and disease </w:t>
      </w:r>
      <w:r w:rsidR="00C02026">
        <w:rPr>
          <w:szCs w:val="22"/>
        </w:rPr>
        <w:t xml:space="preserve">on evidence </w:t>
      </w:r>
      <w:r>
        <w:rPr>
          <w:szCs w:val="22"/>
        </w:rPr>
        <w:t>associated with C</w:t>
      </w:r>
      <w:r w:rsidR="00DE1149">
        <w:rPr>
          <w:szCs w:val="22"/>
        </w:rPr>
        <w:t>O</w:t>
      </w:r>
      <w:r>
        <w:rPr>
          <w:szCs w:val="22"/>
        </w:rPr>
        <w:t xml:space="preserve">VID-19 vaccination </w:t>
      </w:r>
      <w:r w:rsidR="00AA0A95">
        <w:rPr>
          <w:szCs w:val="22"/>
        </w:rPr>
        <w:t>are</w:t>
      </w:r>
      <w:r w:rsidR="00CC3902">
        <w:rPr>
          <w:szCs w:val="22"/>
        </w:rPr>
        <w:t xml:space="preserve"> then </w:t>
      </w:r>
      <w:r w:rsidR="00DE1149">
        <w:rPr>
          <w:szCs w:val="22"/>
        </w:rPr>
        <w:t xml:space="preserve">biologically </w:t>
      </w:r>
      <w:r w:rsidR="00CC3902">
        <w:rPr>
          <w:szCs w:val="22"/>
        </w:rPr>
        <w:t xml:space="preserve">explained in sections 1.1.5-9, </w:t>
      </w:r>
      <w:r>
        <w:rPr>
          <w:szCs w:val="22"/>
        </w:rPr>
        <w:t xml:space="preserve">while the results for the VAERS toxic-harmful vaccine lots </w:t>
      </w:r>
      <w:r w:rsidR="00AA0A95">
        <w:rPr>
          <w:szCs w:val="22"/>
        </w:rPr>
        <w:t>are</w:t>
      </w:r>
      <w:r>
        <w:rPr>
          <w:szCs w:val="22"/>
        </w:rPr>
        <w:t xml:space="preserve"> explained in sections 1.2.1-2 and 1.3. </w:t>
      </w:r>
      <w:r w:rsidR="005D1248">
        <w:rPr>
          <w:szCs w:val="22"/>
        </w:rPr>
        <w:t>R</w:t>
      </w:r>
      <w:r w:rsidR="00AA0A95">
        <w:rPr>
          <w:szCs w:val="22"/>
        </w:rPr>
        <w:t>eviewing this population-level vaccine effectiveness and safety-mortality data in 2022</w:t>
      </w:r>
      <w:r w:rsidR="00DE1149" w:rsidRPr="00275789">
        <w:rPr>
          <w:szCs w:val="22"/>
        </w:rPr>
        <w:t xml:space="preserve"> behooves us to explain the</w:t>
      </w:r>
      <w:r w:rsidR="00AA0A95">
        <w:rPr>
          <w:szCs w:val="22"/>
        </w:rPr>
        <w:t xml:space="preserve"> </w:t>
      </w:r>
      <w:r w:rsidR="00DE1149" w:rsidRPr="00FB1768">
        <w:rPr>
          <w:b/>
          <w:bCs w:val="0"/>
          <w:szCs w:val="22"/>
        </w:rPr>
        <w:t>chasm of difference</w:t>
      </w:r>
      <w:r w:rsidR="00DE1149" w:rsidRPr="00275789">
        <w:rPr>
          <w:szCs w:val="22"/>
        </w:rPr>
        <w:t xml:space="preserve"> between what has arisen </w:t>
      </w:r>
      <w:r w:rsidR="00DE1149">
        <w:rPr>
          <w:szCs w:val="22"/>
        </w:rPr>
        <w:t>in</w:t>
      </w:r>
      <w:r w:rsidR="00DE1149" w:rsidRPr="00275789">
        <w:rPr>
          <w:szCs w:val="22"/>
        </w:rPr>
        <w:t xml:space="preserve"> </w:t>
      </w:r>
      <w:r w:rsidR="00DE1149">
        <w:rPr>
          <w:szCs w:val="22"/>
        </w:rPr>
        <w:t>2021/</w:t>
      </w:r>
      <w:r w:rsidR="00DE1149" w:rsidRPr="00275789">
        <w:rPr>
          <w:szCs w:val="22"/>
        </w:rPr>
        <w:t xml:space="preserve">2022 versus the claimed 95% efficacy and safety narrative touted with </w:t>
      </w:r>
      <w:r w:rsidR="00DE1149">
        <w:rPr>
          <w:szCs w:val="22"/>
        </w:rPr>
        <w:t xml:space="preserve">the first </w:t>
      </w:r>
      <w:r w:rsidR="00DE1149" w:rsidRPr="00275789">
        <w:rPr>
          <w:szCs w:val="22"/>
        </w:rPr>
        <w:t>Emergency Use Authorization (EUA)</w:t>
      </w:r>
      <w:r w:rsidR="00DE1149">
        <w:rPr>
          <w:szCs w:val="22"/>
        </w:rPr>
        <w:t xml:space="preserve"> of COVID-19 vaccines</w:t>
      </w:r>
      <w:r w:rsidR="006B1804">
        <w:rPr>
          <w:szCs w:val="22"/>
        </w:rPr>
        <w:t xml:space="preserve"> in December 2021</w:t>
      </w:r>
      <w:r w:rsidR="00DE1149">
        <w:rPr>
          <w:szCs w:val="22"/>
        </w:rPr>
        <w:t xml:space="preserve">. The </w:t>
      </w:r>
      <w:r w:rsidR="00A85BF4">
        <w:rPr>
          <w:szCs w:val="22"/>
        </w:rPr>
        <w:t>aim</w:t>
      </w:r>
      <w:r w:rsidR="00DE1149">
        <w:rPr>
          <w:szCs w:val="22"/>
        </w:rPr>
        <w:t xml:space="preserve"> of </w:t>
      </w:r>
      <w:r w:rsidR="00A85BF4">
        <w:rPr>
          <w:szCs w:val="22"/>
        </w:rPr>
        <w:t>sections</w:t>
      </w:r>
      <w:r w:rsidR="00CC3902">
        <w:rPr>
          <w:szCs w:val="22"/>
        </w:rPr>
        <w:t xml:space="preserve"> 1.</w:t>
      </w:r>
      <w:r w:rsidR="00DE1149">
        <w:rPr>
          <w:szCs w:val="22"/>
        </w:rPr>
        <w:t>4</w:t>
      </w:r>
      <w:r w:rsidR="00CC3902">
        <w:rPr>
          <w:szCs w:val="22"/>
        </w:rPr>
        <w:t xml:space="preserve"> </w:t>
      </w:r>
      <w:r w:rsidR="00DE1149">
        <w:rPr>
          <w:szCs w:val="22"/>
        </w:rPr>
        <w:t xml:space="preserve">and 1.5 is to explain from a vaccine </w:t>
      </w:r>
      <w:r w:rsidR="00DE1149" w:rsidRPr="00FF350C">
        <w:rPr>
          <w:szCs w:val="22"/>
        </w:rPr>
        <w:t>development perspective how this great chasm of difference arose.</w:t>
      </w:r>
    </w:p>
    <w:p w14:paraId="06A6C6B6" w14:textId="53D25886" w:rsidR="007B2B95" w:rsidRDefault="00CC3902" w:rsidP="00CC3902">
      <w:r w:rsidRPr="00FF350C">
        <w:t>As a general comment applicable to sections 1.2.</w:t>
      </w:r>
      <w:r w:rsidR="00FF350C" w:rsidRPr="00FF350C">
        <w:t>1</w:t>
      </w:r>
      <w:r w:rsidRPr="00FF350C">
        <w:t>-1.5.</w:t>
      </w:r>
      <w:r w:rsidR="006B1804" w:rsidRPr="00FF350C">
        <w:t>4</w:t>
      </w:r>
      <w:r w:rsidR="009B7B0C">
        <w:t>,</w:t>
      </w:r>
      <w:r w:rsidRPr="00FF350C">
        <w:t xml:space="preserve"> Comirnaty’s safety and efficacy were </w:t>
      </w:r>
      <w:r w:rsidRPr="00AE05D9">
        <w:rPr>
          <w:b/>
          <w:bCs w:val="0"/>
        </w:rPr>
        <w:t>prioritized for scrutiny</w:t>
      </w:r>
      <w:r w:rsidRPr="00FF350C">
        <w:t xml:space="preserve"> as an exemplar of COVID-19 mRNA gene-therapy-vaccination. This was done for two reasons. Firstly, </w:t>
      </w:r>
      <w:r w:rsidRPr="00FF350C">
        <w:rPr>
          <w:lang w:eastAsia="en-US"/>
        </w:rPr>
        <w:t xml:space="preserve">because it </w:t>
      </w:r>
      <w:r w:rsidRPr="00FF350C">
        <w:t xml:space="preserve">was the </w:t>
      </w:r>
      <w:r w:rsidR="00AA0A95">
        <w:t>leading</w:t>
      </w:r>
      <w:r w:rsidRPr="00FF350C">
        <w:t xml:space="preserve"> vaccine used by the Ministry of Health and </w:t>
      </w:r>
      <w:r>
        <w:t xml:space="preserve">government </w:t>
      </w:r>
      <w:r w:rsidRPr="003C7941">
        <w:t>in New Zealand</w:t>
      </w:r>
      <w:r>
        <w:t xml:space="preserve"> (i.e., my home country)</w:t>
      </w:r>
      <w:r w:rsidRPr="003C7941">
        <w:rPr>
          <w:lang w:eastAsia="en-US"/>
        </w:rPr>
        <w:t xml:space="preserve">, </w:t>
      </w:r>
      <w:r>
        <w:rPr>
          <w:lang w:eastAsia="en-US"/>
        </w:rPr>
        <w:t>whose vaccination policies, mandates, and campaigns were</w:t>
      </w:r>
      <w:r w:rsidRPr="003C7941">
        <w:rPr>
          <w:lang w:eastAsia="en-US"/>
        </w:rPr>
        <w:t xml:space="preserve"> hugely controversial, nationally divisive, and caused a national outcry linked to </w:t>
      </w:r>
      <w:r>
        <w:rPr>
          <w:lang w:eastAsia="en-US"/>
        </w:rPr>
        <w:t xml:space="preserve">unprecedented </w:t>
      </w:r>
      <w:r w:rsidRPr="003C7941">
        <w:rPr>
          <w:lang w:eastAsia="en-US"/>
        </w:rPr>
        <w:t>community</w:t>
      </w:r>
      <w:r>
        <w:rPr>
          <w:lang w:eastAsia="en-US"/>
        </w:rPr>
        <w:t xml:space="preserve"> </w:t>
      </w:r>
      <w:r w:rsidRPr="003C7941">
        <w:rPr>
          <w:lang w:eastAsia="en-US"/>
        </w:rPr>
        <w:t xml:space="preserve">harm </w:t>
      </w:r>
      <w:r w:rsidR="00AA0A95">
        <w:rPr>
          <w:lang w:eastAsia="en-US"/>
        </w:rPr>
        <w:t>essentially</w:t>
      </w:r>
      <w:r>
        <w:rPr>
          <w:lang w:eastAsia="en-US"/>
        </w:rPr>
        <w:t xml:space="preserve"> explained as unattributable to COVID-19 vaccination</w:t>
      </w:r>
      <w:r w:rsidR="00FF350C">
        <w:rPr>
          <w:lang w:eastAsia="en-US"/>
        </w:rPr>
        <w:t xml:space="preserve"> (i.e., preexisting </w:t>
      </w:r>
      <w:r w:rsidR="00C02026">
        <w:rPr>
          <w:lang w:eastAsia="en-US"/>
        </w:rPr>
        <w:t xml:space="preserve">medical </w:t>
      </w:r>
      <w:r w:rsidR="00DD509F">
        <w:rPr>
          <w:lang w:eastAsia="en-US"/>
        </w:rPr>
        <w:t>conditions</w:t>
      </w:r>
      <w:r w:rsidR="00FF350C">
        <w:rPr>
          <w:lang w:eastAsia="en-US"/>
        </w:rPr>
        <w:t>)</w:t>
      </w:r>
      <w:r>
        <w:rPr>
          <w:lang w:eastAsia="en-US"/>
        </w:rPr>
        <w:t xml:space="preserve">. </w:t>
      </w:r>
      <w:r w:rsidRPr="003C7941">
        <w:t xml:space="preserve">Secondly, Comirnaty was associated with the highest number of deaths and hospitalizations </w:t>
      </w:r>
      <w:r>
        <w:t>in the USA</w:t>
      </w:r>
      <w:r w:rsidRPr="003C7941">
        <w:t xml:space="preserve"> in the </w:t>
      </w:r>
      <w:r>
        <w:t xml:space="preserve">first 12 months since its EUA approval by the </w:t>
      </w:r>
      <w:r w:rsidRPr="001F778D">
        <w:rPr>
          <w:rFonts w:cs="Times New Roman"/>
          <w:szCs w:val="22"/>
        </w:rPr>
        <w:t xml:space="preserve">Food and Drug Administration </w:t>
      </w:r>
      <w:r>
        <w:rPr>
          <w:rFonts w:cs="Times New Roman"/>
          <w:szCs w:val="22"/>
        </w:rPr>
        <w:t>(</w:t>
      </w:r>
      <w:r>
        <w:t>FDA).</w:t>
      </w:r>
      <w:r w:rsidR="007B2B95">
        <w:t xml:space="preserve"> The FDA </w:t>
      </w:r>
      <w:r w:rsidR="00AA0A95">
        <w:t>wa</w:t>
      </w:r>
      <w:r w:rsidR="007B2B95">
        <w:t xml:space="preserve">s a </w:t>
      </w:r>
      <w:r w:rsidR="00AA0A95">
        <w:t>crucial</w:t>
      </w:r>
      <w:r w:rsidR="007B2B95">
        <w:t xml:space="preserve"> focus because it first approved Comirnaty as the first </w:t>
      </w:r>
      <w:r w:rsidR="00DD509F">
        <w:t>vaccine</w:t>
      </w:r>
      <w:r w:rsidR="003B4B01">
        <w:t xml:space="preserve"> for government use</w:t>
      </w:r>
      <w:r w:rsidR="00AA0A95">
        <w:t xml:space="preserve"> and exert</w:t>
      </w:r>
      <w:r w:rsidR="00D13106">
        <w:t>ed</w:t>
      </w:r>
      <w:r w:rsidR="00AA0A95">
        <w:t xml:space="preserve"> a global influence</w:t>
      </w:r>
      <w:r w:rsidR="007B2B95">
        <w:t>.</w:t>
      </w:r>
      <w:r>
        <w:t xml:space="preserve"> </w:t>
      </w:r>
    </w:p>
    <w:p w14:paraId="37CDCD52" w14:textId="7FBC5B2E" w:rsidR="00CC3902" w:rsidRPr="008E1188" w:rsidRDefault="005D1248" w:rsidP="00CC3902">
      <w:pPr>
        <w:rPr>
          <w:szCs w:val="22"/>
        </w:rPr>
      </w:pPr>
      <w:r>
        <w:rPr>
          <w:rFonts w:cs="Times New Roman"/>
          <w:szCs w:val="22"/>
        </w:rPr>
        <w:t>Various</w:t>
      </w:r>
      <w:r w:rsidR="00CC3902">
        <w:rPr>
          <w:rFonts w:cs="Times New Roman"/>
          <w:szCs w:val="22"/>
        </w:rPr>
        <w:t xml:space="preserve"> FDA (USA), European Medicines Agency (EMA, EU), and </w:t>
      </w:r>
      <w:r w:rsidR="00CC3902" w:rsidRPr="001F2D2F">
        <w:rPr>
          <w:rFonts w:cs="Times New Roman"/>
          <w:szCs w:val="22"/>
        </w:rPr>
        <w:t>Therapeutic Goods Administration</w:t>
      </w:r>
      <w:r w:rsidR="00CC3902">
        <w:rPr>
          <w:rFonts w:cs="Times New Roman"/>
          <w:szCs w:val="22"/>
        </w:rPr>
        <w:t xml:space="preserve"> (TGA, Australia) regulator-provided </w:t>
      </w:r>
      <w:r w:rsidR="00B1014C">
        <w:rPr>
          <w:rFonts w:cs="Times New Roman"/>
          <w:szCs w:val="22"/>
        </w:rPr>
        <w:t xml:space="preserve">(cited in section 1.4) </w:t>
      </w:r>
      <w:r>
        <w:rPr>
          <w:rFonts w:cs="Times New Roman"/>
          <w:szCs w:val="22"/>
        </w:rPr>
        <w:t xml:space="preserve">and other </w:t>
      </w:r>
      <w:r w:rsidR="00B1014C">
        <w:rPr>
          <w:rFonts w:cs="Times New Roman"/>
          <w:szCs w:val="22"/>
        </w:rPr>
        <w:t xml:space="preserve">specifically cited </w:t>
      </w:r>
      <w:r w:rsidR="00CC3902">
        <w:rPr>
          <w:rFonts w:cs="Times New Roman"/>
          <w:szCs w:val="22"/>
        </w:rPr>
        <w:t xml:space="preserve">documents supporting Comirnaty’s EUA approval were </w:t>
      </w:r>
      <w:r w:rsidR="00CC3902" w:rsidRPr="00876500">
        <w:rPr>
          <w:rFonts w:cs="Times New Roman"/>
          <w:iCs/>
          <w:szCs w:val="22"/>
        </w:rPr>
        <w:t>reviewed</w:t>
      </w:r>
      <w:r w:rsidR="00CC3902">
        <w:rPr>
          <w:rFonts w:cs="Times New Roman"/>
          <w:iCs/>
          <w:szCs w:val="22"/>
        </w:rPr>
        <w:t xml:space="preserve"> for a broader safety understanding independent of New Zealand’s </w:t>
      </w:r>
      <w:r w:rsidR="00B1014C">
        <w:rPr>
          <w:rFonts w:cs="Times New Roman"/>
          <w:iCs/>
          <w:szCs w:val="22"/>
        </w:rPr>
        <w:t>Medsafe</w:t>
      </w:r>
      <w:r w:rsidR="00CC3902">
        <w:rPr>
          <w:rFonts w:cs="Times New Roman"/>
          <w:iCs/>
          <w:szCs w:val="22"/>
        </w:rPr>
        <w:t xml:space="preserve"> and Ministry of Health assessment</w:t>
      </w:r>
      <w:r w:rsidR="00B1014C">
        <w:rPr>
          <w:rFonts w:cs="Times New Roman"/>
          <w:iCs/>
          <w:szCs w:val="22"/>
        </w:rPr>
        <w:t>s</w:t>
      </w:r>
      <w:r w:rsidR="007B2B95">
        <w:rPr>
          <w:rFonts w:cs="Times New Roman"/>
          <w:iCs/>
          <w:szCs w:val="22"/>
        </w:rPr>
        <w:t>. This was done so</w:t>
      </w:r>
      <w:r w:rsidR="00CC3902">
        <w:rPr>
          <w:rFonts w:cs="Times New Roman"/>
          <w:iCs/>
          <w:szCs w:val="22"/>
        </w:rPr>
        <w:t xml:space="preserve"> New Zealand</w:t>
      </w:r>
      <w:r w:rsidR="007B2B95">
        <w:rPr>
          <w:rFonts w:cs="Times New Roman"/>
          <w:iCs/>
          <w:szCs w:val="22"/>
        </w:rPr>
        <w:t xml:space="preserve">’s </w:t>
      </w:r>
      <w:r w:rsidR="00B1014C">
        <w:rPr>
          <w:rFonts w:cs="Times New Roman"/>
          <w:iCs/>
          <w:szCs w:val="22"/>
        </w:rPr>
        <w:t>MoH</w:t>
      </w:r>
      <w:r w:rsidR="00DD509F">
        <w:rPr>
          <w:rFonts w:cs="Times New Roman"/>
          <w:iCs/>
          <w:szCs w:val="22"/>
        </w:rPr>
        <w:t xml:space="preserve"> leaders</w:t>
      </w:r>
      <w:r w:rsidR="007B2B95">
        <w:rPr>
          <w:rFonts w:cs="Times New Roman"/>
          <w:iCs/>
          <w:szCs w:val="22"/>
        </w:rPr>
        <w:t xml:space="preserve">, government and </w:t>
      </w:r>
      <w:r w:rsidR="00CC3902">
        <w:rPr>
          <w:rFonts w:cs="Times New Roman"/>
          <w:iCs/>
          <w:szCs w:val="22"/>
        </w:rPr>
        <w:t>politicians, academics, healthcare</w:t>
      </w:r>
      <w:r w:rsidR="000E6DDE">
        <w:rPr>
          <w:rFonts w:cs="Times New Roman"/>
          <w:iCs/>
          <w:szCs w:val="22"/>
        </w:rPr>
        <w:t>,</w:t>
      </w:r>
      <w:r w:rsidR="00CC3902">
        <w:rPr>
          <w:rFonts w:cs="Times New Roman"/>
          <w:iCs/>
          <w:szCs w:val="22"/>
        </w:rPr>
        <w:t xml:space="preserve"> and other stakeholders could more broadly understand </w:t>
      </w:r>
      <w:r w:rsidR="007B2B95">
        <w:rPr>
          <w:rFonts w:cs="Times New Roman"/>
          <w:iCs/>
          <w:szCs w:val="22"/>
        </w:rPr>
        <w:t xml:space="preserve">what has arisen </w:t>
      </w:r>
      <w:r w:rsidR="00DD509F">
        <w:rPr>
          <w:rFonts w:cs="Times New Roman"/>
          <w:iCs/>
          <w:szCs w:val="22"/>
        </w:rPr>
        <w:t xml:space="preserve">overseas and within </w:t>
      </w:r>
      <w:r w:rsidR="007B2B95">
        <w:rPr>
          <w:rFonts w:cs="Times New Roman"/>
          <w:iCs/>
          <w:szCs w:val="22"/>
        </w:rPr>
        <w:t xml:space="preserve">New Zealand </w:t>
      </w:r>
      <w:r w:rsidR="00DD509F">
        <w:rPr>
          <w:rFonts w:cs="Times New Roman"/>
          <w:iCs/>
          <w:szCs w:val="22"/>
        </w:rPr>
        <w:t xml:space="preserve">beyond </w:t>
      </w:r>
      <w:r w:rsidR="00B1014C">
        <w:rPr>
          <w:rFonts w:cs="Times New Roman"/>
          <w:iCs/>
          <w:szCs w:val="22"/>
        </w:rPr>
        <w:t>the</w:t>
      </w:r>
      <w:r w:rsidR="00FF350C">
        <w:rPr>
          <w:rFonts w:cs="Times New Roman"/>
          <w:iCs/>
          <w:szCs w:val="22"/>
        </w:rPr>
        <w:t xml:space="preserve"> </w:t>
      </w:r>
      <w:r w:rsidR="00B1014C">
        <w:rPr>
          <w:rFonts w:cs="Times New Roman"/>
          <w:iCs/>
          <w:szCs w:val="22"/>
        </w:rPr>
        <w:t xml:space="preserve">invoked </w:t>
      </w:r>
      <w:r w:rsidR="00CC3902">
        <w:rPr>
          <w:rFonts w:cs="Times New Roman"/>
          <w:iCs/>
          <w:szCs w:val="22"/>
        </w:rPr>
        <w:t xml:space="preserve">narrative. </w:t>
      </w:r>
    </w:p>
    <w:p w14:paraId="6EC79CDD" w14:textId="2A1E5EC7" w:rsidR="000E6DDE" w:rsidRPr="000E6DDE" w:rsidRDefault="00CC3902" w:rsidP="00CC3902">
      <w:pPr>
        <w:rPr>
          <w:szCs w:val="22"/>
        </w:rPr>
      </w:pPr>
      <w:r w:rsidRPr="007C6BC0">
        <w:rPr>
          <w:szCs w:val="22"/>
        </w:rPr>
        <w:lastRenderedPageBreak/>
        <w:t xml:space="preserve">You will find a </w:t>
      </w:r>
      <w:r w:rsidRPr="007B2B95">
        <w:rPr>
          <w:b/>
          <w:bCs w:val="0"/>
          <w:szCs w:val="22"/>
        </w:rPr>
        <w:t>fundamental difference</w:t>
      </w:r>
      <w:r w:rsidRPr="007C6BC0">
        <w:rPr>
          <w:szCs w:val="22"/>
        </w:rPr>
        <w:t xml:space="preserve"> in the </w:t>
      </w:r>
      <w:r w:rsidR="00DD509F">
        <w:rPr>
          <w:szCs w:val="22"/>
        </w:rPr>
        <w:t xml:space="preserve">vaccinated </w:t>
      </w:r>
      <w:r w:rsidRPr="007C6BC0">
        <w:rPr>
          <w:szCs w:val="22"/>
        </w:rPr>
        <w:t xml:space="preserve">risk-related conclusions of these analytical summaries versus </w:t>
      </w:r>
      <w:r>
        <w:rPr>
          <w:szCs w:val="22"/>
        </w:rPr>
        <w:t xml:space="preserve">the </w:t>
      </w:r>
      <w:r w:rsidR="007B2B95">
        <w:rPr>
          <w:szCs w:val="22"/>
        </w:rPr>
        <w:t xml:space="preserve">efficacy and </w:t>
      </w:r>
      <w:r>
        <w:rPr>
          <w:szCs w:val="22"/>
        </w:rPr>
        <w:t>safety narratives</w:t>
      </w:r>
      <w:r w:rsidRPr="007C6BC0">
        <w:rPr>
          <w:szCs w:val="22"/>
        </w:rPr>
        <w:t xml:space="preserve"> provided by </w:t>
      </w:r>
      <w:r w:rsidR="000E6DDE">
        <w:rPr>
          <w:szCs w:val="22"/>
        </w:rPr>
        <w:t xml:space="preserve">these </w:t>
      </w:r>
      <w:r w:rsidRPr="007C6BC0">
        <w:rPr>
          <w:szCs w:val="22"/>
        </w:rPr>
        <w:t xml:space="preserve">governments </w:t>
      </w:r>
      <w:r>
        <w:rPr>
          <w:szCs w:val="22"/>
        </w:rPr>
        <w:t>(sections 1.1.2-4)</w:t>
      </w:r>
      <w:r w:rsidRPr="007C6BC0">
        <w:rPr>
          <w:szCs w:val="22"/>
        </w:rPr>
        <w:t xml:space="preserve">. These differences are </w:t>
      </w:r>
      <w:r w:rsidR="000E6DDE">
        <w:rPr>
          <w:b/>
          <w:bCs w:val="0"/>
          <w:szCs w:val="22"/>
        </w:rPr>
        <w:t>fully r</w:t>
      </w:r>
      <w:r w:rsidRPr="00DD509F">
        <w:rPr>
          <w:b/>
          <w:bCs w:val="0"/>
          <w:szCs w:val="22"/>
        </w:rPr>
        <w:t>econcilable</w:t>
      </w:r>
      <w:r w:rsidRPr="007C6BC0">
        <w:rPr>
          <w:szCs w:val="22"/>
        </w:rPr>
        <w:t xml:space="preserve"> when you comprehend the significant </w:t>
      </w:r>
      <w:r w:rsidRPr="009B1A0E">
        <w:rPr>
          <w:b/>
          <w:bCs w:val="0"/>
          <w:szCs w:val="22"/>
        </w:rPr>
        <w:t>numerator and denominator biases</w:t>
      </w:r>
      <w:r w:rsidRPr="007C6BC0">
        <w:rPr>
          <w:szCs w:val="22"/>
        </w:rPr>
        <w:t xml:space="preserve"> </w:t>
      </w:r>
      <w:r w:rsidR="001D4E99">
        <w:rPr>
          <w:szCs w:val="22"/>
        </w:rPr>
        <w:t>evident in</w:t>
      </w:r>
      <w:r w:rsidRPr="007C6BC0">
        <w:rPr>
          <w:szCs w:val="22"/>
        </w:rPr>
        <w:t xml:space="preserve"> </w:t>
      </w:r>
      <w:r w:rsidR="001D4E99">
        <w:rPr>
          <w:szCs w:val="22"/>
        </w:rPr>
        <w:t xml:space="preserve">these </w:t>
      </w:r>
      <w:r w:rsidRPr="007C6BC0">
        <w:rPr>
          <w:szCs w:val="22"/>
        </w:rPr>
        <w:t xml:space="preserve">healthcare </w:t>
      </w:r>
      <w:r w:rsidR="000E6DDE">
        <w:rPr>
          <w:szCs w:val="22"/>
        </w:rPr>
        <w:t>agencies'</w:t>
      </w:r>
      <w:r w:rsidRPr="007C6BC0">
        <w:rPr>
          <w:szCs w:val="22"/>
        </w:rPr>
        <w:t xml:space="preserve"> </w:t>
      </w:r>
      <w:r>
        <w:rPr>
          <w:szCs w:val="22"/>
        </w:rPr>
        <w:t xml:space="preserve">calculable </w:t>
      </w:r>
      <w:r w:rsidR="001D4E99">
        <w:rPr>
          <w:szCs w:val="22"/>
        </w:rPr>
        <w:t xml:space="preserve">unvaccinated </w:t>
      </w:r>
      <w:r w:rsidR="000E6DDE">
        <w:rPr>
          <w:szCs w:val="22"/>
        </w:rPr>
        <w:t xml:space="preserve">COVID-19 </w:t>
      </w:r>
      <w:r>
        <w:rPr>
          <w:szCs w:val="22"/>
        </w:rPr>
        <w:t>case rate</w:t>
      </w:r>
      <w:r w:rsidR="001D4E99">
        <w:rPr>
          <w:szCs w:val="22"/>
        </w:rPr>
        <w:t>s</w:t>
      </w:r>
      <w:r w:rsidR="000E6DDE">
        <w:rPr>
          <w:szCs w:val="22"/>
        </w:rPr>
        <w:t xml:space="preserve"> (i.e., infections, hospitalizations, and deaths)</w:t>
      </w:r>
      <w:r>
        <w:rPr>
          <w:szCs w:val="22"/>
        </w:rPr>
        <w:t>. Th</w:t>
      </w:r>
      <w:r w:rsidR="001D4E99">
        <w:rPr>
          <w:szCs w:val="22"/>
        </w:rPr>
        <w:t xml:space="preserve">ese </w:t>
      </w:r>
      <w:r w:rsidR="00A7104F">
        <w:rPr>
          <w:szCs w:val="22"/>
        </w:rPr>
        <w:t>evident</w:t>
      </w:r>
      <w:r w:rsidR="000E6DDE">
        <w:rPr>
          <w:szCs w:val="22"/>
        </w:rPr>
        <w:t xml:space="preserve"> </w:t>
      </w:r>
      <w:r w:rsidR="001D4E99">
        <w:rPr>
          <w:szCs w:val="22"/>
        </w:rPr>
        <w:t>biases</w:t>
      </w:r>
      <w:r>
        <w:rPr>
          <w:szCs w:val="22"/>
        </w:rPr>
        <w:t xml:space="preserve"> </w:t>
      </w:r>
      <w:r w:rsidR="00AA0A95">
        <w:rPr>
          <w:szCs w:val="22"/>
        </w:rPr>
        <w:t>essentially eliminated</w:t>
      </w:r>
      <w:r w:rsidRPr="007C6BC0">
        <w:rPr>
          <w:szCs w:val="22"/>
        </w:rPr>
        <w:t xml:space="preserve"> the </w:t>
      </w:r>
      <w:r>
        <w:rPr>
          <w:szCs w:val="22"/>
        </w:rPr>
        <w:t>negative vaccine effectiveness</w:t>
      </w:r>
      <w:r w:rsidR="007B2B95">
        <w:rPr>
          <w:szCs w:val="22"/>
        </w:rPr>
        <w:t xml:space="preserve"> in the underlying data</w:t>
      </w:r>
      <w:r w:rsidR="001D4E99">
        <w:rPr>
          <w:szCs w:val="22"/>
        </w:rPr>
        <w:t xml:space="preserve"> (</w:t>
      </w:r>
      <w:r w:rsidR="001D4E99" w:rsidRPr="007C6BC0">
        <w:rPr>
          <w:szCs w:val="22"/>
        </w:rPr>
        <w:t>section 1.1.5</w:t>
      </w:r>
      <w:r w:rsidR="001D4E99">
        <w:rPr>
          <w:szCs w:val="22"/>
        </w:rPr>
        <w:t>)</w:t>
      </w:r>
      <w:r w:rsidRPr="007C6BC0">
        <w:rPr>
          <w:szCs w:val="22"/>
        </w:rPr>
        <w:t xml:space="preserve">. </w:t>
      </w:r>
      <w:r>
        <w:rPr>
          <w:rFonts w:cs="Times New Roman"/>
        </w:rPr>
        <w:t>T</w:t>
      </w:r>
      <w:r w:rsidRPr="007C6BC0">
        <w:rPr>
          <w:rFonts w:cs="Times New Roman"/>
        </w:rPr>
        <w:t xml:space="preserve">o </w:t>
      </w:r>
      <w:r w:rsidR="00182EA7">
        <w:rPr>
          <w:rFonts w:cs="Times New Roman"/>
        </w:rPr>
        <w:t>remove</w:t>
      </w:r>
      <w:r w:rsidRPr="00973615">
        <w:rPr>
          <w:rFonts w:cs="Times New Roman"/>
        </w:rPr>
        <w:t xml:space="preserve"> these biases,</w:t>
      </w:r>
      <w:r w:rsidRPr="007C6BC0">
        <w:rPr>
          <w:rFonts w:cs="Times New Roman"/>
        </w:rPr>
        <w:t xml:space="preserve"> I dis-aggregated the 2021-2022 cases from their cumulative totals (2020) using </w:t>
      </w:r>
      <w:r w:rsidR="00182EA7">
        <w:rPr>
          <w:rFonts w:cs="Times New Roman"/>
        </w:rPr>
        <w:t>archived web</w:t>
      </w:r>
      <w:r w:rsidRPr="007C6BC0">
        <w:rPr>
          <w:rFonts w:cs="Times New Roman"/>
        </w:rPr>
        <w:t xml:space="preserve"> data, used the most recent government population estimates/census data to derive the residual unvaccinated population totals (2021), and then calculated period-specified </w:t>
      </w:r>
      <w:r>
        <w:rPr>
          <w:rFonts w:cs="Times New Roman"/>
        </w:rPr>
        <w:t xml:space="preserve">crude </w:t>
      </w:r>
      <w:r w:rsidRPr="007C6BC0">
        <w:rPr>
          <w:rFonts w:cs="Times New Roman"/>
        </w:rPr>
        <w:t xml:space="preserve">cumulative case rates. </w:t>
      </w:r>
    </w:p>
    <w:p w14:paraId="1C9816CE" w14:textId="54CCCD58" w:rsidR="0036798D" w:rsidRPr="00923496" w:rsidRDefault="00CC3902" w:rsidP="00CC3902">
      <w:pPr>
        <w:rPr>
          <w:rFonts w:cs="Times New Roman"/>
        </w:rPr>
      </w:pPr>
      <w:r>
        <w:rPr>
          <w:rFonts w:cs="Times New Roman"/>
        </w:rPr>
        <w:t xml:space="preserve">The </w:t>
      </w:r>
      <w:r w:rsidRPr="000E6DDE">
        <w:rPr>
          <w:rFonts w:cs="Times New Roman"/>
          <w:b/>
          <w:bCs w:val="0"/>
        </w:rPr>
        <w:t>purpose</w:t>
      </w:r>
      <w:r>
        <w:rPr>
          <w:rFonts w:cs="Times New Roman"/>
        </w:rPr>
        <w:t xml:space="preserve"> of th</w:t>
      </w:r>
      <w:r w:rsidR="000E6DDE">
        <w:rPr>
          <w:rFonts w:cs="Times New Roman"/>
        </w:rPr>
        <w:t>ese</w:t>
      </w:r>
      <w:r>
        <w:rPr>
          <w:rFonts w:cs="Times New Roman"/>
        </w:rPr>
        <w:t xml:space="preserve"> analys</w:t>
      </w:r>
      <w:r w:rsidR="000E6DDE">
        <w:rPr>
          <w:rFonts w:cs="Times New Roman"/>
        </w:rPr>
        <w:t>e</w:t>
      </w:r>
      <w:r>
        <w:rPr>
          <w:rFonts w:cs="Times New Roman"/>
        </w:rPr>
        <w:t xml:space="preserve">s was to </w:t>
      </w:r>
      <w:r w:rsidR="0036798D">
        <w:rPr>
          <w:rFonts w:cs="Times New Roman"/>
        </w:rPr>
        <w:t>prove there were important population level</w:t>
      </w:r>
      <w:r>
        <w:rPr>
          <w:rFonts w:cs="Times New Roman"/>
        </w:rPr>
        <w:t xml:space="preserve"> safety signals </w:t>
      </w:r>
      <w:r w:rsidR="0036798D">
        <w:rPr>
          <w:rFonts w:cs="Times New Roman"/>
        </w:rPr>
        <w:t xml:space="preserve">evident </w:t>
      </w:r>
      <w:r w:rsidR="001D4E99">
        <w:rPr>
          <w:rFonts w:cs="Times New Roman"/>
        </w:rPr>
        <w:t>in government vaccine surveillance and pharmacovigilance data and</w:t>
      </w:r>
      <w:r w:rsidR="001D4E99" w:rsidRPr="00B04D36">
        <w:rPr>
          <w:szCs w:val="22"/>
        </w:rPr>
        <w:t xml:space="preserve"> </w:t>
      </w:r>
      <w:r w:rsidR="001D4E99">
        <w:rPr>
          <w:szCs w:val="22"/>
        </w:rPr>
        <w:t xml:space="preserve">share this evidence-based information </w:t>
      </w:r>
      <w:r w:rsidR="00A85BF4">
        <w:rPr>
          <w:szCs w:val="22"/>
        </w:rPr>
        <w:t>to</w:t>
      </w:r>
      <w:r w:rsidR="001D4E99">
        <w:rPr>
          <w:szCs w:val="22"/>
        </w:rPr>
        <w:t xml:space="preserve"> </w:t>
      </w:r>
      <w:r w:rsidR="001D4E99" w:rsidRPr="0036798D">
        <w:rPr>
          <w:b/>
          <w:bCs w:val="0"/>
          <w:szCs w:val="22"/>
        </w:rPr>
        <w:t>catalyze</w:t>
      </w:r>
      <w:r w:rsidR="001D4E99" w:rsidRPr="00B04D36">
        <w:rPr>
          <w:szCs w:val="22"/>
        </w:rPr>
        <w:t xml:space="preserve"> </w:t>
      </w:r>
      <w:r w:rsidR="00923496">
        <w:rPr>
          <w:szCs w:val="22"/>
        </w:rPr>
        <w:t xml:space="preserve">(1) a broader awareness of this New Zealand and overseas evidence for negative vaccine effectiveness, vaccine failure, and toxic vaccine lots, (2) </w:t>
      </w:r>
      <w:r w:rsidR="00923496" w:rsidRPr="00B04D36">
        <w:rPr>
          <w:szCs w:val="22"/>
        </w:rPr>
        <w:t xml:space="preserve">scrutiny of </w:t>
      </w:r>
      <w:r w:rsidR="00923496">
        <w:rPr>
          <w:szCs w:val="22"/>
        </w:rPr>
        <w:t xml:space="preserve">the statistical biases </w:t>
      </w:r>
      <w:r w:rsidR="00923496">
        <w:rPr>
          <w:bCs w:val="0"/>
          <w:szCs w:val="22"/>
        </w:rPr>
        <w:t>evident in</w:t>
      </w:r>
      <w:r w:rsidR="00923496">
        <w:rPr>
          <w:szCs w:val="22"/>
        </w:rPr>
        <w:t xml:space="preserve"> the MoH and other healthcare agencies</w:t>
      </w:r>
      <w:r w:rsidR="00923496">
        <w:rPr>
          <w:bCs w:val="0"/>
          <w:szCs w:val="22"/>
        </w:rPr>
        <w:t xml:space="preserve">’ </w:t>
      </w:r>
      <w:r w:rsidR="00923496">
        <w:rPr>
          <w:szCs w:val="22"/>
        </w:rPr>
        <w:t xml:space="preserve">calculable unvaccinated COVID-19 case rates, which essentially eliminated the negative vaccine effectiveness signal, (3) </w:t>
      </w:r>
      <w:r w:rsidR="00923496" w:rsidRPr="00B04D36">
        <w:rPr>
          <w:szCs w:val="22"/>
        </w:rPr>
        <w:t xml:space="preserve">clinical research into </w:t>
      </w:r>
      <w:r w:rsidR="00923496">
        <w:rPr>
          <w:szCs w:val="22"/>
        </w:rPr>
        <w:t xml:space="preserve">COVID-19 </w:t>
      </w:r>
      <w:r w:rsidR="00923496" w:rsidRPr="006A074E">
        <w:rPr>
          <w:szCs w:val="22"/>
        </w:rPr>
        <w:t xml:space="preserve">antibody-dependent enhancement of virus infection </w:t>
      </w:r>
      <w:r w:rsidR="00923496">
        <w:rPr>
          <w:szCs w:val="22"/>
        </w:rPr>
        <w:t xml:space="preserve">(ADE), </w:t>
      </w:r>
      <w:r w:rsidR="00923496" w:rsidRPr="006A074E">
        <w:rPr>
          <w:szCs w:val="22"/>
        </w:rPr>
        <w:t xml:space="preserve">vaccine-associated enhanced disease </w:t>
      </w:r>
      <w:r w:rsidR="00923496">
        <w:rPr>
          <w:szCs w:val="22"/>
        </w:rPr>
        <w:t xml:space="preserve">(VAED), and antigenic imprinting </w:t>
      </w:r>
      <w:r w:rsidR="00923496" w:rsidRPr="00B04D36">
        <w:rPr>
          <w:szCs w:val="22"/>
        </w:rPr>
        <w:t xml:space="preserve">in </w:t>
      </w:r>
      <w:r w:rsidR="00923496">
        <w:rPr>
          <w:szCs w:val="22"/>
        </w:rPr>
        <w:t xml:space="preserve">the </w:t>
      </w:r>
      <w:r w:rsidR="00923496" w:rsidRPr="00B04D36">
        <w:rPr>
          <w:szCs w:val="22"/>
        </w:rPr>
        <w:t>New Zealand</w:t>
      </w:r>
      <w:r w:rsidR="00923496">
        <w:rPr>
          <w:szCs w:val="22"/>
        </w:rPr>
        <w:t xml:space="preserve"> population, and (4) </w:t>
      </w:r>
      <w:r w:rsidR="00923496" w:rsidRPr="00B04D36">
        <w:rPr>
          <w:szCs w:val="22"/>
        </w:rPr>
        <w:t xml:space="preserve">clinical research into </w:t>
      </w:r>
      <w:r w:rsidR="00923496">
        <w:rPr>
          <w:szCs w:val="22"/>
        </w:rPr>
        <w:t xml:space="preserve">the role of COVID-19 vaccination in </w:t>
      </w:r>
      <w:r w:rsidR="00923496" w:rsidRPr="005D1248">
        <w:rPr>
          <w:i/>
          <w:iCs/>
          <w:szCs w:val="22"/>
        </w:rPr>
        <w:t>exacerbating</w:t>
      </w:r>
      <w:r w:rsidR="00923496">
        <w:rPr>
          <w:szCs w:val="22"/>
        </w:rPr>
        <w:t xml:space="preserve"> comorbidities most frequently associated with </w:t>
      </w:r>
      <w:r w:rsidR="00923496">
        <w:rPr>
          <w:bCs w:val="0"/>
          <w:szCs w:val="22"/>
        </w:rPr>
        <w:t>serious-</w:t>
      </w:r>
      <w:r w:rsidR="00923496" w:rsidRPr="00B04D36">
        <w:rPr>
          <w:szCs w:val="22"/>
        </w:rPr>
        <w:t xml:space="preserve">severe COVID-19 </w:t>
      </w:r>
      <w:r w:rsidR="00923496">
        <w:rPr>
          <w:bCs w:val="0"/>
          <w:szCs w:val="22"/>
        </w:rPr>
        <w:t>outcomes.</w:t>
      </w:r>
      <w:r w:rsidR="001D4E99">
        <w:rPr>
          <w:rFonts w:cs="Times New Roman"/>
        </w:rPr>
        <w:t xml:space="preserve"> After all, t</w:t>
      </w:r>
      <w:r w:rsidR="0038562B">
        <w:rPr>
          <w:rFonts w:cs="Times New Roman"/>
        </w:rPr>
        <w:t xml:space="preserve">hese </w:t>
      </w:r>
      <w:r w:rsidR="001D4E99">
        <w:rPr>
          <w:rFonts w:cs="Times New Roman"/>
        </w:rPr>
        <w:t xml:space="preserve">safety-harm </w:t>
      </w:r>
      <w:r w:rsidR="0038562B">
        <w:rPr>
          <w:rFonts w:cs="Times New Roman"/>
        </w:rPr>
        <w:t>issues</w:t>
      </w:r>
      <w:r>
        <w:rPr>
          <w:rFonts w:cs="Times New Roman"/>
        </w:rPr>
        <w:t xml:space="preserve"> </w:t>
      </w:r>
      <w:r w:rsidR="0038562B">
        <w:rPr>
          <w:rFonts w:cs="Times New Roman"/>
        </w:rPr>
        <w:t xml:space="preserve">would </w:t>
      </w:r>
      <w:r w:rsidRPr="005126A0">
        <w:rPr>
          <w:rFonts w:cs="Times New Roman"/>
          <w:b/>
          <w:bCs w:val="0"/>
        </w:rPr>
        <w:t>predictably manif</w:t>
      </w:r>
      <w:r w:rsidR="0038562B">
        <w:rPr>
          <w:rFonts w:cs="Times New Roman"/>
          <w:b/>
          <w:bCs w:val="0"/>
        </w:rPr>
        <w:t>est</w:t>
      </w:r>
      <w:r>
        <w:rPr>
          <w:rFonts w:cs="Times New Roman"/>
        </w:rPr>
        <w:t xml:space="preserve"> </w:t>
      </w:r>
      <w:r w:rsidR="007B2B95">
        <w:rPr>
          <w:rFonts w:cs="Times New Roman"/>
        </w:rPr>
        <w:t xml:space="preserve">for </w:t>
      </w:r>
      <w:r w:rsidR="0038562B">
        <w:rPr>
          <w:rFonts w:cs="Times New Roman"/>
        </w:rPr>
        <w:t xml:space="preserve">any </w:t>
      </w:r>
      <w:r w:rsidR="007B2B95">
        <w:rPr>
          <w:rFonts w:cs="Times New Roman"/>
        </w:rPr>
        <w:t xml:space="preserve">coronavirus spike </w:t>
      </w:r>
      <w:r w:rsidR="006D51D5">
        <w:rPr>
          <w:rFonts w:cs="Times New Roman"/>
        </w:rPr>
        <w:t>protein-based</w:t>
      </w:r>
      <w:r w:rsidR="007B2B95">
        <w:rPr>
          <w:rFonts w:cs="Times New Roman"/>
        </w:rPr>
        <w:t xml:space="preserve"> vaccine </w:t>
      </w:r>
      <w:r w:rsidR="00C02026">
        <w:rPr>
          <w:rFonts w:cs="Times New Roman"/>
        </w:rPr>
        <w:t xml:space="preserve">targeting </w:t>
      </w:r>
      <w:r w:rsidR="000E6DDE">
        <w:rPr>
          <w:rFonts w:cs="Times New Roman"/>
        </w:rPr>
        <w:t xml:space="preserve">critical </w:t>
      </w:r>
      <w:r w:rsidR="00C02026">
        <w:rPr>
          <w:rFonts w:cs="Times New Roman"/>
        </w:rPr>
        <w:t xml:space="preserve">physiological receptors </w:t>
      </w:r>
      <w:r w:rsidR="000E6DDE">
        <w:rPr>
          <w:rFonts w:cs="Times New Roman"/>
        </w:rPr>
        <w:t xml:space="preserve">lining blood vessels and vital organs </w:t>
      </w:r>
      <w:r>
        <w:rPr>
          <w:rFonts w:cs="Times New Roman"/>
        </w:rPr>
        <w:t xml:space="preserve">during pandemic waves associated with </w:t>
      </w:r>
      <w:r w:rsidRPr="003471AC">
        <w:rPr>
          <w:rFonts w:cs="Times New Roman"/>
          <w:b/>
          <w:bCs w:val="0"/>
        </w:rPr>
        <w:t xml:space="preserve">antigenically distinct strains </w:t>
      </w:r>
      <w:r w:rsidR="0038562B" w:rsidRPr="003471AC">
        <w:rPr>
          <w:rFonts w:cs="Times New Roman"/>
          <w:b/>
          <w:bCs w:val="0"/>
        </w:rPr>
        <w:t>and mass</w:t>
      </w:r>
      <w:r w:rsidR="007B2B95" w:rsidRPr="003471AC">
        <w:rPr>
          <w:rFonts w:cs="Times New Roman"/>
          <w:b/>
          <w:bCs w:val="0"/>
        </w:rPr>
        <w:t xml:space="preserve"> </w:t>
      </w:r>
      <w:r w:rsidRPr="003471AC">
        <w:rPr>
          <w:rFonts w:cs="Times New Roman"/>
          <w:b/>
          <w:bCs w:val="0"/>
        </w:rPr>
        <w:t>vaccination</w:t>
      </w:r>
      <w:r>
        <w:rPr>
          <w:rFonts w:cs="Times New Roman"/>
        </w:rPr>
        <w:t xml:space="preserve"> (sections 1.1.6-</w:t>
      </w:r>
      <w:r w:rsidR="0038562B">
        <w:rPr>
          <w:rFonts w:cs="Times New Roman"/>
        </w:rPr>
        <w:t>9</w:t>
      </w:r>
      <w:r>
        <w:rPr>
          <w:rFonts w:cs="Times New Roman"/>
        </w:rPr>
        <w:t>)</w:t>
      </w:r>
      <w:r w:rsidR="00DD509F">
        <w:rPr>
          <w:rFonts w:cs="Times New Roman"/>
        </w:rPr>
        <w:t>.</w:t>
      </w:r>
      <w:r>
        <w:rPr>
          <w:rFonts w:cs="Times New Roman"/>
        </w:rPr>
        <w:t xml:space="preserve"> </w:t>
      </w:r>
    </w:p>
    <w:p w14:paraId="3EF820E5" w14:textId="25951E39" w:rsidR="001E571C" w:rsidRPr="00BC69EA" w:rsidRDefault="00BC69EA" w:rsidP="00BC69EA">
      <w:pPr>
        <w:pStyle w:val="Heading2"/>
      </w:pPr>
      <w:bookmarkStart w:id="7" w:name="_Toc509513485"/>
      <w:bookmarkStart w:id="8" w:name="_Toc510678492"/>
      <w:bookmarkStart w:id="9" w:name="_Toc510879996"/>
      <w:bookmarkStart w:id="10" w:name="_Toc512275125"/>
      <w:bookmarkStart w:id="11" w:name="_Toc512360340"/>
      <w:bookmarkStart w:id="12" w:name="_Toc516645024"/>
      <w:bookmarkStart w:id="13" w:name="_Toc111367984"/>
      <w:bookmarkStart w:id="14" w:name="_Toc121035117"/>
      <w:r>
        <w:t xml:space="preserve">Analysis of Government </w:t>
      </w:r>
      <w:r w:rsidR="001A019F" w:rsidRPr="00BC69EA">
        <w:t xml:space="preserve">COVID-19 </w:t>
      </w:r>
      <w:r>
        <w:t xml:space="preserve">Surveillance Data Demonstrates Negative </w:t>
      </w:r>
      <w:r w:rsidR="00403B7D" w:rsidRPr="00BC69EA">
        <w:t>Vaccine</w:t>
      </w:r>
      <w:r>
        <w:t xml:space="preserve"> Effectiveness</w:t>
      </w:r>
      <w:bookmarkEnd w:id="7"/>
      <w:bookmarkEnd w:id="8"/>
      <w:bookmarkEnd w:id="9"/>
      <w:bookmarkEnd w:id="10"/>
      <w:bookmarkEnd w:id="11"/>
      <w:bookmarkEnd w:id="12"/>
      <w:bookmarkEnd w:id="13"/>
      <w:r>
        <w:t xml:space="preserve"> (Global </w:t>
      </w:r>
      <w:r w:rsidR="00470AB8">
        <w:t>and</w:t>
      </w:r>
      <w:r>
        <w:t xml:space="preserve"> National</w:t>
      </w:r>
      <w:r w:rsidR="00470AB8">
        <w:t xml:space="preserve"> Data</w:t>
      </w:r>
      <w:r>
        <w:t>)</w:t>
      </w:r>
      <w:bookmarkEnd w:id="14"/>
    </w:p>
    <w:p w14:paraId="083D6186" w14:textId="60E78D88" w:rsidR="000F4F50" w:rsidRPr="00CC3902" w:rsidRDefault="00E5258C" w:rsidP="004C5C79">
      <w:pPr>
        <w:pStyle w:val="Heading3"/>
      </w:pPr>
      <w:bookmarkStart w:id="15" w:name="_Toc509513486"/>
      <w:bookmarkStart w:id="16" w:name="_Toc111367985"/>
      <w:bookmarkStart w:id="17" w:name="_Toc510678493"/>
      <w:bookmarkStart w:id="18" w:name="_Toc510879997"/>
      <w:bookmarkStart w:id="19" w:name="_Toc512275126"/>
      <w:bookmarkStart w:id="20" w:name="_Toc512360341"/>
      <w:bookmarkStart w:id="21" w:name="_Toc516645025"/>
      <w:bookmarkStart w:id="22" w:name="_Toc121035118"/>
      <w:r w:rsidRPr="00CC3902">
        <w:t xml:space="preserve">High Rates of </w:t>
      </w:r>
      <w:r w:rsidR="00572563" w:rsidRPr="00CC3902">
        <w:t>COVID-19</w:t>
      </w:r>
      <w:r w:rsidR="000F4F50" w:rsidRPr="00CC3902">
        <w:t xml:space="preserve"> V</w:t>
      </w:r>
      <w:r w:rsidR="00FC0E87" w:rsidRPr="00CC3902">
        <w:t xml:space="preserve">accination </w:t>
      </w:r>
      <w:r w:rsidR="007D374F">
        <w:t xml:space="preserve">Quadrupled and </w:t>
      </w:r>
      <w:r w:rsidR="00C604BC">
        <w:t>Tripled</w:t>
      </w:r>
      <w:r w:rsidR="000F4F50" w:rsidRPr="00CC3902">
        <w:t xml:space="preserve"> </w:t>
      </w:r>
      <w:r w:rsidR="003C5EA6" w:rsidRPr="00CC3902">
        <w:t xml:space="preserve">Global </w:t>
      </w:r>
      <w:r w:rsidR="000F4F50" w:rsidRPr="00CC3902">
        <w:t xml:space="preserve">Rates of </w:t>
      </w:r>
      <w:r w:rsidR="00572563" w:rsidRPr="00CC3902">
        <w:t>COVID-19</w:t>
      </w:r>
      <w:r w:rsidR="00A43900" w:rsidRPr="00CC3902">
        <w:t xml:space="preserve"> </w:t>
      </w:r>
      <w:r w:rsidR="000F4F50" w:rsidRPr="00CC3902">
        <w:t>Infection</w:t>
      </w:r>
      <w:bookmarkEnd w:id="15"/>
      <w:r w:rsidR="007B2EC9" w:rsidRPr="00CC3902">
        <w:t xml:space="preserve"> </w:t>
      </w:r>
      <w:r w:rsidR="007D374F">
        <w:t>and</w:t>
      </w:r>
      <w:r w:rsidR="007B2EC9" w:rsidRPr="00CC3902">
        <w:t xml:space="preserve"> Death</w:t>
      </w:r>
      <w:bookmarkEnd w:id="16"/>
      <w:bookmarkEnd w:id="17"/>
      <w:bookmarkEnd w:id="18"/>
      <w:bookmarkEnd w:id="19"/>
      <w:bookmarkEnd w:id="20"/>
      <w:bookmarkEnd w:id="21"/>
      <w:r w:rsidR="007D374F">
        <w:t xml:space="preserve"> Respectively</w:t>
      </w:r>
      <w:r w:rsidR="00C604BC">
        <w:t xml:space="preserve"> Over Low Vaccination Rates</w:t>
      </w:r>
      <w:bookmarkEnd w:id="22"/>
    </w:p>
    <w:p w14:paraId="04D69DF6" w14:textId="47BE0267" w:rsidR="00710986" w:rsidRDefault="00710986" w:rsidP="00710986">
      <w:pPr>
        <w:rPr>
          <w:rFonts w:cs="Times New Roman"/>
        </w:rPr>
      </w:pPr>
      <w:r w:rsidRPr="003471AC">
        <w:rPr>
          <w:rFonts w:cs="Times New Roman"/>
          <w:b/>
          <w:bCs w:val="0"/>
          <w:u w:val="single"/>
        </w:rPr>
        <w:t>The bottom line</w:t>
      </w:r>
      <w:r>
        <w:rPr>
          <w:rFonts w:cs="Times New Roman"/>
        </w:rPr>
        <w:t xml:space="preserve">: </w:t>
      </w:r>
      <w:r w:rsidR="00276273">
        <w:rPr>
          <w:szCs w:val="22"/>
        </w:rPr>
        <w:t>Nations that achieved high rates of</w:t>
      </w:r>
      <w:r w:rsidR="00276273" w:rsidRPr="00097EAC">
        <w:rPr>
          <w:szCs w:val="22"/>
        </w:rPr>
        <w:t xml:space="preserve"> </w:t>
      </w:r>
      <w:r w:rsidR="00276273">
        <w:rPr>
          <w:szCs w:val="22"/>
        </w:rPr>
        <w:t>COVID-19</w:t>
      </w:r>
      <w:r w:rsidR="00276273" w:rsidRPr="00097EAC">
        <w:rPr>
          <w:szCs w:val="22"/>
        </w:rPr>
        <w:t xml:space="preserve"> vaccinat</w:t>
      </w:r>
      <w:r w:rsidR="00276273">
        <w:rPr>
          <w:szCs w:val="22"/>
        </w:rPr>
        <w:t>ion</w:t>
      </w:r>
      <w:r w:rsidR="00276273" w:rsidRPr="00097EAC">
        <w:rPr>
          <w:szCs w:val="22"/>
        </w:rPr>
        <w:t xml:space="preserve"> </w:t>
      </w:r>
      <w:r w:rsidR="00276273">
        <w:rPr>
          <w:szCs w:val="22"/>
        </w:rPr>
        <w:t>experienced significantly</w:t>
      </w:r>
      <w:r w:rsidR="00276273" w:rsidRPr="00097EAC">
        <w:rPr>
          <w:szCs w:val="22"/>
        </w:rPr>
        <w:t xml:space="preserve"> higher </w:t>
      </w:r>
      <w:r w:rsidR="00276273">
        <w:rPr>
          <w:szCs w:val="22"/>
        </w:rPr>
        <w:t>COVID-19</w:t>
      </w:r>
      <w:r w:rsidR="00276273" w:rsidRPr="00097EAC">
        <w:rPr>
          <w:szCs w:val="22"/>
        </w:rPr>
        <w:t xml:space="preserve"> infection and death</w:t>
      </w:r>
      <w:r w:rsidR="00276273">
        <w:rPr>
          <w:szCs w:val="22"/>
        </w:rPr>
        <w:t xml:space="preserve"> rates than nations achieving lower vaccination rates</w:t>
      </w:r>
      <w:r w:rsidR="00276273">
        <w:t xml:space="preserve">. </w:t>
      </w:r>
      <w:r w:rsidRPr="005850AA">
        <w:rPr>
          <w:rFonts w:cs="Times New Roman"/>
        </w:rPr>
        <w:t>Anal</w:t>
      </w:r>
      <w:r>
        <w:rPr>
          <w:rFonts w:cs="Times New Roman"/>
        </w:rPr>
        <w:t>ysis of Our World in Data (OWID</w:t>
      </w:r>
      <w:r w:rsidRPr="005850AA">
        <w:rPr>
          <w:rFonts w:cs="Times New Roman"/>
        </w:rPr>
        <w:t xml:space="preserve">) demonstrated </w:t>
      </w:r>
      <w:r w:rsidR="00182EA7">
        <w:rPr>
          <w:rFonts w:cs="Times New Roman"/>
        </w:rPr>
        <w:t xml:space="preserve">that </w:t>
      </w:r>
      <w:r w:rsidRPr="005850AA">
        <w:rPr>
          <w:rFonts w:cs="Times New Roman"/>
        </w:rPr>
        <w:t>hig</w:t>
      </w:r>
      <w:r>
        <w:rPr>
          <w:rFonts w:cs="Times New Roman"/>
        </w:rPr>
        <w:t xml:space="preserve">h rates of </w:t>
      </w:r>
      <w:r w:rsidR="00572563">
        <w:rPr>
          <w:rFonts w:cs="Times New Roman"/>
        </w:rPr>
        <w:t>COVID-19</w:t>
      </w:r>
      <w:r>
        <w:rPr>
          <w:rFonts w:cs="Times New Roman"/>
        </w:rPr>
        <w:t xml:space="preserve"> vaccination</w:t>
      </w:r>
      <w:r w:rsidRPr="005850AA">
        <w:rPr>
          <w:rFonts w:cs="Times New Roman"/>
        </w:rPr>
        <w:t xml:space="preserve"> were associated with </w:t>
      </w:r>
      <w:r>
        <w:rPr>
          <w:rFonts w:cs="Times New Roman"/>
        </w:rPr>
        <w:t>significantly higher weighted mean</w:t>
      </w:r>
      <w:r w:rsidRPr="005850AA">
        <w:rPr>
          <w:rFonts w:cs="Times New Roman"/>
        </w:rPr>
        <w:t xml:space="preserve"> infection rates per million (4.0x), death rates per million (3.2x)</w:t>
      </w:r>
      <w:r w:rsidR="00095E92">
        <w:rPr>
          <w:rFonts w:cs="Times New Roman"/>
        </w:rPr>
        <w:t>,</w:t>
      </w:r>
      <w:r w:rsidR="00FF3911">
        <w:rPr>
          <w:rFonts w:cs="Times New Roman"/>
        </w:rPr>
        <w:t xml:space="preserve"> and vaccination rates per 100 population</w:t>
      </w:r>
      <w:r w:rsidRPr="005850AA">
        <w:rPr>
          <w:rFonts w:cs="Times New Roman"/>
        </w:rPr>
        <w:t xml:space="preserve"> </w:t>
      </w:r>
      <w:r w:rsidR="00FF3911">
        <w:rPr>
          <w:rFonts w:cs="Times New Roman"/>
        </w:rPr>
        <w:t>(</w:t>
      </w:r>
      <w:r w:rsidRPr="005850AA">
        <w:rPr>
          <w:rFonts w:cs="Times New Roman"/>
        </w:rPr>
        <w:t xml:space="preserve">4.6x) </w:t>
      </w:r>
      <w:r w:rsidR="00276273">
        <w:rPr>
          <w:rFonts w:cs="Times New Roman"/>
        </w:rPr>
        <w:t>compared with</w:t>
      </w:r>
      <w:r w:rsidRPr="005850AA">
        <w:rPr>
          <w:rFonts w:cs="Times New Roman"/>
        </w:rPr>
        <w:t xml:space="preserve"> low vaccination rate nations. </w:t>
      </w:r>
      <w:r w:rsidRPr="007C1B4A">
        <w:rPr>
          <w:rFonts w:cs="Times New Roman"/>
        </w:rPr>
        <w:t xml:space="preserve">The observed proportion of </w:t>
      </w:r>
      <w:r w:rsidR="00572563">
        <w:rPr>
          <w:rFonts w:cs="Times New Roman"/>
        </w:rPr>
        <w:t>COVID-19</w:t>
      </w:r>
      <w:r>
        <w:rPr>
          <w:rFonts w:cs="Times New Roman"/>
        </w:rPr>
        <w:t xml:space="preserve"> infections and associated deaths was </w:t>
      </w:r>
      <w:r w:rsidR="00AA0A95">
        <w:rPr>
          <w:rFonts w:cs="Times New Roman"/>
        </w:rPr>
        <w:t>larger</w:t>
      </w:r>
      <w:r w:rsidR="00750837">
        <w:rPr>
          <w:rFonts w:cs="Times New Roman"/>
        </w:rPr>
        <w:t xml:space="preserve"> in high</w:t>
      </w:r>
      <w:r>
        <w:rPr>
          <w:rFonts w:cs="Times New Roman"/>
        </w:rPr>
        <w:t xml:space="preserve"> vaccination rate </w:t>
      </w:r>
      <w:r w:rsidR="00997FB1">
        <w:rPr>
          <w:rFonts w:cs="Times New Roman"/>
        </w:rPr>
        <w:t xml:space="preserve">nations </w:t>
      </w:r>
      <w:r w:rsidR="00750837">
        <w:rPr>
          <w:rFonts w:cs="Times New Roman"/>
        </w:rPr>
        <w:t>and</w:t>
      </w:r>
      <w:r w:rsidR="00997FB1">
        <w:rPr>
          <w:rFonts w:cs="Times New Roman"/>
        </w:rPr>
        <w:t xml:space="preserve"> smaller</w:t>
      </w:r>
      <w:r>
        <w:rPr>
          <w:rFonts w:cs="Times New Roman"/>
        </w:rPr>
        <w:t xml:space="preserve"> </w:t>
      </w:r>
      <w:r w:rsidR="00750837">
        <w:rPr>
          <w:rFonts w:cs="Times New Roman"/>
        </w:rPr>
        <w:t>than expected</w:t>
      </w:r>
      <w:r w:rsidR="00750837" w:rsidRPr="007C1B4A">
        <w:rPr>
          <w:rFonts w:cs="Times New Roman"/>
        </w:rPr>
        <w:t xml:space="preserve"> </w:t>
      </w:r>
      <w:r>
        <w:rPr>
          <w:rFonts w:cs="Times New Roman"/>
        </w:rPr>
        <w:t xml:space="preserve">in </w:t>
      </w:r>
      <w:r w:rsidR="00997FB1">
        <w:rPr>
          <w:rFonts w:cs="Times New Roman"/>
        </w:rPr>
        <w:t>low vaccination rate</w:t>
      </w:r>
      <w:r w:rsidRPr="007C1B4A">
        <w:rPr>
          <w:rFonts w:cs="Times New Roman"/>
        </w:rPr>
        <w:t xml:space="preserve"> </w:t>
      </w:r>
      <w:r w:rsidR="00997FB1">
        <w:rPr>
          <w:rFonts w:cs="Times New Roman"/>
        </w:rPr>
        <w:t>nations</w:t>
      </w:r>
      <w:r w:rsidR="009B7B0C">
        <w:rPr>
          <w:rFonts w:cs="Times New Roman"/>
        </w:rPr>
        <w:t>. These</w:t>
      </w:r>
      <w:r w:rsidRPr="007C1B4A">
        <w:rPr>
          <w:rFonts w:cs="Times New Roman"/>
        </w:rPr>
        <w:t xml:space="preserve"> group diffe</w:t>
      </w:r>
      <w:r>
        <w:rPr>
          <w:rFonts w:cs="Times New Roman"/>
        </w:rPr>
        <w:t>rences were highly significant</w:t>
      </w:r>
      <w:r w:rsidR="00997FB1">
        <w:rPr>
          <w:rFonts w:cs="Times New Roman"/>
        </w:rPr>
        <w:t>.</w:t>
      </w:r>
    </w:p>
    <w:p w14:paraId="38768709" w14:textId="55267C67" w:rsidR="00710986" w:rsidRPr="00285296" w:rsidRDefault="00285296" w:rsidP="00710986">
      <w:pPr>
        <w:rPr>
          <w:szCs w:val="22"/>
        </w:rPr>
      </w:pPr>
      <w:r w:rsidRPr="009637A0">
        <w:rPr>
          <w:szCs w:val="22"/>
        </w:rPr>
        <w:lastRenderedPageBreak/>
        <w:t>The OWID data (to 31/12/21) comprised 77 nations, 4.5 billion doses, 2.3 billion people vaccinated, 3.9 billion population, 227 million cases diagnosed, and 4.1 million deaths.</w:t>
      </w:r>
      <w:r w:rsidRPr="00157B26">
        <w:rPr>
          <w:szCs w:val="22"/>
          <w:vertAlign w:val="superscript"/>
        </w:rPr>
        <w:endnoteReference w:id="3"/>
      </w:r>
      <w:r w:rsidRPr="009637A0">
        <w:rPr>
          <w:szCs w:val="22"/>
        </w:rPr>
        <w:t xml:space="preserve"> </w:t>
      </w:r>
      <w:r>
        <w:rPr>
          <w:szCs w:val="22"/>
        </w:rPr>
        <w:t xml:space="preserve">These 77 nations provided complete datasets </w:t>
      </w:r>
      <w:r w:rsidR="00EC1B14">
        <w:rPr>
          <w:szCs w:val="22"/>
        </w:rPr>
        <w:t xml:space="preserve">for relevant parameters </w:t>
      </w:r>
      <w:r>
        <w:rPr>
          <w:szCs w:val="22"/>
        </w:rPr>
        <w:t>(i.e., total cases and deaths per million</w:t>
      </w:r>
      <w:r w:rsidR="00EC1B14">
        <w:rPr>
          <w:szCs w:val="22"/>
        </w:rPr>
        <w:t xml:space="preserve">- </w:t>
      </w:r>
      <w:r>
        <w:rPr>
          <w:szCs w:val="22"/>
        </w:rPr>
        <w:t>and total people vaccinated per hundred</w:t>
      </w:r>
      <w:r w:rsidR="00EC1B14">
        <w:rPr>
          <w:szCs w:val="22"/>
        </w:rPr>
        <w:t>-</w:t>
      </w:r>
      <w:r>
        <w:rPr>
          <w:szCs w:val="22"/>
        </w:rPr>
        <w:t xml:space="preserve"> of the population), which </w:t>
      </w:r>
      <w:r w:rsidRPr="009637A0">
        <w:rPr>
          <w:szCs w:val="22"/>
        </w:rPr>
        <w:t>were organized into high and low vaccination rate groups (Group-1: N = 57 countries, ≥50 per 100 population. Group-2: N = 20 countries, &lt;50 per 100 population). Group weighted mean COVID-19 infection and death rates per million and population proportions were compared using Welch’s unpaired T-test and Chi-square test of independence, respectively</w:t>
      </w:r>
      <w:r w:rsidR="00710986">
        <w:rPr>
          <w:rFonts w:cs="Times New Roman"/>
        </w:rPr>
        <w:t>.</w:t>
      </w:r>
    </w:p>
    <w:p w14:paraId="3627459A" w14:textId="707111D5" w:rsidR="00710986" w:rsidRPr="006014EF" w:rsidRDefault="00710986" w:rsidP="00710986">
      <w:pPr>
        <w:rPr>
          <w:rFonts w:cs="Times New Roman"/>
        </w:rPr>
      </w:pPr>
      <w:r>
        <w:rPr>
          <w:rFonts w:cs="Times New Roman"/>
        </w:rPr>
        <w:t xml:space="preserve">There was a weighted mean of </w:t>
      </w:r>
      <w:r w:rsidRPr="00F16288">
        <w:rPr>
          <w:rFonts w:cs="Times New Roman"/>
        </w:rPr>
        <w:t>65,202</w:t>
      </w:r>
      <w:r w:rsidRPr="00450D0C">
        <w:rPr>
          <w:rFonts w:cs="Times New Roman"/>
        </w:rPr>
        <w:t xml:space="preserve"> (SD = </w:t>
      </w:r>
      <w:r w:rsidRPr="006014EF">
        <w:rPr>
          <w:rFonts w:cs="Times New Roman"/>
        </w:rPr>
        <w:t>55,318</w:t>
      </w:r>
      <w:r w:rsidR="00A9406F">
        <w:rPr>
          <w:rFonts w:cs="Times New Roman"/>
        </w:rPr>
        <w:t>, standard deviation</w:t>
      </w:r>
      <w:r w:rsidRPr="00450D0C">
        <w:rPr>
          <w:rFonts w:cs="Times New Roman"/>
        </w:rPr>
        <w:t xml:space="preserve">) compared with </w:t>
      </w:r>
      <w:r w:rsidRPr="00F16288">
        <w:rPr>
          <w:rFonts w:cs="Times New Roman"/>
        </w:rPr>
        <w:t>16,440</w:t>
      </w:r>
      <w:r>
        <w:rPr>
          <w:rFonts w:cs="Times New Roman"/>
        </w:rPr>
        <w:t xml:space="preserve"> (SD = </w:t>
      </w:r>
      <w:r w:rsidRPr="006014EF">
        <w:rPr>
          <w:rFonts w:cs="Times New Roman"/>
        </w:rPr>
        <w:t>29,770</w:t>
      </w:r>
      <w:r>
        <w:rPr>
          <w:rFonts w:cs="Times New Roman"/>
        </w:rPr>
        <w:t xml:space="preserve">) </w:t>
      </w:r>
      <w:r w:rsidRPr="00233765">
        <w:rPr>
          <w:rFonts w:cs="Times New Roman"/>
          <w:i/>
        </w:rPr>
        <w:t>infections per million</w:t>
      </w:r>
      <w:r w:rsidRPr="00F16288">
        <w:rPr>
          <w:rFonts w:cs="Times New Roman"/>
        </w:rPr>
        <w:t xml:space="preserve"> of population, </w:t>
      </w:r>
      <w:r>
        <w:rPr>
          <w:rFonts w:cs="Times New Roman"/>
        </w:rPr>
        <w:t>which was associated with</w:t>
      </w:r>
      <w:r w:rsidRPr="00F16288">
        <w:rPr>
          <w:rFonts w:cs="Times New Roman"/>
        </w:rPr>
        <w:t xml:space="preserve"> a </w:t>
      </w:r>
      <w:r>
        <w:rPr>
          <w:rFonts w:cs="Times New Roman"/>
        </w:rPr>
        <w:t xml:space="preserve">weighted </w:t>
      </w:r>
      <w:r w:rsidRPr="00F16288">
        <w:rPr>
          <w:rFonts w:cs="Times New Roman"/>
        </w:rPr>
        <w:t xml:space="preserve">mean </w:t>
      </w:r>
      <w:r>
        <w:rPr>
          <w:rFonts w:cs="Times New Roman"/>
        </w:rPr>
        <w:t xml:space="preserve">of </w:t>
      </w:r>
      <w:r w:rsidRPr="00F16288">
        <w:rPr>
          <w:rFonts w:cs="Times New Roman"/>
        </w:rPr>
        <w:t xml:space="preserve">66.8 </w:t>
      </w:r>
      <w:r>
        <w:rPr>
          <w:rFonts w:cs="Times New Roman"/>
        </w:rPr>
        <w:t xml:space="preserve">(SD = 9.3) and 14.6 (SD = 13.3) </w:t>
      </w:r>
      <w:r w:rsidRPr="00F16288">
        <w:rPr>
          <w:rFonts w:cs="Times New Roman"/>
        </w:rPr>
        <w:t xml:space="preserve">people vaccinated per 100 </w:t>
      </w:r>
      <w:r>
        <w:rPr>
          <w:rFonts w:cs="Times New Roman"/>
        </w:rPr>
        <w:t xml:space="preserve">of </w:t>
      </w:r>
      <w:r w:rsidRPr="00F16288">
        <w:rPr>
          <w:rFonts w:cs="Times New Roman"/>
        </w:rPr>
        <w:t>population</w:t>
      </w:r>
      <w:r>
        <w:rPr>
          <w:rFonts w:cs="Times New Roman"/>
        </w:rPr>
        <w:t>,</w:t>
      </w:r>
      <w:r w:rsidRPr="00A11FCC">
        <w:rPr>
          <w:rFonts w:cs="Times New Roman"/>
        </w:rPr>
        <w:t xml:space="preserve"> </w:t>
      </w:r>
      <w:r>
        <w:rPr>
          <w:rFonts w:cs="Times New Roman"/>
        </w:rPr>
        <w:t>for Group-1 and -2 respectively (</w:t>
      </w:r>
      <w:r w:rsidRPr="00A670B9">
        <w:rPr>
          <w:rFonts w:cs="Times New Roman"/>
          <w:i/>
        </w:rPr>
        <w:t>Welch's unpaired T-test, infections per million difference, t (62) = 4.9, 2-tailed p &lt; .00001</w:t>
      </w:r>
      <w:r>
        <w:rPr>
          <w:rFonts w:cs="Times New Roman"/>
        </w:rPr>
        <w:t>)</w:t>
      </w:r>
      <w:r w:rsidRPr="006014EF">
        <w:rPr>
          <w:rFonts w:cs="Times New Roman"/>
        </w:rPr>
        <w:t>.</w:t>
      </w:r>
      <w:r>
        <w:rPr>
          <w:rFonts w:cs="Times New Roman"/>
        </w:rPr>
        <w:t xml:space="preserve"> </w:t>
      </w:r>
      <w:r w:rsidRPr="007C1B4A">
        <w:rPr>
          <w:rFonts w:cs="Times New Roman"/>
        </w:rPr>
        <w:t xml:space="preserve">The observed proportion of </w:t>
      </w:r>
      <w:r w:rsidR="00572563">
        <w:rPr>
          <w:rFonts w:cs="Times New Roman"/>
        </w:rPr>
        <w:t>COVID-19</w:t>
      </w:r>
      <w:r>
        <w:rPr>
          <w:rFonts w:cs="Times New Roman"/>
        </w:rPr>
        <w:t xml:space="preserve"> infections was higher in </w:t>
      </w:r>
      <w:r w:rsidR="00E5258C">
        <w:rPr>
          <w:rFonts w:cs="Times New Roman"/>
        </w:rPr>
        <w:t>Group 1</w:t>
      </w:r>
      <w:r w:rsidRPr="007C1B4A">
        <w:rPr>
          <w:rFonts w:cs="Times New Roman"/>
        </w:rPr>
        <w:t xml:space="preserve"> </w:t>
      </w:r>
      <w:r>
        <w:rPr>
          <w:rFonts w:cs="Times New Roman"/>
        </w:rPr>
        <w:t>(high vax-rate)</w:t>
      </w:r>
      <w:r w:rsidR="009B7B0C">
        <w:rPr>
          <w:rFonts w:cs="Times New Roman"/>
        </w:rPr>
        <w:t>,</w:t>
      </w:r>
      <w:r>
        <w:rPr>
          <w:rFonts w:cs="Times New Roman"/>
        </w:rPr>
        <w:t xml:space="preserve"> and lower in </w:t>
      </w:r>
      <w:r w:rsidR="00E5258C">
        <w:rPr>
          <w:rFonts w:cs="Times New Roman"/>
        </w:rPr>
        <w:t>Group 2</w:t>
      </w:r>
      <w:r w:rsidRPr="007C1B4A">
        <w:rPr>
          <w:rFonts w:cs="Times New Roman"/>
        </w:rPr>
        <w:t xml:space="preserve"> than expected, and these group diffe</w:t>
      </w:r>
      <w:r>
        <w:rPr>
          <w:rFonts w:cs="Times New Roman"/>
        </w:rPr>
        <w:t>rences were highly significant [</w:t>
      </w:r>
      <w:r w:rsidRPr="00A670B9">
        <w:rPr>
          <w:rFonts w:cs="Times New Roman"/>
          <w:i/>
        </w:rPr>
        <w:t>Chi-square test of independence, X</w:t>
      </w:r>
      <w:r w:rsidRPr="00A670B9">
        <w:rPr>
          <w:rFonts w:cs="Times New Roman"/>
          <w:i/>
          <w:vertAlign w:val="superscript"/>
        </w:rPr>
        <w:t>2</w:t>
      </w:r>
      <w:r w:rsidRPr="00A670B9">
        <w:rPr>
          <w:rFonts w:cs="Times New Roman"/>
          <w:i/>
        </w:rPr>
        <w:t> (df = 1, N = 3,877,605,243) = 19,818,764, p &lt; .00001</w:t>
      </w:r>
      <w:r>
        <w:rPr>
          <w:rFonts w:cs="Times New Roman"/>
        </w:rPr>
        <w:t>]</w:t>
      </w:r>
      <w:r w:rsidRPr="007C1B4A">
        <w:rPr>
          <w:rFonts w:cs="Times New Roman"/>
        </w:rPr>
        <w:t xml:space="preserve">. These results indicate </w:t>
      </w:r>
      <w:r w:rsidR="00182EA7">
        <w:rPr>
          <w:rFonts w:cs="Times New Roman"/>
        </w:rPr>
        <w:t xml:space="preserve">that </w:t>
      </w:r>
      <w:r w:rsidRPr="007C1B4A">
        <w:rPr>
          <w:rFonts w:cs="Times New Roman"/>
        </w:rPr>
        <w:t xml:space="preserve">high vaccination rates were associated with </w:t>
      </w:r>
      <w:r>
        <w:rPr>
          <w:rFonts w:cs="Times New Roman"/>
        </w:rPr>
        <w:t xml:space="preserve">significantly </w:t>
      </w:r>
      <w:r w:rsidRPr="007C1B4A">
        <w:rPr>
          <w:rFonts w:cs="Times New Roman"/>
        </w:rPr>
        <w:t xml:space="preserve">higher </w:t>
      </w:r>
      <w:r w:rsidR="00572563">
        <w:rPr>
          <w:rFonts w:cs="Times New Roman"/>
        </w:rPr>
        <w:t>COVID-19</w:t>
      </w:r>
      <w:r w:rsidRPr="007C1B4A">
        <w:rPr>
          <w:rFonts w:cs="Times New Roman"/>
        </w:rPr>
        <w:t xml:space="preserve"> infection rates</w:t>
      </w:r>
      <w:r>
        <w:rPr>
          <w:rFonts w:cs="Times New Roman"/>
        </w:rPr>
        <w:t xml:space="preserve"> and </w:t>
      </w:r>
      <w:r w:rsidR="00A9406F">
        <w:rPr>
          <w:rFonts w:cs="Times New Roman"/>
        </w:rPr>
        <w:t xml:space="preserve">population </w:t>
      </w:r>
      <w:r>
        <w:rPr>
          <w:rFonts w:cs="Times New Roman"/>
        </w:rPr>
        <w:t xml:space="preserve">proportions </w:t>
      </w:r>
      <w:r w:rsidR="00136FD5">
        <w:rPr>
          <w:rFonts w:cs="Times New Roman"/>
        </w:rPr>
        <w:t xml:space="preserve">than expected </w:t>
      </w:r>
      <w:r>
        <w:rPr>
          <w:rFonts w:cs="Times New Roman"/>
        </w:rPr>
        <w:t>compared with low vaccination rate nations</w:t>
      </w:r>
      <w:r w:rsidRPr="007C1B4A">
        <w:rPr>
          <w:rFonts w:cs="Times New Roman"/>
        </w:rPr>
        <w:t>.</w:t>
      </w:r>
    </w:p>
    <w:p w14:paraId="5A309003" w14:textId="5CDCB7B3" w:rsidR="00E06651" w:rsidRPr="00710986" w:rsidRDefault="00710986" w:rsidP="00966F84">
      <w:pPr>
        <w:rPr>
          <w:rFonts w:cs="Times New Roman"/>
        </w:rPr>
      </w:pPr>
      <w:r w:rsidRPr="00710563">
        <w:rPr>
          <w:rFonts w:cs="Times New Roman"/>
        </w:rPr>
        <w:t xml:space="preserve">There was a weighted mean of 1,174 (SD = 1,094) compared with 368 (SD = 703) </w:t>
      </w:r>
      <w:r w:rsidR="00E5258C">
        <w:rPr>
          <w:rFonts w:cs="Times New Roman"/>
        </w:rPr>
        <w:t>COVID-19-associated</w:t>
      </w:r>
      <w:r w:rsidRPr="00710563">
        <w:rPr>
          <w:rFonts w:cs="Times New Roman"/>
        </w:rPr>
        <w:t xml:space="preserve"> </w:t>
      </w:r>
      <w:r w:rsidRPr="00233765">
        <w:rPr>
          <w:rFonts w:cs="Times New Roman"/>
          <w:i/>
        </w:rPr>
        <w:t>deaths per million</w:t>
      </w:r>
      <w:r w:rsidRPr="00710563">
        <w:rPr>
          <w:rFonts w:cs="Times New Roman"/>
        </w:rPr>
        <w:t xml:space="preserve"> of </w:t>
      </w:r>
      <w:r w:rsidR="00E5258C">
        <w:rPr>
          <w:rFonts w:cs="Times New Roman"/>
        </w:rPr>
        <w:t xml:space="preserve">the </w:t>
      </w:r>
      <w:r w:rsidRPr="00710563">
        <w:rPr>
          <w:rFonts w:cs="Times New Roman"/>
        </w:rPr>
        <w:t xml:space="preserve">population </w:t>
      </w:r>
      <w:r>
        <w:rPr>
          <w:rFonts w:cs="Times New Roman"/>
        </w:rPr>
        <w:t>for G</w:t>
      </w:r>
      <w:r w:rsidRPr="00710563">
        <w:rPr>
          <w:rFonts w:cs="Times New Roman"/>
        </w:rPr>
        <w:t>roup-1 and -2</w:t>
      </w:r>
      <w:r w:rsidR="009B7B0C">
        <w:rPr>
          <w:rFonts w:cs="Times New Roman"/>
        </w:rPr>
        <w:t>,</w:t>
      </w:r>
      <w:r w:rsidRPr="00710563">
        <w:rPr>
          <w:rFonts w:cs="Times New Roman"/>
        </w:rPr>
        <w:t xml:space="preserve"> respectively (</w:t>
      </w:r>
      <w:r w:rsidRPr="00710563">
        <w:rPr>
          <w:rFonts w:cs="Times New Roman"/>
          <w:i/>
        </w:rPr>
        <w:t xml:space="preserve">Welch's unpaired T-test, </w:t>
      </w:r>
      <w:r w:rsidR="00572563">
        <w:rPr>
          <w:rFonts w:cs="Times New Roman"/>
          <w:i/>
        </w:rPr>
        <w:t>COVID-19</w:t>
      </w:r>
      <w:r w:rsidR="0089082C">
        <w:rPr>
          <w:rFonts w:cs="Times New Roman"/>
          <w:i/>
        </w:rPr>
        <w:t xml:space="preserve"> deaths</w:t>
      </w:r>
      <w:r w:rsidRPr="00710563">
        <w:rPr>
          <w:rFonts w:cs="Times New Roman"/>
          <w:i/>
        </w:rPr>
        <w:t xml:space="preserve"> per million difference, </w:t>
      </w:r>
      <w:r w:rsidRPr="00710563">
        <w:rPr>
          <w:rFonts w:cs="Times New Roman"/>
        </w:rPr>
        <w:t xml:space="preserve">t (52) = 3.8, 2-tailed p &lt; .0004). </w:t>
      </w:r>
      <w:r w:rsidRPr="009277DD">
        <w:rPr>
          <w:rFonts w:cs="Times New Roman"/>
        </w:rPr>
        <w:t xml:space="preserve">The observed proportion of </w:t>
      </w:r>
      <w:r w:rsidR="00E5258C">
        <w:rPr>
          <w:rFonts w:cs="Times New Roman"/>
        </w:rPr>
        <w:t>COVID-19-associated</w:t>
      </w:r>
      <w:r>
        <w:rPr>
          <w:rFonts w:cs="Times New Roman"/>
        </w:rPr>
        <w:t xml:space="preserve"> deaths was higher in </w:t>
      </w:r>
      <w:r w:rsidR="00E5258C">
        <w:rPr>
          <w:rFonts w:cs="Times New Roman"/>
        </w:rPr>
        <w:t>Group 1</w:t>
      </w:r>
      <w:r w:rsidRPr="009277DD">
        <w:rPr>
          <w:rFonts w:cs="Times New Roman"/>
        </w:rPr>
        <w:t xml:space="preserve"> (high vax-</w:t>
      </w:r>
      <w:r>
        <w:rPr>
          <w:rFonts w:cs="Times New Roman"/>
        </w:rPr>
        <w:t>rate)</w:t>
      </w:r>
      <w:r w:rsidR="009B7B0C">
        <w:rPr>
          <w:rFonts w:cs="Times New Roman"/>
        </w:rPr>
        <w:t>,</w:t>
      </w:r>
      <w:r>
        <w:rPr>
          <w:rFonts w:cs="Times New Roman"/>
        </w:rPr>
        <w:t xml:space="preserve"> and lower in </w:t>
      </w:r>
      <w:r w:rsidR="00E5258C">
        <w:rPr>
          <w:rFonts w:cs="Times New Roman"/>
        </w:rPr>
        <w:t>Group 2</w:t>
      </w:r>
      <w:r w:rsidRPr="009277DD">
        <w:rPr>
          <w:rFonts w:cs="Times New Roman"/>
        </w:rPr>
        <w:t xml:space="preserve"> than expected, and these group differences were highly significant [</w:t>
      </w:r>
      <w:r w:rsidRPr="009277DD">
        <w:rPr>
          <w:rFonts w:cs="Times New Roman"/>
          <w:i/>
        </w:rPr>
        <w:t>Chi-square test of independence, X2 (df = 1, N = 3,877,605,243) = 280,763, p &lt; .00001</w:t>
      </w:r>
      <w:r>
        <w:rPr>
          <w:rFonts w:cs="Times New Roman"/>
        </w:rPr>
        <w:t>]</w:t>
      </w:r>
      <w:r w:rsidRPr="00710563">
        <w:rPr>
          <w:rFonts w:cs="Times New Roman"/>
        </w:rPr>
        <w:t xml:space="preserve">. These results </w:t>
      </w:r>
      <w:r w:rsidR="005456B0">
        <w:rPr>
          <w:rFonts w:cs="Times New Roman"/>
        </w:rPr>
        <w:t>demonstrate that</w:t>
      </w:r>
      <w:r w:rsidRPr="00710563">
        <w:rPr>
          <w:rFonts w:cs="Times New Roman"/>
        </w:rPr>
        <w:t xml:space="preserve"> high vaccination rates were associated with significantly higher </w:t>
      </w:r>
      <w:r w:rsidR="00E5258C">
        <w:rPr>
          <w:rFonts w:cs="Times New Roman"/>
        </w:rPr>
        <w:t>COVID-19-associated</w:t>
      </w:r>
      <w:r>
        <w:rPr>
          <w:rFonts w:cs="Times New Roman"/>
        </w:rPr>
        <w:t xml:space="preserve"> death</w:t>
      </w:r>
      <w:r w:rsidRPr="00710563">
        <w:rPr>
          <w:rFonts w:cs="Times New Roman"/>
        </w:rPr>
        <w:t xml:space="preserve"> rates and </w:t>
      </w:r>
      <w:r w:rsidR="00A9406F">
        <w:rPr>
          <w:rFonts w:cs="Times New Roman"/>
        </w:rPr>
        <w:t xml:space="preserve">population </w:t>
      </w:r>
      <w:r w:rsidRPr="00710563">
        <w:rPr>
          <w:rFonts w:cs="Times New Roman"/>
        </w:rPr>
        <w:t xml:space="preserve">proportions </w:t>
      </w:r>
      <w:r w:rsidR="00136FD5">
        <w:rPr>
          <w:rFonts w:cs="Times New Roman"/>
        </w:rPr>
        <w:t xml:space="preserve">than expected </w:t>
      </w:r>
      <w:r w:rsidRPr="00710563">
        <w:rPr>
          <w:rFonts w:cs="Times New Roman"/>
        </w:rPr>
        <w:t xml:space="preserve">compared with low vaccination rate nations. </w:t>
      </w:r>
    </w:p>
    <w:p w14:paraId="2059868D" w14:textId="0087D831" w:rsidR="007B2EC9" w:rsidRPr="00A70AE9" w:rsidRDefault="00097EAC" w:rsidP="007B2EC9">
      <w:r w:rsidRPr="00097EAC">
        <w:rPr>
          <w:szCs w:val="22"/>
        </w:rPr>
        <w:t xml:space="preserve">The results detailed above were corroborated </w:t>
      </w:r>
      <w:r w:rsidR="003471AC">
        <w:rPr>
          <w:szCs w:val="22"/>
        </w:rPr>
        <w:t>via</w:t>
      </w:r>
      <w:r w:rsidRPr="00097EAC">
        <w:rPr>
          <w:szCs w:val="22"/>
        </w:rPr>
        <w:t xml:space="preserve"> a published </w:t>
      </w:r>
      <w:r w:rsidRPr="00077368">
        <w:rPr>
          <w:i/>
          <w:iCs/>
          <w:szCs w:val="22"/>
        </w:rPr>
        <w:t>causal impact analysis</w:t>
      </w:r>
      <w:r w:rsidRPr="00097EAC">
        <w:rPr>
          <w:szCs w:val="22"/>
        </w:rPr>
        <w:t xml:space="preserve">, which compared the before and after vaccination impact on infection and death rates to </w:t>
      </w:r>
      <w:r w:rsidR="00A9406F">
        <w:rPr>
          <w:szCs w:val="22"/>
        </w:rPr>
        <w:t>November</w:t>
      </w:r>
      <w:r w:rsidRPr="00097EAC">
        <w:rPr>
          <w:szCs w:val="22"/>
        </w:rPr>
        <w:t xml:space="preserve"> 2021 (OWID data).</w:t>
      </w:r>
      <w:r w:rsidR="00BA4188" w:rsidRPr="00167992">
        <w:rPr>
          <w:rStyle w:val="EndnoteReference"/>
        </w:rPr>
        <w:endnoteReference w:id="4"/>
      </w:r>
      <w:r w:rsidRPr="00097EAC">
        <w:rPr>
          <w:szCs w:val="22"/>
        </w:rPr>
        <w:t xml:space="preserve"> </w:t>
      </w:r>
      <w:r w:rsidR="003471AC">
        <w:rPr>
          <w:szCs w:val="22"/>
        </w:rPr>
        <w:t>T</w:t>
      </w:r>
      <w:r w:rsidRPr="00097EAC">
        <w:rPr>
          <w:szCs w:val="22"/>
        </w:rPr>
        <w:t xml:space="preserve">his study showed that </w:t>
      </w:r>
      <w:r w:rsidR="00572563">
        <w:rPr>
          <w:szCs w:val="22"/>
        </w:rPr>
        <w:t>COVID-19</w:t>
      </w:r>
      <w:r w:rsidRPr="00097EAC">
        <w:rPr>
          <w:szCs w:val="22"/>
        </w:rPr>
        <w:t xml:space="preserve"> vaccination had a statistically significant strong propensity to causally increase deaths per million (y1) and </w:t>
      </w:r>
      <w:r w:rsidR="00A9406F">
        <w:rPr>
          <w:szCs w:val="22"/>
        </w:rPr>
        <w:t>infections</w:t>
      </w:r>
      <w:r w:rsidRPr="00097EAC">
        <w:rPr>
          <w:szCs w:val="22"/>
        </w:rPr>
        <w:t xml:space="preserve"> per million (y2) over what would have been expected without vaccination. Y1 (deaths) comprised 128 countries, with a country rates increase/decrease ratio of +115/-13 and an average causal impact of +463%. Y2 (infections) </w:t>
      </w:r>
      <w:r w:rsidR="00182EA7">
        <w:rPr>
          <w:szCs w:val="22"/>
        </w:rPr>
        <w:t>included</w:t>
      </w:r>
      <w:r w:rsidRPr="00097EAC">
        <w:rPr>
          <w:szCs w:val="22"/>
        </w:rPr>
        <w:t xml:space="preserve"> 103 countries and showed a country rates increase/decrease ratio of +105/-16 and an average causal impact of +261</w:t>
      </w:r>
      <w:r w:rsidR="00A9406F">
        <w:rPr>
          <w:szCs w:val="22"/>
        </w:rPr>
        <w:t>%.</w:t>
      </w:r>
      <w:r w:rsidR="00A9406F" w:rsidRPr="00A9406F">
        <w:t xml:space="preserve"> </w:t>
      </w:r>
    </w:p>
    <w:p w14:paraId="2A56A3F4" w14:textId="62BCD128" w:rsidR="00CE2B83" w:rsidRDefault="00572563" w:rsidP="004C5C79">
      <w:pPr>
        <w:pStyle w:val="Heading3"/>
      </w:pPr>
      <w:bookmarkStart w:id="23" w:name="_Toc510678494"/>
      <w:bookmarkStart w:id="24" w:name="_Toc510879998"/>
      <w:bookmarkStart w:id="25" w:name="_Toc512275127"/>
      <w:bookmarkStart w:id="26" w:name="_Toc512360342"/>
      <w:bookmarkStart w:id="27" w:name="_Toc516645026"/>
      <w:bookmarkStart w:id="28" w:name="_Toc111367986"/>
      <w:bookmarkStart w:id="29" w:name="_Toc121035119"/>
      <w:r>
        <w:lastRenderedPageBreak/>
        <w:t>COVID-19</w:t>
      </w:r>
      <w:r w:rsidR="005F0AF8">
        <w:t xml:space="preserve"> Vaccination</w:t>
      </w:r>
      <w:r w:rsidR="000C3146">
        <w:t xml:space="preserve"> </w:t>
      </w:r>
      <w:r w:rsidR="005379B0">
        <w:t xml:space="preserve">Increased </w:t>
      </w:r>
      <w:r>
        <w:t>COVID-19</w:t>
      </w:r>
      <w:r w:rsidR="005379B0">
        <w:t xml:space="preserve"> Infection</w:t>
      </w:r>
      <w:bookmarkEnd w:id="23"/>
      <w:bookmarkEnd w:id="24"/>
      <w:r w:rsidR="00B13D4C">
        <w:t xml:space="preserve"> </w:t>
      </w:r>
      <w:r w:rsidR="003C06F6">
        <w:t>Rates</w:t>
      </w:r>
      <w:bookmarkEnd w:id="25"/>
      <w:bookmarkEnd w:id="26"/>
      <w:r w:rsidR="00EF54B6">
        <w:t xml:space="preserve"> Over the Unvaccinated</w:t>
      </w:r>
      <w:bookmarkEnd w:id="27"/>
      <w:bookmarkEnd w:id="28"/>
      <w:bookmarkEnd w:id="29"/>
    </w:p>
    <w:p w14:paraId="7264875F" w14:textId="210BCC23" w:rsidR="00B22AFB" w:rsidRPr="000663F8" w:rsidRDefault="004378A9" w:rsidP="00B22AFB">
      <w:pPr>
        <w:rPr>
          <w:szCs w:val="22"/>
        </w:rPr>
      </w:pPr>
      <w:r w:rsidRPr="003471AC">
        <w:rPr>
          <w:b/>
          <w:bCs w:val="0"/>
          <w:szCs w:val="22"/>
          <w:u w:val="single"/>
        </w:rPr>
        <w:t>The b</w:t>
      </w:r>
      <w:r w:rsidR="003309F8" w:rsidRPr="003471AC">
        <w:rPr>
          <w:b/>
          <w:bCs w:val="0"/>
          <w:szCs w:val="22"/>
          <w:u w:val="single"/>
        </w:rPr>
        <w:t>ottom line</w:t>
      </w:r>
      <w:r w:rsidR="003309F8" w:rsidRPr="00191EC5">
        <w:rPr>
          <w:szCs w:val="22"/>
        </w:rPr>
        <w:t xml:space="preserve">: </w:t>
      </w:r>
      <w:r w:rsidR="00572563">
        <w:rPr>
          <w:szCs w:val="22"/>
        </w:rPr>
        <w:t>COVID-19</w:t>
      </w:r>
      <w:r w:rsidR="007945D0" w:rsidRPr="00191EC5">
        <w:rPr>
          <w:szCs w:val="22"/>
        </w:rPr>
        <w:t xml:space="preserve"> vaccination did not prevent </w:t>
      </w:r>
      <w:r w:rsidR="002664C2">
        <w:rPr>
          <w:szCs w:val="22"/>
        </w:rPr>
        <w:t>SARS-CoV-2</w:t>
      </w:r>
      <w:r w:rsidR="00C8731B" w:rsidRPr="00191EC5">
        <w:rPr>
          <w:szCs w:val="22"/>
        </w:rPr>
        <w:t xml:space="preserve"> </w:t>
      </w:r>
      <w:r w:rsidR="007945D0" w:rsidRPr="00191EC5">
        <w:rPr>
          <w:szCs w:val="22"/>
        </w:rPr>
        <w:t xml:space="preserve">infection. </w:t>
      </w:r>
      <w:r w:rsidR="00505C29" w:rsidRPr="00191EC5">
        <w:rPr>
          <w:szCs w:val="22"/>
        </w:rPr>
        <w:t xml:space="preserve">On the contrary, </w:t>
      </w:r>
      <w:r w:rsidR="007C6BC0">
        <w:rPr>
          <w:szCs w:val="22"/>
        </w:rPr>
        <w:t xml:space="preserve">in general, </w:t>
      </w:r>
      <w:r w:rsidR="005070BD">
        <w:rPr>
          <w:szCs w:val="22"/>
        </w:rPr>
        <w:t xml:space="preserve">the </w:t>
      </w:r>
      <w:r w:rsidR="00B22AFB">
        <w:rPr>
          <w:szCs w:val="22"/>
        </w:rPr>
        <w:t xml:space="preserve">COVID-19 </w:t>
      </w:r>
      <w:r w:rsidR="005070BD">
        <w:rPr>
          <w:szCs w:val="22"/>
        </w:rPr>
        <w:t xml:space="preserve">infection rates were significantly higher in the </w:t>
      </w:r>
      <w:r w:rsidR="00B22AFB">
        <w:rPr>
          <w:szCs w:val="22"/>
        </w:rPr>
        <w:t xml:space="preserve">1-, 2-, and 3-dose </w:t>
      </w:r>
      <w:r w:rsidR="00572563">
        <w:rPr>
          <w:szCs w:val="22"/>
        </w:rPr>
        <w:t>COVID-19</w:t>
      </w:r>
      <w:r w:rsidR="00077368">
        <w:rPr>
          <w:szCs w:val="22"/>
        </w:rPr>
        <w:t xml:space="preserve"> </w:t>
      </w:r>
      <w:r w:rsidR="005070BD">
        <w:rPr>
          <w:szCs w:val="22"/>
        </w:rPr>
        <w:t xml:space="preserve">vaccinated </w:t>
      </w:r>
      <w:r w:rsidR="00B22AFB">
        <w:rPr>
          <w:szCs w:val="22"/>
        </w:rPr>
        <w:t xml:space="preserve">than </w:t>
      </w:r>
      <w:r w:rsidR="007C6BC0">
        <w:rPr>
          <w:szCs w:val="22"/>
        </w:rPr>
        <w:t xml:space="preserve">in </w:t>
      </w:r>
      <w:r w:rsidR="00C46A0A">
        <w:rPr>
          <w:szCs w:val="22"/>
        </w:rPr>
        <w:t>the</w:t>
      </w:r>
      <w:r w:rsidR="005070BD">
        <w:rPr>
          <w:szCs w:val="22"/>
        </w:rPr>
        <w:t xml:space="preserve"> u</w:t>
      </w:r>
      <w:r w:rsidR="005E0A44" w:rsidRPr="00191EC5">
        <w:rPr>
          <w:szCs w:val="22"/>
        </w:rPr>
        <w:t>nvaccinated</w:t>
      </w:r>
      <w:r w:rsidR="00B22AFB">
        <w:rPr>
          <w:szCs w:val="22"/>
        </w:rPr>
        <w:t>.</w:t>
      </w:r>
    </w:p>
    <w:p w14:paraId="452FDACF" w14:textId="0AFEA7E9" w:rsidR="008A545F" w:rsidRPr="000663F8" w:rsidRDefault="008A545F" w:rsidP="008A545F">
      <w:pPr>
        <w:rPr>
          <w:szCs w:val="22"/>
        </w:rPr>
      </w:pPr>
      <w:r w:rsidRPr="003471AC">
        <w:rPr>
          <w:szCs w:val="22"/>
          <w:u w:val="single"/>
        </w:rPr>
        <w:t>New Zealand</w:t>
      </w:r>
      <w:r>
        <w:rPr>
          <w:szCs w:val="22"/>
        </w:rPr>
        <w:t xml:space="preserve">: The New Zealand </w:t>
      </w:r>
      <w:r w:rsidRPr="00DD5E7D">
        <w:rPr>
          <w:szCs w:val="22"/>
        </w:rPr>
        <w:t xml:space="preserve">Ministry of </w:t>
      </w:r>
      <w:r w:rsidRPr="000663F8">
        <w:rPr>
          <w:szCs w:val="22"/>
        </w:rPr>
        <w:t>Health (MoH, from 22/02/22 to 4/7/22, ≥12yr demographics</w:t>
      </w:r>
      <w:r w:rsidR="00CB0147">
        <w:rPr>
          <w:szCs w:val="22"/>
        </w:rPr>
        <w:t>.</w:t>
      </w:r>
      <w:r w:rsidR="00CB0147" w:rsidRPr="00B203D8">
        <w:rPr>
          <w:rStyle w:val="EndnoteReference"/>
          <w:szCs w:val="22"/>
        </w:rPr>
        <w:endnoteReference w:id="5"/>
      </w:r>
      <w:r w:rsidR="00CB0147">
        <w:rPr>
          <w:szCs w:val="22"/>
        </w:rPr>
        <w:t xml:space="preserve"> Stat</w:t>
      </w:r>
      <w:r w:rsidR="00A842DA">
        <w:rPr>
          <w:szCs w:val="22"/>
        </w:rPr>
        <w:t>istic</w:t>
      </w:r>
      <w:r w:rsidR="00CB0147">
        <w:rPr>
          <w:szCs w:val="22"/>
        </w:rPr>
        <w:t>s New Zealand.</w:t>
      </w:r>
      <w:r w:rsidR="00CB0147" w:rsidRPr="00B203D8">
        <w:rPr>
          <w:rStyle w:val="EndnoteReference"/>
          <w:szCs w:val="22"/>
        </w:rPr>
        <w:endnoteReference w:id="6"/>
      </w:r>
      <w:r w:rsidRPr="000663F8">
        <w:rPr>
          <w:szCs w:val="22"/>
        </w:rPr>
        <w:t xml:space="preserve">)  </w:t>
      </w:r>
      <w:r w:rsidRPr="002B7785">
        <w:rPr>
          <w:szCs w:val="22"/>
        </w:rPr>
        <w:t xml:space="preserve">data </w:t>
      </w:r>
      <w:r>
        <w:rPr>
          <w:szCs w:val="22"/>
        </w:rPr>
        <w:t xml:space="preserve">shows their COVID-19 vaccination strategy did not protect the population from COVID-19 infection as originally touted but instead significantly increased the risk and rates of COVID-19 infection for all vaccine dose groups compared </w:t>
      </w:r>
      <w:r w:rsidRPr="00B203D8">
        <w:rPr>
          <w:szCs w:val="22"/>
        </w:rPr>
        <w:t xml:space="preserve">with the unvaccinated. The New Zealand </w:t>
      </w:r>
      <w:r w:rsidR="003471AC">
        <w:rPr>
          <w:szCs w:val="22"/>
        </w:rPr>
        <w:t>MoH</w:t>
      </w:r>
      <w:r w:rsidRPr="000663F8">
        <w:rPr>
          <w:szCs w:val="22"/>
        </w:rPr>
        <w:t xml:space="preserve"> data shows the COVID-19 vaccinated population (1-3 doses) accounted for 96% of cumulative COVID-19 infections while accounting for 93.4% of the ≥12yr population (NZ Stats: 4,345,230). There were a cumulative 7,311, 16,222, and 8,608 more COVID-19 infections per 100,000 in the 1-, 2-, and 3-dose vaccinated</w:t>
      </w:r>
      <w:r w:rsidR="009B7B0C">
        <w:rPr>
          <w:szCs w:val="22"/>
        </w:rPr>
        <w:t>,</w:t>
      </w:r>
      <w:r w:rsidRPr="000663F8">
        <w:rPr>
          <w:szCs w:val="22"/>
        </w:rPr>
        <w:t xml:space="preserve"> respectively</w:t>
      </w:r>
      <w:r w:rsidR="009B7B0C">
        <w:rPr>
          <w:szCs w:val="22"/>
        </w:rPr>
        <w:t>,</w:t>
      </w:r>
      <w:r w:rsidRPr="000663F8">
        <w:rPr>
          <w:szCs w:val="22"/>
        </w:rPr>
        <w:t xml:space="preserve"> than the unvaccinated. This corresponded with higher rates of COVID-19 infections in the 1-dose (1.5x), 2-dose (2.0x), and 3-dose (1.5x) vaccinated compared with the unvaccinated. The observed proportion of COVID-19 infections was higher in the 1-, 2-, and 3-dose vaccinated and lower in the unvaccinated than expected</w:t>
      </w:r>
      <w:r w:rsidR="009B7B0C">
        <w:rPr>
          <w:szCs w:val="22"/>
        </w:rPr>
        <w:t>. These</w:t>
      </w:r>
      <w:r w:rsidRPr="000663F8">
        <w:rPr>
          <w:szCs w:val="22"/>
        </w:rPr>
        <w:t xml:space="preserve"> differences were highly significant for all vaccine dose groups (Chi-square test of independence, all p &lt; .00001). This data indicates </w:t>
      </w:r>
      <w:r w:rsidR="00182EA7">
        <w:rPr>
          <w:szCs w:val="22"/>
        </w:rPr>
        <w:t>that the 1-, 2-, and 3-dose vaccinated groups experienced a significantly increased risk of COVID-19 infection compared with the unvaccinated groups</w:t>
      </w:r>
      <w:r w:rsidRPr="000663F8">
        <w:rPr>
          <w:szCs w:val="22"/>
        </w:rPr>
        <w:t>.</w:t>
      </w:r>
    </w:p>
    <w:p w14:paraId="13D70335" w14:textId="4F086718" w:rsidR="005775F8" w:rsidRPr="00733D71" w:rsidRDefault="00857808" w:rsidP="005775F8">
      <w:pPr>
        <w:rPr>
          <w:szCs w:val="22"/>
        </w:rPr>
      </w:pPr>
      <w:r w:rsidRPr="00733D71">
        <w:rPr>
          <w:szCs w:val="22"/>
          <w:u w:val="single"/>
        </w:rPr>
        <w:t>England</w:t>
      </w:r>
      <w:r w:rsidRPr="00733D71">
        <w:rPr>
          <w:szCs w:val="22"/>
        </w:rPr>
        <w:t xml:space="preserve">: </w:t>
      </w:r>
      <w:r w:rsidR="005775F8" w:rsidRPr="00733D71">
        <w:rPr>
          <w:szCs w:val="22"/>
        </w:rPr>
        <w:t>The UK Health Security Agency (UKHSA) vaccine surveillance data showed its vaccination strategy did not prevent SARS-CoV-2 infection in the England population (</w:t>
      </w:r>
      <w:r w:rsidR="00325EDA" w:rsidRPr="00733D71">
        <w:rPr>
          <w:szCs w:val="22"/>
        </w:rPr>
        <w:t xml:space="preserve">i.e., </w:t>
      </w:r>
      <w:r w:rsidR="005775F8" w:rsidRPr="00733D71">
        <w:rPr>
          <w:szCs w:val="22"/>
        </w:rPr>
        <w:t xml:space="preserve">Omicron). Instead, this </w:t>
      </w:r>
      <w:r w:rsidR="000379EC" w:rsidRPr="00733D71">
        <w:rPr>
          <w:szCs w:val="22"/>
        </w:rPr>
        <w:t xml:space="preserve">vaccination </w:t>
      </w:r>
      <w:r w:rsidR="005775F8" w:rsidRPr="00733D71">
        <w:rPr>
          <w:szCs w:val="22"/>
        </w:rPr>
        <w:t xml:space="preserve">strategy </w:t>
      </w:r>
      <w:r w:rsidR="0081481F" w:rsidRPr="00733D71">
        <w:rPr>
          <w:szCs w:val="22"/>
        </w:rPr>
        <w:t xml:space="preserve">(1-, 2-, </w:t>
      </w:r>
      <w:r w:rsidR="00483D99" w:rsidRPr="00733D71">
        <w:rPr>
          <w:szCs w:val="22"/>
        </w:rPr>
        <w:t xml:space="preserve">and </w:t>
      </w:r>
      <w:r w:rsidR="0081481F" w:rsidRPr="00733D71">
        <w:rPr>
          <w:szCs w:val="22"/>
        </w:rPr>
        <w:t>3-dose</w:t>
      </w:r>
      <w:r w:rsidR="00483D99" w:rsidRPr="00733D71">
        <w:rPr>
          <w:szCs w:val="22"/>
        </w:rPr>
        <w:t>s</w:t>
      </w:r>
      <w:r w:rsidR="0081481F" w:rsidRPr="00733D71">
        <w:rPr>
          <w:szCs w:val="22"/>
        </w:rPr>
        <w:t xml:space="preserve">) </w:t>
      </w:r>
      <w:r w:rsidR="005775F8" w:rsidRPr="00733D71">
        <w:rPr>
          <w:szCs w:val="22"/>
        </w:rPr>
        <w:t xml:space="preserve">significantly increased the </w:t>
      </w:r>
      <w:r w:rsidR="000379EC" w:rsidRPr="00733D71">
        <w:rPr>
          <w:szCs w:val="22"/>
        </w:rPr>
        <w:t xml:space="preserve">rates, </w:t>
      </w:r>
      <w:r w:rsidR="005775F8" w:rsidRPr="00733D71">
        <w:rPr>
          <w:szCs w:val="22"/>
        </w:rPr>
        <w:t xml:space="preserve">proportions, and absolute risk of infection in vaccinated </w:t>
      </w:r>
      <w:r w:rsidR="005775F8" w:rsidRPr="00733D71">
        <w:rPr>
          <w:rFonts w:cs="Times New Roman"/>
        </w:rPr>
        <w:t>working-age adults (18-59yrs) and the elderly (≥60yrs)</w:t>
      </w:r>
      <w:r w:rsidR="005775F8" w:rsidRPr="00733D71">
        <w:rPr>
          <w:szCs w:val="22"/>
        </w:rPr>
        <w:t xml:space="preserve"> over the unvaccinated. </w:t>
      </w:r>
      <w:r w:rsidR="00A842DA" w:rsidRPr="000663F8">
        <w:rPr>
          <w:szCs w:val="22"/>
        </w:rPr>
        <w:t xml:space="preserve">The 2022 UKHSA data was analyzed between 08/11/2021 and 31/03/2022 (i.e., report 49 2021 - </w:t>
      </w:r>
      <w:r w:rsidR="00A85BF4">
        <w:rPr>
          <w:szCs w:val="22"/>
        </w:rPr>
        <w:t>Report</w:t>
      </w:r>
      <w:r w:rsidR="00A842DA" w:rsidRPr="000663F8">
        <w:rPr>
          <w:szCs w:val="22"/>
        </w:rPr>
        <w:t xml:space="preserve"> 13 2022).</w:t>
      </w:r>
      <w:r w:rsidR="00A842DA" w:rsidRPr="00733D71">
        <w:rPr>
          <w:rStyle w:val="EndnoteReference"/>
          <w:szCs w:val="22"/>
        </w:rPr>
        <w:endnoteReference w:id="7"/>
      </w:r>
      <w:r w:rsidR="00A842DA" w:rsidRPr="00733D71">
        <w:rPr>
          <w:szCs w:val="22"/>
          <w:vertAlign w:val="superscript"/>
        </w:rPr>
        <w:t>,</w:t>
      </w:r>
      <w:r w:rsidR="00A842DA" w:rsidRPr="00733D71">
        <w:rPr>
          <w:rStyle w:val="EndnoteReference"/>
          <w:szCs w:val="22"/>
        </w:rPr>
        <w:endnoteReference w:id="8"/>
      </w:r>
      <w:r w:rsidR="00A842DA" w:rsidRPr="000663F8">
        <w:rPr>
          <w:szCs w:val="22"/>
        </w:rPr>
        <w:t xml:space="preserve"> </w:t>
      </w:r>
      <w:r w:rsidR="005775F8" w:rsidRPr="00733D71">
        <w:rPr>
          <w:szCs w:val="22"/>
        </w:rPr>
        <w:t xml:space="preserve">This analysis was done using rates calculated from the raw </w:t>
      </w:r>
      <w:r w:rsidR="00733D71" w:rsidRPr="00733D71">
        <w:rPr>
          <w:szCs w:val="22"/>
        </w:rPr>
        <w:t xml:space="preserve">COVID-19 </w:t>
      </w:r>
      <w:r w:rsidR="001A5E50" w:rsidRPr="00733D71">
        <w:rPr>
          <w:szCs w:val="22"/>
        </w:rPr>
        <w:t xml:space="preserve">case </w:t>
      </w:r>
      <w:r w:rsidR="00031EC1" w:rsidRPr="00733D71">
        <w:rPr>
          <w:szCs w:val="22"/>
        </w:rPr>
        <w:t>data and</w:t>
      </w:r>
      <w:r w:rsidR="005775F8" w:rsidRPr="00733D71">
        <w:rPr>
          <w:szCs w:val="22"/>
        </w:rPr>
        <w:t xml:space="preserve"> </w:t>
      </w:r>
      <w:r w:rsidR="00031EC1" w:rsidRPr="00733D71">
        <w:rPr>
          <w:szCs w:val="22"/>
        </w:rPr>
        <w:t xml:space="preserve">the </w:t>
      </w:r>
      <w:r w:rsidR="005775F8" w:rsidRPr="00733D71">
        <w:rPr>
          <w:szCs w:val="22"/>
        </w:rPr>
        <w:t>vaccinated and population totals</w:t>
      </w:r>
      <w:r w:rsidR="00733D71">
        <w:rPr>
          <w:szCs w:val="22"/>
        </w:rPr>
        <w:t xml:space="preserve"> </w:t>
      </w:r>
      <w:r w:rsidR="005775F8" w:rsidRPr="00733D71">
        <w:rPr>
          <w:szCs w:val="22"/>
        </w:rPr>
        <w:t>because the UKHSA</w:t>
      </w:r>
      <w:r w:rsidR="00325EDA" w:rsidRPr="00733D71">
        <w:rPr>
          <w:szCs w:val="22"/>
        </w:rPr>
        <w:t>’s</w:t>
      </w:r>
      <w:r w:rsidR="005775F8" w:rsidRPr="00733D71">
        <w:rPr>
          <w:szCs w:val="22"/>
        </w:rPr>
        <w:t xml:space="preserve"> “unadjusted” </w:t>
      </w:r>
      <w:r w:rsidR="00572563" w:rsidRPr="00733D71">
        <w:rPr>
          <w:szCs w:val="22"/>
        </w:rPr>
        <w:t>COVID-19</w:t>
      </w:r>
      <w:r w:rsidR="005775F8" w:rsidRPr="00733D71">
        <w:rPr>
          <w:szCs w:val="22"/>
        </w:rPr>
        <w:t xml:space="preserve"> infection</w:t>
      </w:r>
      <w:r w:rsidR="00733D71">
        <w:rPr>
          <w:szCs w:val="22"/>
        </w:rPr>
        <w:t xml:space="preserve">, hospitalization, and death </w:t>
      </w:r>
      <w:r w:rsidR="005775F8" w:rsidRPr="00733D71">
        <w:rPr>
          <w:szCs w:val="22"/>
        </w:rPr>
        <w:t xml:space="preserve">rate data </w:t>
      </w:r>
      <w:r w:rsidR="00483D99" w:rsidRPr="00733D71">
        <w:rPr>
          <w:szCs w:val="22"/>
        </w:rPr>
        <w:t>for</w:t>
      </w:r>
      <w:r w:rsidR="001A5E50" w:rsidRPr="00733D71">
        <w:rPr>
          <w:szCs w:val="22"/>
        </w:rPr>
        <w:t xml:space="preserve"> the vaccinated </w:t>
      </w:r>
      <w:r w:rsidR="005251DD">
        <w:rPr>
          <w:szCs w:val="22"/>
        </w:rPr>
        <w:t>were</w:t>
      </w:r>
      <w:r w:rsidR="005775F8" w:rsidRPr="00733D71">
        <w:rPr>
          <w:szCs w:val="22"/>
        </w:rPr>
        <w:t xml:space="preserve"> significantly </w:t>
      </w:r>
      <w:r w:rsidR="005251DD">
        <w:rPr>
          <w:szCs w:val="22"/>
        </w:rPr>
        <w:t xml:space="preserve">and non-uniformly </w:t>
      </w:r>
      <w:r w:rsidR="005775F8" w:rsidRPr="00733D71">
        <w:rPr>
          <w:szCs w:val="22"/>
        </w:rPr>
        <w:t xml:space="preserve">altered over </w:t>
      </w:r>
      <w:r w:rsidR="00B203D8" w:rsidRPr="00733D71">
        <w:rPr>
          <w:szCs w:val="22"/>
        </w:rPr>
        <w:t>that calculable from the</w:t>
      </w:r>
      <w:r w:rsidR="005775F8" w:rsidRPr="00733D71">
        <w:rPr>
          <w:szCs w:val="22"/>
        </w:rPr>
        <w:t xml:space="preserve"> </w:t>
      </w:r>
      <w:r w:rsidR="00B203D8" w:rsidRPr="00733D71">
        <w:rPr>
          <w:szCs w:val="22"/>
        </w:rPr>
        <w:t>raw</w:t>
      </w:r>
      <w:r w:rsidR="00DD3BE1" w:rsidRPr="00733D71">
        <w:rPr>
          <w:szCs w:val="22"/>
        </w:rPr>
        <w:t xml:space="preserve"> </w:t>
      </w:r>
      <w:r w:rsidR="005775F8" w:rsidRPr="00733D71">
        <w:rPr>
          <w:szCs w:val="22"/>
        </w:rPr>
        <w:t>data</w:t>
      </w:r>
      <w:r w:rsidR="009B7B0C">
        <w:rPr>
          <w:szCs w:val="22"/>
        </w:rPr>
        <w:t>. In contrast, their</w:t>
      </w:r>
      <w:r w:rsidR="00733D71">
        <w:rPr>
          <w:szCs w:val="22"/>
        </w:rPr>
        <w:t xml:space="preserve"> unvaccinated COVID-19 rates were </w:t>
      </w:r>
      <w:r w:rsidR="006C3EB5">
        <w:rPr>
          <w:szCs w:val="22"/>
        </w:rPr>
        <w:t>broadly</w:t>
      </w:r>
      <w:r w:rsidR="00733D71">
        <w:rPr>
          <w:szCs w:val="22"/>
        </w:rPr>
        <w:t xml:space="preserve"> as calculated</w:t>
      </w:r>
      <w:r w:rsidR="005775F8" w:rsidRPr="00733D71">
        <w:rPr>
          <w:szCs w:val="22"/>
        </w:rPr>
        <w:t>.</w:t>
      </w:r>
    </w:p>
    <w:p w14:paraId="0E2191F5" w14:textId="278763FD" w:rsidR="003D5BE2" w:rsidRPr="000663F8" w:rsidRDefault="004754C4" w:rsidP="005775F8">
      <w:pPr>
        <w:rPr>
          <w:szCs w:val="22"/>
        </w:rPr>
      </w:pPr>
      <w:r w:rsidRPr="000663F8">
        <w:rPr>
          <w:szCs w:val="22"/>
        </w:rPr>
        <w:t xml:space="preserve">The vaccinated accounted for </w:t>
      </w:r>
      <w:r w:rsidR="009B7B0C">
        <w:rPr>
          <w:szCs w:val="22"/>
        </w:rPr>
        <w:t>most</w:t>
      </w:r>
      <w:r w:rsidRPr="000663F8">
        <w:rPr>
          <w:szCs w:val="22"/>
        </w:rPr>
        <w:t xml:space="preserve"> COVID-19 infections (73%)</w:t>
      </w:r>
      <w:r w:rsidR="009B7B0C">
        <w:rPr>
          <w:szCs w:val="22"/>
        </w:rPr>
        <w:t>,</w:t>
      </w:r>
      <w:r w:rsidRPr="000663F8">
        <w:rPr>
          <w:szCs w:val="22"/>
        </w:rPr>
        <w:t xml:space="preserve"> with vaccinated working-age adults accounting for the </w:t>
      </w:r>
      <w:r w:rsidR="00182EA7">
        <w:rPr>
          <w:szCs w:val="22"/>
        </w:rPr>
        <w:t>highest</w:t>
      </w:r>
      <w:r w:rsidRPr="000663F8">
        <w:rPr>
          <w:szCs w:val="22"/>
        </w:rPr>
        <w:t xml:space="preserve"> percentage of total infections (57%). There were 4,927, 20,516, and 3,396 more COVID-19 infections per 100,000 in the 1-, 2-, and 3-dose vaccinated working-age adults</w:t>
      </w:r>
      <w:r w:rsidR="009B7B0C">
        <w:rPr>
          <w:szCs w:val="22"/>
        </w:rPr>
        <w:t>,</w:t>
      </w:r>
      <w:r w:rsidRPr="000663F8">
        <w:rPr>
          <w:szCs w:val="22"/>
        </w:rPr>
        <w:t xml:space="preserve"> respectively than the unvaccinated (18-59yrs) and 2,835, 33,566, and 1,928 more COVID-19 infections per 100,000 in 1-, 2-, and 3-dose vaccinated elderly than the unvaccinated (≥60yrs). This corresponded with a higher rate of COVID-19 infection in working-age vaccinated adults (1-dose 1.6x, 2-dose 3.5x, and 3-dose 1.4x) and </w:t>
      </w:r>
      <w:r w:rsidRPr="000663F8">
        <w:rPr>
          <w:szCs w:val="22"/>
        </w:rPr>
        <w:lastRenderedPageBreak/>
        <w:t xml:space="preserve">in the vaccinated elderly (1-dose 1.8x, 2-dose 10.1x, and 3-dose 1.5x) compared with the unvaccinated. There were 4,757 more infections per 100,000 in 1-dose vaccinated kids-youth compared with the unvaccinated (&lt;18yrs), which corresponded with a 1.3x higher rate of infection over the unvaccinated. Vaccinated infection proportions were higher than and unvaccinated proportions lower than expected for working-age adults and the elderly (1-, 2-, </w:t>
      </w:r>
      <w:r w:rsidR="00850E4A" w:rsidRPr="000663F8">
        <w:rPr>
          <w:szCs w:val="22"/>
        </w:rPr>
        <w:t xml:space="preserve">and </w:t>
      </w:r>
      <w:r w:rsidRPr="000663F8">
        <w:rPr>
          <w:szCs w:val="22"/>
        </w:rPr>
        <w:t xml:space="preserve">3-doses) and kids-youth (1-dose), and these differences were highly significant (Chi-square test of independence, all p &lt; .00001). </w:t>
      </w:r>
      <w:r w:rsidR="00FE392D" w:rsidRPr="000663F8">
        <w:rPr>
          <w:szCs w:val="22"/>
        </w:rPr>
        <w:t xml:space="preserve"> </w:t>
      </w:r>
      <w:r w:rsidR="00483D99" w:rsidRPr="000663F8">
        <w:rPr>
          <w:szCs w:val="22"/>
        </w:rPr>
        <w:t xml:space="preserve">In other words, COVID-19 vaccination failed to protect against COVID-19 infection as </w:t>
      </w:r>
      <w:r w:rsidR="00182EA7">
        <w:rPr>
          <w:szCs w:val="22"/>
        </w:rPr>
        <w:t>initially touted</w:t>
      </w:r>
      <w:r w:rsidR="00483D99" w:rsidRPr="000663F8">
        <w:rPr>
          <w:szCs w:val="22"/>
        </w:rPr>
        <w:t xml:space="preserve"> by the UK government</w:t>
      </w:r>
      <w:r w:rsidR="009B7B0C">
        <w:rPr>
          <w:szCs w:val="22"/>
        </w:rPr>
        <w:t>,</w:t>
      </w:r>
      <w:r w:rsidR="00483D99" w:rsidRPr="000663F8">
        <w:rPr>
          <w:szCs w:val="22"/>
        </w:rPr>
        <w:t xml:space="preserve"> but </w:t>
      </w:r>
      <w:r w:rsidR="009B7B0C">
        <w:rPr>
          <w:szCs w:val="22"/>
        </w:rPr>
        <w:t>instead, it</w:t>
      </w:r>
      <w:r w:rsidR="00483D99" w:rsidRPr="000663F8">
        <w:rPr>
          <w:szCs w:val="22"/>
        </w:rPr>
        <w:t xml:space="preserve"> significantly increased the risk of infection over the unvaccinated.</w:t>
      </w:r>
    </w:p>
    <w:p w14:paraId="6A68A269" w14:textId="5B520953" w:rsidR="00A52C94" w:rsidRPr="000663F8" w:rsidRDefault="00AF03D2" w:rsidP="00526116">
      <w:r w:rsidRPr="000663F8">
        <w:rPr>
          <w:u w:val="single"/>
        </w:rPr>
        <w:t>Scotland</w:t>
      </w:r>
      <w:r w:rsidR="00A52C94" w:rsidRPr="000663F8">
        <w:t xml:space="preserve">: </w:t>
      </w:r>
      <w:r w:rsidR="00362034" w:rsidRPr="000663F8">
        <w:rPr>
          <w:rFonts w:cs="Times New Roman"/>
        </w:rPr>
        <w:t>The Public Health Scotland (PHS,</w:t>
      </w:r>
      <w:r w:rsidR="00CB0147">
        <w:rPr>
          <w:rStyle w:val="EndnoteReference"/>
          <w:rFonts w:cs="Times New Roman"/>
        </w:rPr>
        <w:endnoteReference w:id="9"/>
      </w:r>
      <w:r w:rsidR="00CB0147">
        <w:rPr>
          <w:rFonts w:cs="Times New Roman"/>
        </w:rPr>
        <w:t xml:space="preserve"> </w:t>
      </w:r>
      <w:r w:rsidR="00A842DA">
        <w:rPr>
          <w:rFonts w:cs="Times New Roman"/>
        </w:rPr>
        <w:t>Mid-</w:t>
      </w:r>
      <w:r w:rsidR="00CB0147">
        <w:rPr>
          <w:rFonts w:cs="Times New Roman"/>
        </w:rPr>
        <w:t xml:space="preserve">2021 </w:t>
      </w:r>
      <w:r w:rsidR="00A842DA">
        <w:rPr>
          <w:rFonts w:cs="Times New Roman"/>
        </w:rPr>
        <w:t>population estimates.</w:t>
      </w:r>
      <w:r w:rsidR="00A842DA">
        <w:rPr>
          <w:rStyle w:val="EndnoteReference"/>
          <w:rFonts w:cs="Times New Roman"/>
        </w:rPr>
        <w:endnoteReference w:id="10"/>
      </w:r>
      <w:r w:rsidR="00362034" w:rsidRPr="000663F8">
        <w:rPr>
          <w:rFonts w:cs="Times New Roman"/>
        </w:rPr>
        <w:t>) data shows the vaccinated population (1-3</w:t>
      </w:r>
      <w:r w:rsidR="0008676E" w:rsidRPr="000663F8">
        <w:rPr>
          <w:rFonts w:cs="Times New Roman"/>
        </w:rPr>
        <w:t xml:space="preserve"> </w:t>
      </w:r>
      <w:r w:rsidR="00362034" w:rsidRPr="000663F8">
        <w:rPr>
          <w:rFonts w:cs="Times New Roman"/>
        </w:rPr>
        <w:t>doses) accounted for 80.6% of all COVID-19 infections</w:t>
      </w:r>
      <w:r w:rsidR="00826F8E" w:rsidRPr="000663F8">
        <w:rPr>
          <w:rFonts w:cs="Times New Roman"/>
        </w:rPr>
        <w:t xml:space="preserve"> while accounting for 78.6% of the population</w:t>
      </w:r>
      <w:r w:rsidR="00362034" w:rsidRPr="000663F8">
        <w:rPr>
          <w:rFonts w:cs="Times New Roman"/>
        </w:rPr>
        <w:t xml:space="preserve">. There were 2,780 and 5,599 more </w:t>
      </w:r>
      <w:r w:rsidR="004F062F" w:rsidRPr="000663F8">
        <w:rPr>
          <w:rFonts w:cs="Times New Roman"/>
        </w:rPr>
        <w:t xml:space="preserve">COVID-19 </w:t>
      </w:r>
      <w:r w:rsidR="00362034" w:rsidRPr="000663F8">
        <w:rPr>
          <w:rFonts w:cs="Times New Roman"/>
        </w:rPr>
        <w:t>infections per 100,000 in the 1- and 2-dose vaccinated</w:t>
      </w:r>
      <w:r w:rsidR="009B7B0C">
        <w:rPr>
          <w:rFonts w:cs="Times New Roman"/>
        </w:rPr>
        <w:t>,</w:t>
      </w:r>
      <w:r w:rsidR="00362034" w:rsidRPr="000663F8">
        <w:rPr>
          <w:rFonts w:cs="Times New Roman"/>
        </w:rPr>
        <w:t xml:space="preserve"> respectively, and 2,063 fewer </w:t>
      </w:r>
      <w:r w:rsidR="004F062F" w:rsidRPr="000663F8">
        <w:rPr>
          <w:rFonts w:cs="Times New Roman"/>
        </w:rPr>
        <w:t xml:space="preserve">COVID-19 </w:t>
      </w:r>
      <w:r w:rsidR="00362034" w:rsidRPr="000663F8">
        <w:rPr>
          <w:rFonts w:cs="Times New Roman"/>
        </w:rPr>
        <w:t>infections per 100,000 in the 3-dose vaccinated</w:t>
      </w:r>
      <w:r w:rsidR="0008676E" w:rsidRPr="000663F8">
        <w:rPr>
          <w:rFonts w:cs="Times New Roman"/>
        </w:rPr>
        <w:t xml:space="preserve"> than the unvaccinated. This </w:t>
      </w:r>
      <w:r w:rsidR="00362034" w:rsidRPr="000663F8">
        <w:rPr>
          <w:rFonts w:cs="Times New Roman"/>
        </w:rPr>
        <w:t>corresponded with higher rates of COVID-19 infections in the 1-dose (1.3x)</w:t>
      </w:r>
      <w:r w:rsidR="009B7B0C">
        <w:rPr>
          <w:rFonts w:cs="Times New Roman"/>
        </w:rPr>
        <w:t>,</w:t>
      </w:r>
      <w:r w:rsidR="00362034" w:rsidRPr="000663F8">
        <w:rPr>
          <w:rFonts w:cs="Times New Roman"/>
        </w:rPr>
        <w:t xml:space="preserve"> and 2-dose (1.7x) vaccinated and a lower rate in the 3-dose vaccinated (0.74x) compared with the unvaccinated. The observed proportion of </w:t>
      </w:r>
      <w:r w:rsidR="004F062F" w:rsidRPr="000663F8">
        <w:rPr>
          <w:rFonts w:cs="Times New Roman"/>
        </w:rPr>
        <w:t xml:space="preserve">COVID-19 </w:t>
      </w:r>
      <w:r w:rsidR="00362034" w:rsidRPr="000663F8">
        <w:rPr>
          <w:rFonts w:cs="Times New Roman"/>
        </w:rPr>
        <w:t xml:space="preserve">infections was higher in the 1- and 2-dose vaccinated and lower in the unvaccinated than expected, with this observed-expected proportion difference being reversed (i.e., </w:t>
      </w:r>
      <w:r w:rsidR="00850E4A" w:rsidRPr="000663F8">
        <w:rPr>
          <w:rFonts w:cs="Times New Roman"/>
        </w:rPr>
        <w:t xml:space="preserve">vaccinated-lower, </w:t>
      </w:r>
      <w:r w:rsidR="00362034" w:rsidRPr="000663F8">
        <w:rPr>
          <w:rFonts w:cs="Times New Roman"/>
        </w:rPr>
        <w:t xml:space="preserve">unvaccinated-higher) with the 3-dose vaccinated (Chi-square test of independence, all p &lt; .00001). This data indicates </w:t>
      </w:r>
      <w:r w:rsidR="00F95681">
        <w:rPr>
          <w:rFonts w:cs="Times New Roman"/>
        </w:rPr>
        <w:t xml:space="preserve">that </w:t>
      </w:r>
      <w:r w:rsidR="00362034" w:rsidRPr="000663F8">
        <w:rPr>
          <w:rFonts w:cs="Times New Roman"/>
        </w:rPr>
        <w:t xml:space="preserve">the 1- and 2-dose vaccinated experienced an increased risk (i.e., cumulative rate and proportion) of </w:t>
      </w:r>
      <w:r w:rsidR="004F062F" w:rsidRPr="000663F8">
        <w:rPr>
          <w:rFonts w:cs="Times New Roman"/>
        </w:rPr>
        <w:t xml:space="preserve">COVID-19 </w:t>
      </w:r>
      <w:r w:rsidR="00362034" w:rsidRPr="000663F8">
        <w:rPr>
          <w:rFonts w:cs="Times New Roman"/>
        </w:rPr>
        <w:t>infection over the unvaccinated</w:t>
      </w:r>
      <w:r w:rsidR="009B7B0C">
        <w:rPr>
          <w:rFonts w:cs="Times New Roman"/>
        </w:rPr>
        <w:t>. At the same time,</w:t>
      </w:r>
      <w:r w:rsidR="00362034" w:rsidRPr="000663F8">
        <w:rPr>
          <w:rFonts w:cs="Times New Roman"/>
        </w:rPr>
        <w:t xml:space="preserve"> a third dose temporarily ameliorated this enhanced </w:t>
      </w:r>
      <w:r w:rsidR="004F062F" w:rsidRPr="000663F8">
        <w:rPr>
          <w:rFonts w:cs="Times New Roman"/>
        </w:rPr>
        <w:t xml:space="preserve">infection </w:t>
      </w:r>
      <w:r w:rsidR="00362034" w:rsidRPr="000663F8">
        <w:rPr>
          <w:rFonts w:cs="Times New Roman"/>
        </w:rPr>
        <w:t>risk (i.e., for a duration less than the booster interval).</w:t>
      </w:r>
      <w:r w:rsidR="00A52C94" w:rsidRPr="000663F8">
        <w:t xml:space="preserve"> </w:t>
      </w:r>
    </w:p>
    <w:p w14:paraId="65ADE27F" w14:textId="25F84B53" w:rsidR="000064F4" w:rsidRPr="00E33E4F" w:rsidRDefault="00E855A5" w:rsidP="00161628">
      <w:pPr>
        <w:rPr>
          <w:szCs w:val="22"/>
          <w:vertAlign w:val="superscript"/>
        </w:rPr>
      </w:pPr>
      <w:r w:rsidRPr="00E33E4F">
        <w:rPr>
          <w:szCs w:val="22"/>
          <w:u w:val="single"/>
        </w:rPr>
        <w:t>Canada</w:t>
      </w:r>
      <w:r w:rsidRPr="00E33E4F">
        <w:rPr>
          <w:szCs w:val="22"/>
        </w:rPr>
        <w:t xml:space="preserve">: </w:t>
      </w:r>
      <w:r w:rsidR="001736D8" w:rsidRPr="00E33E4F">
        <w:rPr>
          <w:szCs w:val="22"/>
        </w:rPr>
        <w:t xml:space="preserve">The Public Health Agency of Canada </w:t>
      </w:r>
      <w:r w:rsidR="001E70FB" w:rsidRPr="00E33E4F">
        <w:rPr>
          <w:szCs w:val="22"/>
        </w:rPr>
        <w:t xml:space="preserve">data </w:t>
      </w:r>
      <w:r w:rsidR="001736D8" w:rsidRPr="00E33E4F">
        <w:rPr>
          <w:szCs w:val="22"/>
        </w:rPr>
        <w:t>(PHAC)</w:t>
      </w:r>
      <w:r w:rsidR="00557346">
        <w:rPr>
          <w:rStyle w:val="EndnoteReference"/>
          <w:szCs w:val="22"/>
        </w:rPr>
        <w:endnoteReference w:id="11"/>
      </w:r>
      <w:r w:rsidR="001736D8" w:rsidRPr="00E33E4F">
        <w:rPr>
          <w:szCs w:val="22"/>
        </w:rPr>
        <w:t xml:space="preserve"> shows the COVID-19 vaccinated population (1-3</w:t>
      </w:r>
      <w:r w:rsidR="001E70FB" w:rsidRPr="00E33E4F">
        <w:rPr>
          <w:szCs w:val="22"/>
        </w:rPr>
        <w:t xml:space="preserve"> </w:t>
      </w:r>
      <w:r w:rsidR="001736D8" w:rsidRPr="00E33E4F">
        <w:rPr>
          <w:szCs w:val="22"/>
        </w:rPr>
        <w:t>doses</w:t>
      </w:r>
      <w:r w:rsidR="00CD1340">
        <w:rPr>
          <w:szCs w:val="22"/>
        </w:rPr>
        <w:t xml:space="preserve">, </w:t>
      </w:r>
      <w:r w:rsidR="00CD1340" w:rsidRPr="00CD1340">
        <w:rPr>
          <w:szCs w:val="22"/>
        </w:rPr>
        <w:t>≥5yr demographics</w:t>
      </w:r>
      <w:r w:rsidR="001736D8" w:rsidRPr="00E33E4F">
        <w:rPr>
          <w:szCs w:val="22"/>
        </w:rPr>
        <w:t>) accounted for 84.8% of cumulative COVID-19 infections while accounting for 71.1% of the population</w:t>
      </w:r>
      <w:r w:rsidR="003A70E7">
        <w:rPr>
          <w:szCs w:val="22"/>
        </w:rPr>
        <w:t xml:space="preserve"> (</w:t>
      </w:r>
      <w:r w:rsidR="003A70E7" w:rsidRPr="003A70E7">
        <w:rPr>
          <w:szCs w:val="22"/>
        </w:rPr>
        <w:t>Statistics Canada</w:t>
      </w:r>
      <w:r w:rsidR="003A70E7">
        <w:rPr>
          <w:szCs w:val="22"/>
        </w:rPr>
        <w:t>)</w:t>
      </w:r>
      <w:r w:rsidR="001736D8" w:rsidRPr="00E33E4F">
        <w:rPr>
          <w:szCs w:val="22"/>
        </w:rPr>
        <w:t>.</w:t>
      </w:r>
      <w:r w:rsidR="003A70E7">
        <w:rPr>
          <w:rStyle w:val="EndnoteReference"/>
          <w:szCs w:val="22"/>
        </w:rPr>
        <w:endnoteReference w:id="12"/>
      </w:r>
      <w:r w:rsidR="001736D8" w:rsidRPr="00E33E4F">
        <w:rPr>
          <w:szCs w:val="22"/>
        </w:rPr>
        <w:t xml:space="preserve"> There were a cumulative 211, 620, and 756 more COVID-19 infections per 100,000 in the 1-, 2-, and 3-dose vaccinated</w:t>
      </w:r>
      <w:r w:rsidR="009B7B0C">
        <w:rPr>
          <w:szCs w:val="22"/>
        </w:rPr>
        <w:t>,</w:t>
      </w:r>
      <w:r w:rsidR="001736D8" w:rsidRPr="00E33E4F">
        <w:rPr>
          <w:szCs w:val="22"/>
        </w:rPr>
        <w:t xml:space="preserve"> respectively</w:t>
      </w:r>
      <w:r w:rsidR="009B7B0C">
        <w:rPr>
          <w:szCs w:val="22"/>
        </w:rPr>
        <w:t>,</w:t>
      </w:r>
      <w:r w:rsidR="001736D8" w:rsidRPr="00E33E4F">
        <w:rPr>
          <w:szCs w:val="22"/>
        </w:rPr>
        <w:t xml:space="preserve"> than the unvaccinated. This corresponded with higher rates of COVID-19 infections in the 1-dose (1.4x), 2-dose (2.2x), and 3-dose (2.4x) vaccinated compared with the unvaccinated. The observed proportion of COVID-19 infections was higher in the 1-, 2-, and 3-dose vaccinated and lower in the unvaccinated than expected</w:t>
      </w:r>
      <w:r w:rsidR="009B7B0C">
        <w:rPr>
          <w:szCs w:val="22"/>
        </w:rPr>
        <w:t>. These</w:t>
      </w:r>
      <w:r w:rsidR="00926AA5" w:rsidRPr="00E33E4F">
        <w:rPr>
          <w:szCs w:val="22"/>
        </w:rPr>
        <w:t xml:space="preserve"> differences were highly significant </w:t>
      </w:r>
      <w:r w:rsidR="001736D8" w:rsidRPr="00E33E4F">
        <w:rPr>
          <w:szCs w:val="22"/>
        </w:rPr>
        <w:t xml:space="preserve">(Chi-square test of independence, all p &lt; .00001). This data indicates </w:t>
      </w:r>
      <w:r w:rsidR="00F95681">
        <w:rPr>
          <w:szCs w:val="22"/>
        </w:rPr>
        <w:t xml:space="preserve">that </w:t>
      </w:r>
      <w:r w:rsidR="001736D8" w:rsidRPr="00E33E4F">
        <w:rPr>
          <w:szCs w:val="22"/>
        </w:rPr>
        <w:t>the 1-, 2-, and 3-dose vaccinated groups experienced a</w:t>
      </w:r>
      <w:r w:rsidR="003471AC">
        <w:rPr>
          <w:szCs w:val="22"/>
        </w:rPr>
        <w:t xml:space="preserve">n </w:t>
      </w:r>
      <w:r w:rsidR="001736D8" w:rsidRPr="00E33E4F">
        <w:rPr>
          <w:szCs w:val="22"/>
        </w:rPr>
        <w:t xml:space="preserve">increased risk </w:t>
      </w:r>
      <w:r w:rsidR="001E70FB" w:rsidRPr="00E33E4F">
        <w:rPr>
          <w:szCs w:val="22"/>
        </w:rPr>
        <w:t xml:space="preserve">(i.e., </w:t>
      </w:r>
      <w:r w:rsidR="0070449C" w:rsidRPr="00E33E4F">
        <w:rPr>
          <w:szCs w:val="22"/>
        </w:rPr>
        <w:t xml:space="preserve">cumulative </w:t>
      </w:r>
      <w:r w:rsidR="001E70FB" w:rsidRPr="00E33E4F">
        <w:rPr>
          <w:szCs w:val="22"/>
        </w:rPr>
        <w:t xml:space="preserve">rates and proportions) </w:t>
      </w:r>
      <w:r w:rsidR="001736D8" w:rsidRPr="00E33E4F">
        <w:rPr>
          <w:szCs w:val="22"/>
        </w:rPr>
        <w:t xml:space="preserve">of COVID-19 infection </w:t>
      </w:r>
      <w:r w:rsidR="001E65C8" w:rsidRPr="00E33E4F">
        <w:rPr>
          <w:szCs w:val="22"/>
        </w:rPr>
        <w:t>compared with</w:t>
      </w:r>
      <w:r w:rsidR="001736D8" w:rsidRPr="00E33E4F">
        <w:rPr>
          <w:szCs w:val="22"/>
        </w:rPr>
        <w:t xml:space="preserve"> the unvaccinated.</w:t>
      </w:r>
    </w:p>
    <w:p w14:paraId="3D5BE015" w14:textId="69B257D9" w:rsidR="00E21D27" w:rsidRPr="00584F7C" w:rsidRDefault="00572563" w:rsidP="004C5C79">
      <w:pPr>
        <w:pStyle w:val="Heading3"/>
      </w:pPr>
      <w:bookmarkStart w:id="30" w:name="_Toc512275128"/>
      <w:bookmarkStart w:id="31" w:name="_Toc512360343"/>
      <w:bookmarkStart w:id="32" w:name="_Toc516645027"/>
      <w:bookmarkStart w:id="33" w:name="_Toc111367987"/>
      <w:bookmarkStart w:id="34" w:name="_Toc121035120"/>
      <w:r>
        <w:t>COVID-19</w:t>
      </w:r>
      <w:r w:rsidR="00A9682C">
        <w:t xml:space="preserve"> </w:t>
      </w:r>
      <w:r w:rsidR="00E21D27">
        <w:t xml:space="preserve">Vaccination </w:t>
      </w:r>
      <w:r w:rsidR="00AC7011">
        <w:t xml:space="preserve">Increased </w:t>
      </w:r>
      <w:r w:rsidR="004B6F3E">
        <w:t xml:space="preserve">the </w:t>
      </w:r>
      <w:r w:rsidR="00C16B54">
        <w:t>Risk</w:t>
      </w:r>
      <w:r w:rsidR="004B6F3E">
        <w:t xml:space="preserve"> of </w:t>
      </w:r>
      <w:r>
        <w:t>COVID-19</w:t>
      </w:r>
      <w:r w:rsidR="00A9682C">
        <w:t xml:space="preserve"> </w:t>
      </w:r>
      <w:r w:rsidR="00D77463">
        <w:t>Death</w:t>
      </w:r>
      <w:bookmarkEnd w:id="30"/>
      <w:bookmarkEnd w:id="31"/>
      <w:bookmarkEnd w:id="32"/>
      <w:bookmarkEnd w:id="33"/>
      <w:r w:rsidR="00060D0E">
        <w:t xml:space="preserve"> Over the Unvaccinated</w:t>
      </w:r>
      <w:bookmarkEnd w:id="34"/>
    </w:p>
    <w:p w14:paraId="579296B2" w14:textId="434917D9" w:rsidR="00C24AC9" w:rsidRDefault="004378A9" w:rsidP="00BC799B">
      <w:pPr>
        <w:rPr>
          <w:szCs w:val="22"/>
        </w:rPr>
      </w:pPr>
      <w:r w:rsidRPr="003471AC">
        <w:rPr>
          <w:b/>
          <w:bCs w:val="0"/>
          <w:szCs w:val="22"/>
          <w:u w:val="single"/>
        </w:rPr>
        <w:t>The b</w:t>
      </w:r>
      <w:r w:rsidR="00FC1CBE" w:rsidRPr="003471AC">
        <w:rPr>
          <w:b/>
          <w:bCs w:val="0"/>
          <w:szCs w:val="22"/>
          <w:u w:val="single"/>
        </w:rPr>
        <w:t>ottom line</w:t>
      </w:r>
      <w:r w:rsidR="00FC1CBE" w:rsidRPr="00C07D51">
        <w:rPr>
          <w:szCs w:val="22"/>
        </w:rPr>
        <w:t xml:space="preserve">: </w:t>
      </w:r>
      <w:r w:rsidR="00BC799B" w:rsidRPr="00C07D51">
        <w:rPr>
          <w:szCs w:val="22"/>
        </w:rPr>
        <w:t xml:space="preserve">At the </w:t>
      </w:r>
      <w:r w:rsidR="001A0B8B" w:rsidRPr="00C07D51">
        <w:rPr>
          <w:szCs w:val="22"/>
        </w:rPr>
        <w:t xml:space="preserve">national </w:t>
      </w:r>
      <w:r w:rsidR="00BC799B" w:rsidRPr="00C07D51">
        <w:rPr>
          <w:szCs w:val="22"/>
        </w:rPr>
        <w:t xml:space="preserve">level </w:t>
      </w:r>
      <w:r w:rsidR="001A0B8B" w:rsidRPr="00C07D51">
        <w:rPr>
          <w:szCs w:val="22"/>
        </w:rPr>
        <w:t>during the Omicron wave</w:t>
      </w:r>
      <w:r w:rsidR="00F95681">
        <w:rPr>
          <w:szCs w:val="22"/>
        </w:rPr>
        <w:t>,</w:t>
      </w:r>
      <w:r w:rsidR="001A0B8B" w:rsidRPr="00C07D51">
        <w:rPr>
          <w:szCs w:val="22"/>
        </w:rPr>
        <w:t xml:space="preserve"> </w:t>
      </w:r>
      <w:r w:rsidR="00BC799B" w:rsidRPr="00C07D51">
        <w:rPr>
          <w:szCs w:val="22"/>
        </w:rPr>
        <w:t>the</w:t>
      </w:r>
      <w:r w:rsidR="00C6536F" w:rsidRPr="00C07D51">
        <w:rPr>
          <w:szCs w:val="22"/>
        </w:rPr>
        <w:t xml:space="preserve">re was a significant </w:t>
      </w:r>
      <w:r w:rsidR="00C24AC9">
        <w:rPr>
          <w:szCs w:val="22"/>
        </w:rPr>
        <w:t xml:space="preserve">COVID-19 death </w:t>
      </w:r>
      <w:r w:rsidR="00C24AC9">
        <w:rPr>
          <w:szCs w:val="22"/>
        </w:rPr>
        <w:lastRenderedPageBreak/>
        <w:t xml:space="preserve">prevention </w:t>
      </w:r>
      <w:r w:rsidR="00C6536F" w:rsidRPr="00C07D51">
        <w:rPr>
          <w:szCs w:val="22"/>
        </w:rPr>
        <w:t xml:space="preserve">disbenefit or no benefit to </w:t>
      </w:r>
      <w:r w:rsidR="00C07D51" w:rsidRPr="00C07D51">
        <w:rPr>
          <w:szCs w:val="22"/>
        </w:rPr>
        <w:t xml:space="preserve">COVID-19 </w:t>
      </w:r>
      <w:r w:rsidR="00C6536F" w:rsidRPr="00C07D51">
        <w:rPr>
          <w:szCs w:val="22"/>
        </w:rPr>
        <w:t>vaccination across the various dose and demographic categories</w:t>
      </w:r>
      <w:r w:rsidR="006C3EB5">
        <w:rPr>
          <w:szCs w:val="22"/>
        </w:rPr>
        <w:t xml:space="preserve"> at the national level</w:t>
      </w:r>
      <w:r w:rsidR="00C6536F" w:rsidRPr="00C07D51">
        <w:rPr>
          <w:szCs w:val="22"/>
        </w:rPr>
        <w:t>.</w:t>
      </w:r>
      <w:r w:rsidR="00F97C65" w:rsidRPr="00C07D51">
        <w:rPr>
          <w:szCs w:val="22"/>
        </w:rPr>
        <w:t xml:space="preserve"> </w:t>
      </w:r>
      <w:r w:rsidR="00C24AC9">
        <w:rPr>
          <w:szCs w:val="22"/>
        </w:rPr>
        <w:t xml:space="preserve">Government claims </w:t>
      </w:r>
      <w:r w:rsidR="00AD56ED">
        <w:rPr>
          <w:szCs w:val="22"/>
        </w:rPr>
        <w:t xml:space="preserve">(in general) </w:t>
      </w:r>
      <w:r w:rsidR="00C24AC9">
        <w:rPr>
          <w:szCs w:val="22"/>
        </w:rPr>
        <w:t xml:space="preserve">that COVID-19 vaccination prevented COVID-19 death despite </w:t>
      </w:r>
      <w:r w:rsidR="00460BF9">
        <w:rPr>
          <w:szCs w:val="22"/>
        </w:rPr>
        <w:t>enhanced infection rates</w:t>
      </w:r>
      <w:r w:rsidR="00C24AC9">
        <w:rPr>
          <w:szCs w:val="22"/>
        </w:rPr>
        <w:t xml:space="preserve"> </w:t>
      </w:r>
      <w:r w:rsidR="00AD56ED">
        <w:rPr>
          <w:szCs w:val="22"/>
        </w:rPr>
        <w:t>are</w:t>
      </w:r>
      <w:r w:rsidR="00C24AC9">
        <w:rPr>
          <w:szCs w:val="22"/>
        </w:rPr>
        <w:t xml:space="preserve"> unsupported by the majority of its data</w:t>
      </w:r>
      <w:r w:rsidR="00AD56ED">
        <w:rPr>
          <w:szCs w:val="22"/>
        </w:rPr>
        <w:t>, especially in the elderly</w:t>
      </w:r>
      <w:r w:rsidR="009B7B0C">
        <w:rPr>
          <w:szCs w:val="22"/>
        </w:rPr>
        <w:t>,</w:t>
      </w:r>
      <w:r w:rsidR="00AD56ED">
        <w:rPr>
          <w:szCs w:val="22"/>
        </w:rPr>
        <w:t xml:space="preserve"> who accounted for </w:t>
      </w:r>
      <w:r w:rsidR="009B7B0C">
        <w:rPr>
          <w:szCs w:val="22"/>
        </w:rPr>
        <w:t>most</w:t>
      </w:r>
      <w:r w:rsidR="00AD56ED">
        <w:rPr>
          <w:szCs w:val="22"/>
        </w:rPr>
        <w:t xml:space="preserve"> of the COVID-19 death burden (UKHSA, 90%)</w:t>
      </w:r>
      <w:r w:rsidR="00C24AC9">
        <w:rPr>
          <w:szCs w:val="22"/>
        </w:rPr>
        <w:t>.</w:t>
      </w:r>
    </w:p>
    <w:p w14:paraId="696A8D07" w14:textId="16E8A9FE" w:rsidR="007D090F" w:rsidRPr="000140E6" w:rsidRDefault="007A0970" w:rsidP="00417A9C">
      <w:pPr>
        <w:rPr>
          <w:szCs w:val="22"/>
        </w:rPr>
      </w:pPr>
      <w:r w:rsidRPr="000140E6">
        <w:rPr>
          <w:szCs w:val="22"/>
          <w:u w:val="single"/>
        </w:rPr>
        <w:t>England</w:t>
      </w:r>
      <w:r w:rsidR="00FC1CBE" w:rsidRPr="000140E6">
        <w:rPr>
          <w:szCs w:val="22"/>
        </w:rPr>
        <w:t xml:space="preserve">: </w:t>
      </w:r>
      <w:r w:rsidR="00012387" w:rsidRPr="000140E6">
        <w:rPr>
          <w:szCs w:val="22"/>
        </w:rPr>
        <w:t>The UKHSA COVID</w:t>
      </w:r>
      <w:r w:rsidR="00012387" w:rsidRPr="00D4419A">
        <w:rPr>
          <w:szCs w:val="22"/>
        </w:rPr>
        <w:t xml:space="preserve">-19 </w:t>
      </w:r>
      <w:r w:rsidR="000140E6" w:rsidRPr="00D4419A">
        <w:rPr>
          <w:szCs w:val="22"/>
        </w:rPr>
        <w:t xml:space="preserve">death </w:t>
      </w:r>
      <w:r w:rsidR="00012387" w:rsidRPr="00D4419A">
        <w:rPr>
          <w:szCs w:val="22"/>
        </w:rPr>
        <w:t>data</w:t>
      </w:r>
      <w:r w:rsidR="00012387" w:rsidRPr="000140E6">
        <w:rPr>
          <w:szCs w:val="22"/>
        </w:rPr>
        <w:t xml:space="preserve"> showed there was a zero-to-negligible COVID-19 death</w:t>
      </w:r>
      <w:r w:rsidR="003808A3" w:rsidRPr="000140E6">
        <w:rPr>
          <w:szCs w:val="22"/>
        </w:rPr>
        <w:t xml:space="preserve"> prevention</w:t>
      </w:r>
      <w:r w:rsidR="00012387" w:rsidRPr="000140E6">
        <w:rPr>
          <w:szCs w:val="22"/>
        </w:rPr>
        <w:t xml:space="preserve"> benefit to COVID-19 vaccination in kids, youth, and working-age adults over the unvaccinated (1-, 2- and 3-doses), while the elderly vaccinated accounted for most of the COVID-19 deaths within 28 days of a positive COVID-19 test.</w:t>
      </w:r>
      <w:r w:rsidR="006934F2" w:rsidRPr="00733D71">
        <w:rPr>
          <w:rStyle w:val="EndnoteReference"/>
          <w:szCs w:val="22"/>
        </w:rPr>
        <w:endnoteReference w:id="13"/>
      </w:r>
      <w:r w:rsidR="006934F2" w:rsidRPr="00733D71">
        <w:rPr>
          <w:szCs w:val="22"/>
          <w:vertAlign w:val="superscript"/>
        </w:rPr>
        <w:t>,</w:t>
      </w:r>
      <w:r w:rsidR="006934F2" w:rsidRPr="00733D71">
        <w:rPr>
          <w:rStyle w:val="EndnoteReference"/>
          <w:szCs w:val="22"/>
        </w:rPr>
        <w:endnoteReference w:id="14"/>
      </w:r>
      <w:r w:rsidR="00012387" w:rsidRPr="000140E6">
        <w:rPr>
          <w:szCs w:val="22"/>
        </w:rPr>
        <w:t xml:space="preserve"> </w:t>
      </w:r>
      <w:r w:rsidR="00352F31" w:rsidRPr="000140E6">
        <w:rPr>
          <w:szCs w:val="22"/>
        </w:rPr>
        <w:t>The elderly vaccinated (≥60yrs, 1-3</w:t>
      </w:r>
      <w:r w:rsidR="0070449C" w:rsidRPr="000140E6">
        <w:rPr>
          <w:szCs w:val="22"/>
        </w:rPr>
        <w:t xml:space="preserve"> </w:t>
      </w:r>
      <w:r w:rsidR="00352F31" w:rsidRPr="000140E6">
        <w:rPr>
          <w:szCs w:val="22"/>
        </w:rPr>
        <w:t>doses) accounted for 76.5% and the unvaccinated elderly 13.6% of all COVID-19 deaths, while the elderly accounted for 23% of the England population. There were 48 and 451 more COVID-19 deaths in the 1- and 2-dose vaccinated elderly</w:t>
      </w:r>
      <w:r w:rsidR="009B7B0C">
        <w:rPr>
          <w:szCs w:val="22"/>
        </w:rPr>
        <w:t>,</w:t>
      </w:r>
      <w:r w:rsidR="00352F31" w:rsidRPr="000140E6">
        <w:rPr>
          <w:szCs w:val="22"/>
        </w:rPr>
        <w:t xml:space="preserve"> respectively, and 216 fewer in the 3-dose elderly vaccinated than the unvaccinated elderly</w:t>
      </w:r>
      <w:r w:rsidR="0045446A">
        <w:rPr>
          <w:szCs w:val="22"/>
        </w:rPr>
        <w:t xml:space="preserve">. This corresponded with a 1.2x and 2.7x higher rate and 0.2x </w:t>
      </w:r>
      <w:r w:rsidR="0045446A" w:rsidRPr="00836FB2">
        <w:rPr>
          <w:szCs w:val="22"/>
        </w:rPr>
        <w:t xml:space="preserve">lower rate of </w:t>
      </w:r>
      <w:r w:rsidR="00836FB2" w:rsidRPr="00836FB2">
        <w:rPr>
          <w:szCs w:val="22"/>
        </w:rPr>
        <w:t xml:space="preserve">COVID-19 </w:t>
      </w:r>
      <w:r w:rsidR="0045446A" w:rsidRPr="00836FB2">
        <w:rPr>
          <w:szCs w:val="22"/>
        </w:rPr>
        <w:t>death in the 1-, 2, and 3-dose vaccinated</w:t>
      </w:r>
      <w:r w:rsidR="009B7B0C">
        <w:rPr>
          <w:szCs w:val="22"/>
        </w:rPr>
        <w:t>,</w:t>
      </w:r>
      <w:r w:rsidR="0045446A" w:rsidRPr="00836FB2">
        <w:rPr>
          <w:szCs w:val="22"/>
        </w:rPr>
        <w:t xml:space="preserve"> respectively</w:t>
      </w:r>
      <w:r w:rsidR="009B7B0C">
        <w:rPr>
          <w:szCs w:val="22"/>
        </w:rPr>
        <w:t>,</w:t>
      </w:r>
      <w:r w:rsidR="0045446A" w:rsidRPr="00836FB2">
        <w:rPr>
          <w:szCs w:val="22"/>
        </w:rPr>
        <w:t xml:space="preserve"> compared </w:t>
      </w:r>
      <w:r w:rsidR="00836FB2" w:rsidRPr="00836FB2">
        <w:rPr>
          <w:szCs w:val="22"/>
        </w:rPr>
        <w:t>with</w:t>
      </w:r>
      <w:r w:rsidR="0045446A" w:rsidRPr="00836FB2">
        <w:rPr>
          <w:szCs w:val="22"/>
        </w:rPr>
        <w:t xml:space="preserve"> the unvaccinated</w:t>
      </w:r>
      <w:r w:rsidR="00352F31" w:rsidRPr="00836FB2">
        <w:rPr>
          <w:szCs w:val="22"/>
        </w:rPr>
        <w:t xml:space="preserve">. The unvaccinated </w:t>
      </w:r>
      <w:r w:rsidR="00352F31" w:rsidRPr="000140E6">
        <w:rPr>
          <w:szCs w:val="22"/>
        </w:rPr>
        <w:t xml:space="preserve">COVID-19 death proportions were lower than and vaccinated COVID-19 death proportions higher than expected in the 1- and 2-dose elderly populations, with this </w:t>
      </w:r>
      <w:r w:rsidR="00410534" w:rsidRPr="000140E6">
        <w:rPr>
          <w:szCs w:val="22"/>
        </w:rPr>
        <w:t xml:space="preserve">observed-expected </w:t>
      </w:r>
      <w:r w:rsidR="00352F31" w:rsidRPr="000140E6">
        <w:rPr>
          <w:szCs w:val="22"/>
        </w:rPr>
        <w:t xml:space="preserve">proportion difference </w:t>
      </w:r>
      <w:r w:rsidR="00410534" w:rsidRPr="000140E6">
        <w:rPr>
          <w:szCs w:val="22"/>
        </w:rPr>
        <w:t xml:space="preserve">being </w:t>
      </w:r>
      <w:r w:rsidR="00352F31" w:rsidRPr="000140E6">
        <w:rPr>
          <w:szCs w:val="22"/>
        </w:rPr>
        <w:t xml:space="preserve">reversed (i.e., unvaccinated-higher, vaccinated-lower) </w:t>
      </w:r>
      <w:r w:rsidR="00F96414" w:rsidRPr="000140E6">
        <w:rPr>
          <w:szCs w:val="22"/>
        </w:rPr>
        <w:t>for</w:t>
      </w:r>
      <w:r w:rsidR="00352F31" w:rsidRPr="000140E6">
        <w:rPr>
          <w:szCs w:val="22"/>
        </w:rPr>
        <w:t xml:space="preserve"> the 3-dose </w:t>
      </w:r>
      <w:r w:rsidR="003808A3" w:rsidRPr="000140E6">
        <w:rPr>
          <w:szCs w:val="22"/>
        </w:rPr>
        <w:t xml:space="preserve">vaccinated </w:t>
      </w:r>
      <w:r w:rsidR="00352F31" w:rsidRPr="000140E6">
        <w:rPr>
          <w:szCs w:val="22"/>
        </w:rPr>
        <w:t xml:space="preserve">elderly (Chi-square test of independence, all p &lt; .002). This elderly data indicates 1- and 2-dose vaccination increased the risk of </w:t>
      </w:r>
      <w:r w:rsidR="00341A31" w:rsidRPr="000140E6">
        <w:rPr>
          <w:szCs w:val="22"/>
        </w:rPr>
        <w:t xml:space="preserve">COVID-19 </w:t>
      </w:r>
      <w:r w:rsidR="00352F31" w:rsidRPr="000140E6">
        <w:rPr>
          <w:szCs w:val="22"/>
        </w:rPr>
        <w:t xml:space="preserve">death while a third dose temporarily ameliorated this </w:t>
      </w:r>
      <w:r w:rsidR="00341A31" w:rsidRPr="000140E6">
        <w:rPr>
          <w:szCs w:val="22"/>
        </w:rPr>
        <w:t xml:space="preserve">COVID-19 </w:t>
      </w:r>
      <w:r w:rsidR="00352F31" w:rsidRPr="000140E6">
        <w:rPr>
          <w:szCs w:val="22"/>
        </w:rPr>
        <w:t>death disbenefit</w:t>
      </w:r>
      <w:r w:rsidR="000140E6" w:rsidRPr="000140E6">
        <w:rPr>
          <w:szCs w:val="22"/>
        </w:rPr>
        <w:t xml:space="preserve"> (i.e., until immunity waned)</w:t>
      </w:r>
      <w:r w:rsidR="00352F31" w:rsidRPr="000140E6">
        <w:rPr>
          <w:szCs w:val="22"/>
        </w:rPr>
        <w:t xml:space="preserve">. </w:t>
      </w:r>
    </w:p>
    <w:p w14:paraId="3FF17130" w14:textId="460E308C" w:rsidR="00D54D62" w:rsidRPr="000140E6" w:rsidRDefault="00012387" w:rsidP="00417A9C">
      <w:pPr>
        <w:rPr>
          <w:szCs w:val="22"/>
        </w:rPr>
      </w:pPr>
      <w:r w:rsidRPr="000140E6">
        <w:rPr>
          <w:szCs w:val="22"/>
        </w:rPr>
        <w:t xml:space="preserve">Vaccinated kids and youth accounted for 0.04% and unvaccinated </w:t>
      </w:r>
      <w:r w:rsidR="003808A3" w:rsidRPr="000140E6">
        <w:rPr>
          <w:szCs w:val="22"/>
        </w:rPr>
        <w:t xml:space="preserve">kids and youth </w:t>
      </w:r>
      <w:r w:rsidRPr="000140E6">
        <w:rPr>
          <w:szCs w:val="22"/>
        </w:rPr>
        <w:t>0.11% of all COVID-19 deaths</w:t>
      </w:r>
      <w:r w:rsidR="009B7B0C">
        <w:rPr>
          <w:szCs w:val="22"/>
        </w:rPr>
        <w:t>,</w:t>
      </w:r>
      <w:r w:rsidRPr="000140E6">
        <w:rPr>
          <w:szCs w:val="22"/>
        </w:rPr>
        <w:t xml:space="preserve"> respectively, while accounting for one-fifth of England</w:t>
      </w:r>
      <w:r w:rsidR="00341A31" w:rsidRPr="000140E6">
        <w:rPr>
          <w:szCs w:val="22"/>
        </w:rPr>
        <w:t>’s</w:t>
      </w:r>
      <w:r w:rsidRPr="000140E6">
        <w:rPr>
          <w:szCs w:val="22"/>
        </w:rPr>
        <w:t xml:space="preserve"> population. </w:t>
      </w:r>
      <w:r w:rsidR="003808A3" w:rsidRPr="000140E6">
        <w:rPr>
          <w:szCs w:val="22"/>
        </w:rPr>
        <w:t xml:space="preserve">In other words, the risk of </w:t>
      </w:r>
      <w:r w:rsidR="007F6DEA" w:rsidRPr="000140E6">
        <w:rPr>
          <w:szCs w:val="22"/>
        </w:rPr>
        <w:t xml:space="preserve">COVID-19 </w:t>
      </w:r>
      <w:r w:rsidR="003808A3" w:rsidRPr="000140E6">
        <w:rPr>
          <w:szCs w:val="22"/>
        </w:rPr>
        <w:t xml:space="preserve">death </w:t>
      </w:r>
      <w:r w:rsidR="007F6DEA" w:rsidRPr="000140E6">
        <w:rPr>
          <w:szCs w:val="22"/>
        </w:rPr>
        <w:t xml:space="preserve">in those &lt;18yrs </w:t>
      </w:r>
      <w:r w:rsidR="003808A3" w:rsidRPr="000140E6">
        <w:rPr>
          <w:szCs w:val="22"/>
        </w:rPr>
        <w:t xml:space="preserve">was comparatively very low. </w:t>
      </w:r>
      <w:r w:rsidRPr="000140E6">
        <w:rPr>
          <w:szCs w:val="22"/>
        </w:rPr>
        <w:t>At peak immunity</w:t>
      </w:r>
      <w:r w:rsidR="009B7B0C">
        <w:rPr>
          <w:szCs w:val="22"/>
        </w:rPr>
        <w:t>,</w:t>
      </w:r>
      <w:r w:rsidRPr="000140E6">
        <w:rPr>
          <w:szCs w:val="22"/>
        </w:rPr>
        <w:t xml:space="preserve"> there was one more death per million in the 1- and 2-dose </w:t>
      </w:r>
      <w:r w:rsidR="00341A31" w:rsidRPr="000140E6">
        <w:rPr>
          <w:szCs w:val="22"/>
        </w:rPr>
        <w:t xml:space="preserve">vaccinated </w:t>
      </w:r>
      <w:r w:rsidRPr="000140E6">
        <w:rPr>
          <w:szCs w:val="22"/>
        </w:rPr>
        <w:t xml:space="preserve">kids-youth demographic and two fewer deaths per million in the 3-dose </w:t>
      </w:r>
      <w:r w:rsidR="00341A31" w:rsidRPr="000140E6">
        <w:rPr>
          <w:szCs w:val="22"/>
        </w:rPr>
        <w:t xml:space="preserve">vaccinated </w:t>
      </w:r>
      <w:r w:rsidRPr="000140E6">
        <w:rPr>
          <w:szCs w:val="22"/>
        </w:rPr>
        <w:t xml:space="preserve">group (&lt;18yrs), which corresponded with a 1.4x and 1.5x higher rate of COVID-19 death in the 1- and 2-dose </w:t>
      </w:r>
      <w:r w:rsidR="00341A31" w:rsidRPr="000140E6">
        <w:rPr>
          <w:szCs w:val="22"/>
        </w:rPr>
        <w:t xml:space="preserve">vaccinated </w:t>
      </w:r>
      <w:r w:rsidRPr="000140E6">
        <w:rPr>
          <w:szCs w:val="22"/>
        </w:rPr>
        <w:t xml:space="preserve">kids-youth. The </w:t>
      </w:r>
      <w:r w:rsidR="007F6DEA" w:rsidRPr="000140E6">
        <w:rPr>
          <w:szCs w:val="22"/>
        </w:rPr>
        <w:t>working-age</w:t>
      </w:r>
      <w:r w:rsidRPr="000140E6">
        <w:rPr>
          <w:szCs w:val="22"/>
        </w:rPr>
        <w:t xml:space="preserve"> vaccinated adults (1-3</w:t>
      </w:r>
      <w:r w:rsidR="008F14C2" w:rsidRPr="000140E6">
        <w:rPr>
          <w:szCs w:val="22"/>
        </w:rPr>
        <w:t xml:space="preserve"> </w:t>
      </w:r>
      <w:r w:rsidRPr="000140E6">
        <w:rPr>
          <w:szCs w:val="22"/>
        </w:rPr>
        <w:t xml:space="preserve">doses) accounted for 5.7% and the unvaccinated </w:t>
      </w:r>
      <w:r w:rsidR="007F6DEA" w:rsidRPr="000140E6">
        <w:rPr>
          <w:szCs w:val="22"/>
        </w:rPr>
        <w:t>working-age</w:t>
      </w:r>
      <w:r w:rsidRPr="000140E6">
        <w:rPr>
          <w:szCs w:val="22"/>
        </w:rPr>
        <w:t xml:space="preserve"> adults 4.1% of all COVID-19 deaths (18-59yrs)</w:t>
      </w:r>
      <w:r w:rsidR="00821F0C" w:rsidRPr="000140E6">
        <w:rPr>
          <w:szCs w:val="22"/>
        </w:rPr>
        <w:t xml:space="preserve"> while accounting for 57% of the population</w:t>
      </w:r>
      <w:r w:rsidRPr="000140E6">
        <w:rPr>
          <w:szCs w:val="22"/>
        </w:rPr>
        <w:t>.</w:t>
      </w:r>
      <w:r w:rsidR="00821F0C" w:rsidRPr="000140E6">
        <w:rPr>
          <w:szCs w:val="22"/>
        </w:rPr>
        <w:t xml:space="preserve"> </w:t>
      </w:r>
      <w:r w:rsidRPr="000140E6">
        <w:rPr>
          <w:szCs w:val="22"/>
        </w:rPr>
        <w:t xml:space="preserve">There were 1.8, 1.4, and 7.1 fewer deaths per 100,000 </w:t>
      </w:r>
      <w:r w:rsidR="007A63CC" w:rsidRPr="000140E6">
        <w:rPr>
          <w:szCs w:val="22"/>
        </w:rPr>
        <w:t xml:space="preserve">working-age </w:t>
      </w:r>
      <w:r w:rsidR="007A63CC">
        <w:rPr>
          <w:szCs w:val="22"/>
        </w:rPr>
        <w:t>adults</w:t>
      </w:r>
      <w:r w:rsidR="009B7B0C">
        <w:rPr>
          <w:szCs w:val="22"/>
        </w:rPr>
        <w:t>,</w:t>
      </w:r>
      <w:r w:rsidR="007A63CC">
        <w:rPr>
          <w:szCs w:val="22"/>
        </w:rPr>
        <w:t xml:space="preserve"> </w:t>
      </w:r>
      <w:r w:rsidRPr="000140E6">
        <w:rPr>
          <w:szCs w:val="22"/>
        </w:rPr>
        <w:t>respectively</w:t>
      </w:r>
      <w:r w:rsidR="009B7B0C">
        <w:rPr>
          <w:szCs w:val="22"/>
        </w:rPr>
        <w:t>,</w:t>
      </w:r>
      <w:r w:rsidRPr="000140E6">
        <w:rPr>
          <w:szCs w:val="22"/>
        </w:rPr>
        <w:t xml:space="preserve"> than the unvaccinated, which corresponded with </w:t>
      </w:r>
      <w:r w:rsidR="00F95681">
        <w:rPr>
          <w:szCs w:val="22"/>
        </w:rPr>
        <w:t xml:space="preserve">a 1- and 2-dose COVID-19 death rate of 0.8x and </w:t>
      </w:r>
      <w:r w:rsidRPr="000140E6">
        <w:rPr>
          <w:szCs w:val="22"/>
        </w:rPr>
        <w:t xml:space="preserve">a 3-dose </w:t>
      </w:r>
      <w:r w:rsidR="00E038E7" w:rsidRPr="000140E6">
        <w:rPr>
          <w:szCs w:val="22"/>
        </w:rPr>
        <w:t>COVID-19 death</w:t>
      </w:r>
      <w:r w:rsidRPr="000140E6">
        <w:rPr>
          <w:szCs w:val="22"/>
        </w:rPr>
        <w:t xml:space="preserve"> rate of 0.2x that of the unvaccinated. In working-age adults, the unvaccinated death proportions were higher than and vaccinated death proportions lower than expected for 1-3-doses (Chi-square statistic, all p-values &lt; .02). </w:t>
      </w:r>
      <w:r w:rsidR="00821F0C" w:rsidRPr="000140E6">
        <w:rPr>
          <w:szCs w:val="22"/>
        </w:rPr>
        <w:t>In other words</w:t>
      </w:r>
      <w:r w:rsidR="009B7B0C">
        <w:rPr>
          <w:szCs w:val="22"/>
        </w:rPr>
        <w:t>, at the same time</w:t>
      </w:r>
      <w:r w:rsidR="00F95681">
        <w:rPr>
          <w:szCs w:val="22"/>
        </w:rPr>
        <w:t>,</w:t>
      </w:r>
      <w:r w:rsidR="00821F0C" w:rsidRPr="000140E6">
        <w:rPr>
          <w:szCs w:val="22"/>
        </w:rPr>
        <w:t xml:space="preserve"> vaccination enhanced the rates and risk of COVID-19 infection in </w:t>
      </w:r>
      <w:r w:rsidR="007F6DEA" w:rsidRPr="000140E6">
        <w:rPr>
          <w:szCs w:val="22"/>
        </w:rPr>
        <w:t>working-age</w:t>
      </w:r>
      <w:r w:rsidR="00821F0C" w:rsidRPr="000140E6">
        <w:rPr>
          <w:szCs w:val="22"/>
        </w:rPr>
        <w:t xml:space="preserve"> adults it reduced the rates of COVID-19 death (for now) </w:t>
      </w:r>
      <w:r w:rsidR="00341A31" w:rsidRPr="000140E6">
        <w:rPr>
          <w:szCs w:val="22"/>
        </w:rPr>
        <w:t xml:space="preserve">relative to the unvaccinated </w:t>
      </w:r>
      <w:r w:rsidR="00821F0C" w:rsidRPr="000140E6">
        <w:rPr>
          <w:szCs w:val="22"/>
        </w:rPr>
        <w:t>within 28 days of a positive COVID-19 test.</w:t>
      </w:r>
      <w:r w:rsidRPr="000140E6">
        <w:rPr>
          <w:szCs w:val="22"/>
        </w:rPr>
        <w:t xml:space="preserve">           </w:t>
      </w:r>
    </w:p>
    <w:p w14:paraId="5AE74E19" w14:textId="26FE0537" w:rsidR="0052339B" w:rsidRPr="000140E6" w:rsidRDefault="007A0970" w:rsidP="0052339B">
      <w:pPr>
        <w:rPr>
          <w:szCs w:val="22"/>
        </w:rPr>
      </w:pPr>
      <w:r w:rsidRPr="000140E6">
        <w:rPr>
          <w:szCs w:val="22"/>
          <w:u w:val="single"/>
        </w:rPr>
        <w:t>Scotland</w:t>
      </w:r>
      <w:r w:rsidRPr="000140E6">
        <w:rPr>
          <w:szCs w:val="22"/>
        </w:rPr>
        <w:t xml:space="preserve">: </w:t>
      </w:r>
      <w:r w:rsidR="004006FF" w:rsidRPr="000140E6">
        <w:rPr>
          <w:szCs w:val="22"/>
        </w:rPr>
        <w:t xml:space="preserve">The Public Health Scotland </w:t>
      </w:r>
      <w:r w:rsidR="00AC22C7" w:rsidRPr="000663F8">
        <w:rPr>
          <w:rFonts w:cs="Times New Roman"/>
        </w:rPr>
        <w:t>(PHS,</w:t>
      </w:r>
      <w:r w:rsidR="00AC22C7">
        <w:rPr>
          <w:rStyle w:val="EndnoteReference"/>
          <w:rFonts w:cs="Times New Roman"/>
        </w:rPr>
        <w:endnoteReference w:id="15"/>
      </w:r>
      <w:r w:rsidR="00AC22C7">
        <w:rPr>
          <w:rFonts w:cs="Times New Roman"/>
        </w:rPr>
        <w:t xml:space="preserve"> Mid-2021 population estimates.</w:t>
      </w:r>
      <w:r w:rsidR="00AC22C7">
        <w:rPr>
          <w:rStyle w:val="EndnoteReference"/>
          <w:rFonts w:cs="Times New Roman"/>
        </w:rPr>
        <w:endnoteReference w:id="16"/>
      </w:r>
      <w:r w:rsidR="00AC22C7" w:rsidRPr="000663F8">
        <w:rPr>
          <w:rFonts w:cs="Times New Roman"/>
        </w:rPr>
        <w:t xml:space="preserve">) </w:t>
      </w:r>
      <w:r w:rsidR="004006FF" w:rsidRPr="000140E6">
        <w:rPr>
          <w:szCs w:val="22"/>
        </w:rPr>
        <w:t xml:space="preserve">data shows the vaccinated </w:t>
      </w:r>
      <w:r w:rsidR="004006FF" w:rsidRPr="000140E6">
        <w:rPr>
          <w:szCs w:val="22"/>
        </w:rPr>
        <w:lastRenderedPageBreak/>
        <w:t>population (1-3 doses) accounted for 83.9% of all COVID-19 deaths while accounting for 78.5% of the total population. There were 11 and 3 more COVID-19 deaths per 100,000 in the 2- and ≥3-dose vaccinated</w:t>
      </w:r>
      <w:r w:rsidR="009B7B0C">
        <w:rPr>
          <w:szCs w:val="22"/>
        </w:rPr>
        <w:t>,</w:t>
      </w:r>
      <w:r w:rsidR="004006FF" w:rsidRPr="000140E6">
        <w:rPr>
          <w:szCs w:val="22"/>
        </w:rPr>
        <w:t xml:space="preserve"> respectively</w:t>
      </w:r>
      <w:r w:rsidR="009B7B0C">
        <w:rPr>
          <w:szCs w:val="22"/>
        </w:rPr>
        <w:t>,</w:t>
      </w:r>
      <w:r w:rsidR="004006FF" w:rsidRPr="000140E6">
        <w:rPr>
          <w:szCs w:val="22"/>
        </w:rPr>
        <w:t xml:space="preserve"> compared with the unvaccinated</w:t>
      </w:r>
      <w:r w:rsidR="00E038E7" w:rsidRPr="000140E6">
        <w:rPr>
          <w:szCs w:val="22"/>
        </w:rPr>
        <w:t xml:space="preserve">. This </w:t>
      </w:r>
      <w:r w:rsidR="004006FF" w:rsidRPr="000140E6">
        <w:rPr>
          <w:szCs w:val="22"/>
        </w:rPr>
        <w:t>corresponded with higher rates of COVID-19 deaths in the 2-dose (1.9x) and 3-dose (1.2x) vaccinated. The observed proportion of COVID-19 deaths was higher in the 2- and ≥3-dose vaccinated and lower in the unvaccinated than expected</w:t>
      </w:r>
      <w:r w:rsidR="009B7B0C">
        <w:rPr>
          <w:szCs w:val="22"/>
        </w:rPr>
        <w:t>,</w:t>
      </w:r>
      <w:r w:rsidR="004006FF" w:rsidRPr="000140E6">
        <w:rPr>
          <w:szCs w:val="22"/>
        </w:rPr>
        <w:t xml:space="preserve"> and this difference was significant at the p &lt; .05 level for both 2- and ≥3-dose vaccinated groups (Chi-square test of independence, 2-dose p = &lt; .00001, ≥3-dose p = 0.047). This data indicates a significant disbenefit to vaccination on COVID-19 death rates and proportions for the fully vaccinated and those </w:t>
      </w:r>
      <w:r w:rsidR="00116BAB" w:rsidRPr="000140E6">
        <w:rPr>
          <w:szCs w:val="22"/>
        </w:rPr>
        <w:t>receiving</w:t>
      </w:r>
      <w:r w:rsidR="004006FF" w:rsidRPr="000140E6">
        <w:rPr>
          <w:szCs w:val="22"/>
        </w:rPr>
        <w:t xml:space="preserve"> ≥</w:t>
      </w:r>
      <w:r w:rsidR="009B7B0C">
        <w:rPr>
          <w:szCs w:val="22"/>
        </w:rPr>
        <w:t>3-doses</w:t>
      </w:r>
      <w:r w:rsidR="004006FF" w:rsidRPr="000140E6">
        <w:rPr>
          <w:szCs w:val="22"/>
        </w:rPr>
        <w:t xml:space="preserve"> compared with the unvaccinated.</w:t>
      </w:r>
    </w:p>
    <w:p w14:paraId="76A61A5A" w14:textId="7A1AC8BF" w:rsidR="00DD5E7D" w:rsidRPr="000274CD" w:rsidRDefault="00842AD1" w:rsidP="0052339B">
      <w:pPr>
        <w:rPr>
          <w:szCs w:val="22"/>
        </w:rPr>
      </w:pPr>
      <w:r w:rsidRPr="000274CD">
        <w:rPr>
          <w:szCs w:val="22"/>
          <w:u w:val="single"/>
        </w:rPr>
        <w:t>Canada</w:t>
      </w:r>
      <w:r w:rsidRPr="000274CD">
        <w:rPr>
          <w:szCs w:val="22"/>
        </w:rPr>
        <w:t xml:space="preserve">: </w:t>
      </w:r>
      <w:r w:rsidR="00EA6ED5" w:rsidRPr="000274CD">
        <w:rPr>
          <w:szCs w:val="22"/>
        </w:rPr>
        <w:t xml:space="preserve">The Public Health Agency of Canada </w:t>
      </w:r>
      <w:r w:rsidR="00CF6086">
        <w:rPr>
          <w:szCs w:val="22"/>
        </w:rPr>
        <w:t xml:space="preserve">COVID-19 death </w:t>
      </w:r>
      <w:r w:rsidR="00EA6ED5" w:rsidRPr="000274CD">
        <w:rPr>
          <w:szCs w:val="22"/>
        </w:rPr>
        <w:t xml:space="preserve">data (PHAC, </w:t>
      </w:r>
      <w:r w:rsidR="00C06371" w:rsidRPr="000274CD">
        <w:rPr>
          <w:szCs w:val="22"/>
        </w:rPr>
        <w:t>see infection data citation, Table 2</w:t>
      </w:r>
      <w:r w:rsidR="00DC34EF">
        <w:rPr>
          <w:szCs w:val="22"/>
        </w:rPr>
        <w:t xml:space="preserve">, and </w:t>
      </w:r>
      <w:r w:rsidR="00DC34EF" w:rsidRPr="003A70E7">
        <w:rPr>
          <w:szCs w:val="22"/>
        </w:rPr>
        <w:t>Statistics Canada</w:t>
      </w:r>
      <w:r w:rsidR="00DC34EF">
        <w:rPr>
          <w:rStyle w:val="EndnoteReference"/>
          <w:szCs w:val="22"/>
        </w:rPr>
        <w:endnoteReference w:id="17"/>
      </w:r>
      <w:r w:rsidR="00DC34EF">
        <w:rPr>
          <w:szCs w:val="22"/>
        </w:rPr>
        <w:t>)</w:t>
      </w:r>
      <w:r w:rsidR="00EA6ED5" w:rsidRPr="000274CD">
        <w:rPr>
          <w:szCs w:val="22"/>
        </w:rPr>
        <w:t xml:space="preserve"> shows the COVID-19 vaccinated population (1-3 doses) accounted for 71.5% of cumulative COVID-19 deaths while accounting for 71.1% of the population. Vaccination provided a </w:t>
      </w:r>
      <w:r w:rsidR="00EA6ED5" w:rsidRPr="003471AC">
        <w:rPr>
          <w:i/>
          <w:iCs/>
          <w:szCs w:val="22"/>
        </w:rPr>
        <w:t>marginal</w:t>
      </w:r>
      <w:r w:rsidR="00EA6ED5" w:rsidRPr="000274CD">
        <w:rPr>
          <w:szCs w:val="22"/>
        </w:rPr>
        <w:t xml:space="preserve"> COVID-19 death prevention benefit (1-</w:t>
      </w:r>
      <w:r w:rsidR="00E038E7" w:rsidRPr="000274CD">
        <w:rPr>
          <w:szCs w:val="22"/>
        </w:rPr>
        <w:t xml:space="preserve"> and</w:t>
      </w:r>
      <w:r w:rsidR="00EA6ED5" w:rsidRPr="000274CD">
        <w:rPr>
          <w:szCs w:val="22"/>
        </w:rPr>
        <w:t xml:space="preserve"> 2-doses) and </w:t>
      </w:r>
      <w:r w:rsidR="00E038E7" w:rsidRPr="000274CD">
        <w:rPr>
          <w:szCs w:val="22"/>
        </w:rPr>
        <w:t xml:space="preserve">a </w:t>
      </w:r>
      <w:r w:rsidR="00EA6ED5" w:rsidRPr="000274CD">
        <w:rPr>
          <w:szCs w:val="22"/>
        </w:rPr>
        <w:t xml:space="preserve">disbenefit (3-doses). There </w:t>
      </w:r>
      <w:r w:rsidR="0058704E" w:rsidRPr="000274CD">
        <w:rPr>
          <w:szCs w:val="22"/>
        </w:rPr>
        <w:t>were</w:t>
      </w:r>
      <w:r w:rsidR="00EA6ED5" w:rsidRPr="000274CD">
        <w:rPr>
          <w:szCs w:val="22"/>
        </w:rPr>
        <w:t xml:space="preserve"> 1.2 more COVID-19 deaths per 100,000 with the 3-dose vaccinated than the unvaccinated, and 2.2 and 0.5 fewer COVID-19 deaths per 100,000 with the 1- and 2-dose vaccinated</w:t>
      </w:r>
      <w:r w:rsidR="009B7B0C">
        <w:rPr>
          <w:szCs w:val="22"/>
        </w:rPr>
        <w:t>,</w:t>
      </w:r>
      <w:r w:rsidR="00EA6ED5" w:rsidRPr="000274CD">
        <w:rPr>
          <w:szCs w:val="22"/>
        </w:rPr>
        <w:t xml:space="preserve"> respectively. This corresponded with a higher rate of COVID-19 deaths in the 3-dose vaccinated group (1.1x) and lower rates of COVID-19 death in the 1-dose (0.81x) and 2-dose vaccinated (0.96x) compared with the unvaccinated. The observed proportion of COVID-19 deaths was higher in the 3-dose vaccinated and lower in the unvaccinated than expected, </w:t>
      </w:r>
      <w:r w:rsidR="00381E63" w:rsidRPr="000274CD">
        <w:rPr>
          <w:rFonts w:cs="Times New Roman"/>
        </w:rPr>
        <w:t>with this observed-expected proportion difference being reversed (i.e., vaccinated-lower, unvaccinated-higher) with the 1- and 2-dose vaccinated</w:t>
      </w:r>
      <w:r w:rsidR="000274CD" w:rsidRPr="000274CD">
        <w:rPr>
          <w:rFonts w:cs="Times New Roman"/>
        </w:rPr>
        <w:t>.</w:t>
      </w:r>
      <w:r w:rsidR="000274CD" w:rsidRPr="000274CD">
        <w:rPr>
          <w:szCs w:val="22"/>
        </w:rPr>
        <w:t xml:space="preserve"> T</w:t>
      </w:r>
      <w:r w:rsidR="00EA6ED5" w:rsidRPr="000274CD">
        <w:rPr>
          <w:szCs w:val="22"/>
        </w:rPr>
        <w:t>hese differences were significant for the 3-</w:t>
      </w:r>
      <w:r w:rsidR="000274CD" w:rsidRPr="000274CD">
        <w:rPr>
          <w:szCs w:val="22"/>
        </w:rPr>
        <w:t xml:space="preserve"> and 1-</w:t>
      </w:r>
      <w:r w:rsidR="00EA6ED5" w:rsidRPr="000274CD">
        <w:rPr>
          <w:szCs w:val="22"/>
        </w:rPr>
        <w:t>dose group</w:t>
      </w:r>
      <w:r w:rsidR="000274CD" w:rsidRPr="000274CD">
        <w:rPr>
          <w:szCs w:val="22"/>
        </w:rPr>
        <w:t>s</w:t>
      </w:r>
      <w:r w:rsidR="00EA6ED5" w:rsidRPr="000274CD">
        <w:rPr>
          <w:szCs w:val="22"/>
        </w:rPr>
        <w:t xml:space="preserve"> (Chi-square test of independence, </w:t>
      </w:r>
      <w:r w:rsidR="000274CD" w:rsidRPr="000274CD">
        <w:rPr>
          <w:szCs w:val="22"/>
        </w:rPr>
        <w:t>1</w:t>
      </w:r>
      <w:r w:rsidR="00EA6ED5" w:rsidRPr="000274CD">
        <w:rPr>
          <w:szCs w:val="22"/>
        </w:rPr>
        <w:t>-dose p = .</w:t>
      </w:r>
      <w:r w:rsidR="000274CD" w:rsidRPr="000274CD">
        <w:rPr>
          <w:szCs w:val="22"/>
        </w:rPr>
        <w:t>04</w:t>
      </w:r>
      <w:r w:rsidR="00EA6ED5" w:rsidRPr="000274CD">
        <w:rPr>
          <w:szCs w:val="22"/>
        </w:rPr>
        <w:t xml:space="preserve">, </w:t>
      </w:r>
      <w:r w:rsidR="000274CD" w:rsidRPr="000274CD">
        <w:rPr>
          <w:szCs w:val="22"/>
        </w:rPr>
        <w:t xml:space="preserve">2-dose p = .28, </w:t>
      </w:r>
      <w:r w:rsidR="00EA6ED5" w:rsidRPr="000274CD">
        <w:rPr>
          <w:szCs w:val="22"/>
        </w:rPr>
        <w:t>3-dose p = .01). This data indicates the 3-dose vaccinated experienced a significantly increased risk of COVID-19 death compared with the unvaccinated</w:t>
      </w:r>
      <w:r w:rsidR="00CF4BF4" w:rsidRPr="000274CD">
        <w:rPr>
          <w:szCs w:val="22"/>
        </w:rPr>
        <w:t xml:space="preserve"> (i.e., rates and proportions)</w:t>
      </w:r>
      <w:r w:rsidR="00EA6ED5" w:rsidRPr="000274CD">
        <w:rPr>
          <w:szCs w:val="22"/>
        </w:rPr>
        <w:t>.</w:t>
      </w:r>
      <w:r w:rsidR="0085673A" w:rsidRPr="000274CD">
        <w:rPr>
          <w:szCs w:val="22"/>
        </w:rPr>
        <w:t xml:space="preserve"> </w:t>
      </w:r>
    </w:p>
    <w:p w14:paraId="05D976EB" w14:textId="4A692408" w:rsidR="00DE3D54" w:rsidRPr="00584F7C" w:rsidRDefault="00572563" w:rsidP="004C5C79">
      <w:pPr>
        <w:pStyle w:val="Heading3"/>
      </w:pPr>
      <w:bookmarkStart w:id="35" w:name="_Toc512275129"/>
      <w:bookmarkStart w:id="36" w:name="_Toc512360344"/>
      <w:bookmarkStart w:id="37" w:name="_Toc516645028"/>
      <w:bookmarkStart w:id="38" w:name="_Toc111367988"/>
      <w:bookmarkStart w:id="39" w:name="_Toc121035121"/>
      <w:r>
        <w:t>COVID-19</w:t>
      </w:r>
      <w:r w:rsidR="00C16B54">
        <w:t xml:space="preserve"> </w:t>
      </w:r>
      <w:r w:rsidR="00DE3D54">
        <w:t xml:space="preserve">Vaccination Increased the Risk of </w:t>
      </w:r>
      <w:r>
        <w:t>COVID-19</w:t>
      </w:r>
      <w:r w:rsidR="00DE3D54">
        <w:t xml:space="preserve"> Hospitalization</w:t>
      </w:r>
      <w:bookmarkEnd w:id="35"/>
      <w:bookmarkEnd w:id="36"/>
      <w:bookmarkEnd w:id="37"/>
      <w:bookmarkEnd w:id="38"/>
      <w:r w:rsidR="00060D0E">
        <w:t xml:space="preserve"> Over the Unvaccinated</w:t>
      </w:r>
      <w:bookmarkEnd w:id="39"/>
    </w:p>
    <w:p w14:paraId="25AEE59D" w14:textId="7094494F" w:rsidR="00AD56ED" w:rsidRDefault="00573FEE" w:rsidP="00AD56ED">
      <w:pPr>
        <w:rPr>
          <w:szCs w:val="22"/>
        </w:rPr>
      </w:pPr>
      <w:r w:rsidRPr="003471AC">
        <w:rPr>
          <w:b/>
          <w:bCs w:val="0"/>
          <w:szCs w:val="22"/>
          <w:u w:val="single"/>
        </w:rPr>
        <w:t>The bottom line</w:t>
      </w:r>
      <w:r w:rsidRPr="007847A0">
        <w:rPr>
          <w:szCs w:val="22"/>
        </w:rPr>
        <w:t xml:space="preserve">: </w:t>
      </w:r>
      <w:r w:rsidR="00AD56ED" w:rsidRPr="00C07D51">
        <w:rPr>
          <w:szCs w:val="22"/>
        </w:rPr>
        <w:t>At the national level during the Omicron wave</w:t>
      </w:r>
      <w:r w:rsidR="009B7B0C">
        <w:rPr>
          <w:szCs w:val="22"/>
        </w:rPr>
        <w:t>,</w:t>
      </w:r>
      <w:r w:rsidR="00AD56ED" w:rsidRPr="00C07D51">
        <w:rPr>
          <w:szCs w:val="22"/>
        </w:rPr>
        <w:t xml:space="preserve"> there was a significant </w:t>
      </w:r>
      <w:r w:rsidR="00AD56ED">
        <w:rPr>
          <w:szCs w:val="22"/>
        </w:rPr>
        <w:t xml:space="preserve">COVID-19 hospitalization prevention </w:t>
      </w:r>
      <w:r w:rsidR="00AD56ED" w:rsidRPr="00C07D51">
        <w:rPr>
          <w:szCs w:val="22"/>
        </w:rPr>
        <w:t xml:space="preserve">disbenefit or no benefit to COVID-19 vaccination across the various dose and demographic categories. </w:t>
      </w:r>
      <w:r w:rsidR="00AD56ED">
        <w:rPr>
          <w:szCs w:val="22"/>
        </w:rPr>
        <w:t>Government claims (in general) that COVID-19 vaccination prevented COVID-19 hospitalization despite enhanced infection rates are unsupported by the majority of its data, especially in the elderly</w:t>
      </w:r>
      <w:r w:rsidR="009B7B0C">
        <w:rPr>
          <w:szCs w:val="22"/>
        </w:rPr>
        <w:t>,</w:t>
      </w:r>
      <w:r w:rsidR="00AD56ED">
        <w:rPr>
          <w:szCs w:val="22"/>
        </w:rPr>
        <w:t xml:space="preserve"> who accounted for the majority of the COVID-19 hospitalization</w:t>
      </w:r>
      <w:r w:rsidR="000336E2">
        <w:rPr>
          <w:szCs w:val="22"/>
        </w:rPr>
        <w:t xml:space="preserve">s </w:t>
      </w:r>
      <w:r w:rsidR="00AD56ED">
        <w:rPr>
          <w:szCs w:val="22"/>
        </w:rPr>
        <w:t>(UKHSA, 54%).</w:t>
      </w:r>
    </w:p>
    <w:p w14:paraId="5F3B3AAA" w14:textId="77777777" w:rsidR="00F223FF" w:rsidRPr="00FA3326" w:rsidRDefault="00F223FF" w:rsidP="00F223FF">
      <w:pPr>
        <w:rPr>
          <w:szCs w:val="22"/>
        </w:rPr>
      </w:pPr>
      <w:r w:rsidRPr="00FA3326">
        <w:rPr>
          <w:szCs w:val="22"/>
          <w:u w:val="single"/>
        </w:rPr>
        <w:t>New Zealand</w:t>
      </w:r>
      <w:r w:rsidRPr="00FA3326">
        <w:rPr>
          <w:szCs w:val="22"/>
        </w:rPr>
        <w:t xml:space="preserve">: The New Zealand Ministry of Health data (MoH, see COVID-19 infection data citation) shows the COVID-19 vaccinated population (1-3 doses) accounted for 89.4% of cumulative COVID-19 hospitalizations while accounting for 93.4% of the ≥12yr population (NZ Stats: 4,345,230). There were a </w:t>
      </w:r>
      <w:r w:rsidRPr="00FA3326">
        <w:rPr>
          <w:szCs w:val="22"/>
        </w:rPr>
        <w:lastRenderedPageBreak/>
        <w:t>cumulative 66 more COVID-19 hospitalizations per 100,000 in the 1-dose vaccinated, and 105 and 239 fewer hospitalizations per 100,000 for the 2- and 3-dose vaccinated</w:t>
      </w:r>
      <w:r>
        <w:rPr>
          <w:szCs w:val="22"/>
        </w:rPr>
        <w:t>,</w:t>
      </w:r>
      <w:r w:rsidRPr="00FA3326">
        <w:rPr>
          <w:szCs w:val="22"/>
        </w:rPr>
        <w:t xml:space="preserve"> respectively</w:t>
      </w:r>
      <w:r>
        <w:rPr>
          <w:szCs w:val="22"/>
        </w:rPr>
        <w:t>,</w:t>
      </w:r>
      <w:r w:rsidRPr="00FA3326">
        <w:rPr>
          <w:szCs w:val="22"/>
        </w:rPr>
        <w:t xml:space="preserve"> than the unvaccinated. This corresponded with a higher rate of COVID-19 hospitalization in the 1-dose (1.1x) and a lower rate in the 2-dose (0.8x) and 3-dose (0.5x) vaccinated compared with the unvaccinated. The observed proportion of COVID-19 hospitalizations was higher in the 1-dose vaccinated and lower in the unvaccinated than expected, with this proportion difference</w:t>
      </w:r>
      <w:r>
        <w:rPr>
          <w:szCs w:val="22"/>
        </w:rPr>
        <w:t>,</w:t>
      </w:r>
      <w:r w:rsidRPr="00FA3326">
        <w:rPr>
          <w:szCs w:val="22"/>
        </w:rPr>
        <w:t xml:space="preserve"> reversed (i.e., vaccinated-lower, unvaccinated-higher) for the 2- and 3-dose vaccinated (Chi-square test of independence, 1-dose p = .047, 2- and 3-dose p &lt; .00001).          </w:t>
      </w:r>
    </w:p>
    <w:p w14:paraId="7E467B06" w14:textId="77777777" w:rsidR="00F223FF" w:rsidRPr="00FA3326" w:rsidRDefault="00F223FF" w:rsidP="00F223FF">
      <w:pPr>
        <w:rPr>
          <w:szCs w:val="22"/>
        </w:rPr>
      </w:pPr>
      <w:r w:rsidRPr="003471AC">
        <w:rPr>
          <w:b/>
          <w:bCs w:val="0"/>
          <w:szCs w:val="22"/>
        </w:rPr>
        <w:t>However</w:t>
      </w:r>
      <w:r w:rsidRPr="00FA3326">
        <w:rPr>
          <w:szCs w:val="22"/>
        </w:rPr>
        <w:t xml:space="preserve">, in the second half of this period (03/05/22 to 04/07/2022), there were a cumulative 27 and 10 more hospitalizations per 100,000 in the 1- and 2-dose vaccinated, which corresponded with a higher rate of COVID-19 hospitalization in the 1-dose (1.2x) and 2-dose (1.1x) vaccinated compared with the unvaccinated. The observed proportion of COVID-19 hospitalizations was higher in the 1- and 2-dose dose vaccinated and lower in the unvaccinated than expected, but these differences were not statistically significant (Chi-square test of independence, 1-dose p = .18, 2-dose p = .23). This data </w:t>
      </w:r>
      <w:r>
        <w:rPr>
          <w:szCs w:val="22"/>
        </w:rPr>
        <w:t>potentially</w:t>
      </w:r>
      <w:r w:rsidRPr="00FA3326">
        <w:rPr>
          <w:szCs w:val="22"/>
        </w:rPr>
        <w:t xml:space="preserve"> indicates that during the early phase of the Omicron wave, before vaccinee immunity had waned, there was a modest COVID-19 hospitalization prevention benefit for the 2- and 3-dose vaccinated, </w:t>
      </w:r>
      <w:r>
        <w:rPr>
          <w:szCs w:val="22"/>
        </w:rPr>
        <w:t>however, there was an</w:t>
      </w:r>
      <w:r w:rsidRPr="00FA3326">
        <w:rPr>
          <w:szCs w:val="22"/>
        </w:rPr>
        <w:t xml:space="preserve"> increased risk of hospitalization with the 1-dose vaccinated. However, as the Omicron wave progressed and immunity waned</w:t>
      </w:r>
      <w:r>
        <w:rPr>
          <w:szCs w:val="22"/>
        </w:rPr>
        <w:t>,</w:t>
      </w:r>
      <w:r w:rsidRPr="00FA3326">
        <w:rPr>
          <w:szCs w:val="22"/>
        </w:rPr>
        <w:t xml:space="preserve"> there was no COVID-19 hospitalization prevention benefit at best, and at worst a disbenefit, for the 1- and 2-dose vaccinated compared with the unvaccinated, while the relative risk increased for the 3-dose vaccinated from 0.5x to 0.8x.</w:t>
      </w:r>
    </w:p>
    <w:p w14:paraId="249C4048" w14:textId="4799EBE5" w:rsidR="003F307D" w:rsidRPr="000467A6" w:rsidRDefault="00A45A3F" w:rsidP="003F307D">
      <w:pPr>
        <w:rPr>
          <w:szCs w:val="22"/>
        </w:rPr>
      </w:pPr>
      <w:r w:rsidRPr="000467A6">
        <w:rPr>
          <w:szCs w:val="22"/>
          <w:u w:val="single"/>
        </w:rPr>
        <w:t>England</w:t>
      </w:r>
      <w:r w:rsidR="00FC1CBE" w:rsidRPr="000467A6">
        <w:rPr>
          <w:szCs w:val="22"/>
        </w:rPr>
        <w:t xml:space="preserve">: </w:t>
      </w:r>
      <w:r w:rsidR="003F307D" w:rsidRPr="000467A6">
        <w:rPr>
          <w:szCs w:val="22"/>
        </w:rPr>
        <w:t xml:space="preserve">The UKHSA COVID-19 data showed </w:t>
      </w:r>
      <w:r w:rsidR="006934F2" w:rsidRPr="000467A6">
        <w:rPr>
          <w:szCs w:val="22"/>
        </w:rPr>
        <w:t xml:space="preserve">a modest-large COVID-19 hospitalization disbenefit in the 1- and 2-dose elderly vaccinated and </w:t>
      </w:r>
      <w:r w:rsidR="003F307D" w:rsidRPr="000467A6">
        <w:rPr>
          <w:szCs w:val="22"/>
        </w:rPr>
        <w:t>a negligible-modest COVID-19 hospitalization prevention benefit to COVID-19 vaccination in kids, youth, and working-age adults over the unvaccinated (1-, 2- and 3-doses)</w:t>
      </w:r>
      <w:r w:rsidR="006934F2" w:rsidRPr="000467A6">
        <w:rPr>
          <w:szCs w:val="22"/>
        </w:rPr>
        <w:t>.</w:t>
      </w:r>
      <w:r w:rsidR="006934F2" w:rsidRPr="000467A6">
        <w:rPr>
          <w:rStyle w:val="EndnoteReference"/>
          <w:szCs w:val="22"/>
        </w:rPr>
        <w:endnoteReference w:id="18"/>
      </w:r>
      <w:r w:rsidR="006934F2" w:rsidRPr="000467A6">
        <w:rPr>
          <w:szCs w:val="22"/>
          <w:vertAlign w:val="superscript"/>
        </w:rPr>
        <w:t>,</w:t>
      </w:r>
      <w:r w:rsidR="006934F2" w:rsidRPr="000467A6">
        <w:rPr>
          <w:rStyle w:val="EndnoteReference"/>
          <w:szCs w:val="22"/>
        </w:rPr>
        <w:endnoteReference w:id="19"/>
      </w:r>
      <w:r w:rsidR="006934F2" w:rsidRPr="000467A6">
        <w:rPr>
          <w:szCs w:val="22"/>
        </w:rPr>
        <w:t xml:space="preserve"> </w:t>
      </w:r>
      <w:r w:rsidR="003F307D" w:rsidRPr="000467A6">
        <w:rPr>
          <w:szCs w:val="22"/>
        </w:rPr>
        <w:t>The elderly vaccinated (≥60yrs, 1-3</w:t>
      </w:r>
      <w:r w:rsidR="00DB1477" w:rsidRPr="000467A6">
        <w:rPr>
          <w:szCs w:val="22"/>
        </w:rPr>
        <w:t xml:space="preserve"> </w:t>
      </w:r>
      <w:r w:rsidR="003F307D" w:rsidRPr="000467A6">
        <w:rPr>
          <w:szCs w:val="22"/>
        </w:rPr>
        <w:t>doses) accounted for 45.7%</w:t>
      </w:r>
      <w:r w:rsidR="00F95681">
        <w:rPr>
          <w:szCs w:val="22"/>
        </w:rPr>
        <w:t>, the</w:t>
      </w:r>
      <w:r w:rsidR="003F307D" w:rsidRPr="000467A6">
        <w:rPr>
          <w:szCs w:val="22"/>
        </w:rPr>
        <w:t xml:space="preserve"> unvaccinated elderly 8.1% of all COVID-19 hospitalizations, while the elderly accounted for 23% of England</w:t>
      </w:r>
      <w:r w:rsidR="007F6DEA" w:rsidRPr="000467A6">
        <w:rPr>
          <w:szCs w:val="22"/>
        </w:rPr>
        <w:t>’s</w:t>
      </w:r>
      <w:r w:rsidR="003F307D" w:rsidRPr="000467A6">
        <w:rPr>
          <w:szCs w:val="22"/>
        </w:rPr>
        <w:t xml:space="preserve"> population. There were 28 and 532 more COVID-19 hospitalizations in the 1- and 2-dose vaccinated elderly</w:t>
      </w:r>
      <w:r w:rsidR="009B7B0C">
        <w:rPr>
          <w:szCs w:val="22"/>
        </w:rPr>
        <w:t>,</w:t>
      </w:r>
      <w:r w:rsidR="003F307D" w:rsidRPr="000467A6">
        <w:rPr>
          <w:szCs w:val="22"/>
        </w:rPr>
        <w:t xml:space="preserve"> respectively, and 360 fewer hospitalizations in the 3-dose elderly vaccinated than the unvaccinated elderly. </w:t>
      </w:r>
      <w:r w:rsidR="00836FB2" w:rsidRPr="000467A6">
        <w:rPr>
          <w:szCs w:val="22"/>
        </w:rPr>
        <w:t xml:space="preserve">This corresponded with a 1.1x and 2.1x higher rate and 0.2x lower rate of COVID-19 hospitalization in the 1-, 2, and 3-dose </w:t>
      </w:r>
      <w:r w:rsidR="000467A6">
        <w:rPr>
          <w:szCs w:val="22"/>
        </w:rPr>
        <w:t xml:space="preserve">elderly </w:t>
      </w:r>
      <w:r w:rsidR="00836FB2" w:rsidRPr="000467A6">
        <w:rPr>
          <w:szCs w:val="22"/>
        </w:rPr>
        <w:t>vaccinated</w:t>
      </w:r>
      <w:r w:rsidR="009B7B0C">
        <w:rPr>
          <w:szCs w:val="22"/>
        </w:rPr>
        <w:t>,</w:t>
      </w:r>
      <w:r w:rsidR="00836FB2" w:rsidRPr="000467A6">
        <w:rPr>
          <w:szCs w:val="22"/>
        </w:rPr>
        <w:t xml:space="preserve"> respectively</w:t>
      </w:r>
      <w:r w:rsidR="009B7B0C">
        <w:rPr>
          <w:szCs w:val="22"/>
        </w:rPr>
        <w:t>,</w:t>
      </w:r>
      <w:r w:rsidR="00836FB2" w:rsidRPr="000467A6">
        <w:rPr>
          <w:szCs w:val="22"/>
        </w:rPr>
        <w:t xml:space="preserve"> compared to the </w:t>
      </w:r>
      <w:r w:rsidR="000467A6">
        <w:rPr>
          <w:szCs w:val="22"/>
        </w:rPr>
        <w:t xml:space="preserve">elderly </w:t>
      </w:r>
      <w:r w:rsidR="00836FB2" w:rsidRPr="000467A6">
        <w:rPr>
          <w:szCs w:val="22"/>
        </w:rPr>
        <w:t xml:space="preserve">unvaccinated. </w:t>
      </w:r>
      <w:r w:rsidR="003F307D" w:rsidRPr="000467A6">
        <w:rPr>
          <w:szCs w:val="22"/>
        </w:rPr>
        <w:t>The unvaccinated elderly COVID-19 hospitalization proportions were lower than expected</w:t>
      </w:r>
      <w:r w:rsidR="009B7B0C">
        <w:rPr>
          <w:szCs w:val="22"/>
        </w:rPr>
        <w:t>,</w:t>
      </w:r>
      <w:r w:rsidR="003F307D" w:rsidRPr="000467A6">
        <w:rPr>
          <w:szCs w:val="22"/>
        </w:rPr>
        <w:t xml:space="preserve"> and the 1- and 2-dose elderly vaccinated COVID-19 hospitalization proportions </w:t>
      </w:r>
      <w:r w:rsidR="00D46934" w:rsidRPr="000467A6">
        <w:rPr>
          <w:szCs w:val="22"/>
        </w:rPr>
        <w:t xml:space="preserve">were </w:t>
      </w:r>
      <w:r w:rsidR="003F307D" w:rsidRPr="000467A6">
        <w:rPr>
          <w:szCs w:val="22"/>
        </w:rPr>
        <w:t>higher than expected, with this proportion difference reversed (i.e., unvaccinated-higher, vaccinated-lower) for the 3-dose elderly vaccinated (Chi-square test of independence, 2- and 3-dose p &lt; .00001, 1-dose p = .16). This elderly vaccinated data indicates 1- and 2-dose vaccination increased the risk of COVID-19 hospitalization</w:t>
      </w:r>
      <w:r w:rsidR="009B7B0C">
        <w:rPr>
          <w:szCs w:val="22"/>
        </w:rPr>
        <w:t>. At the same time,</w:t>
      </w:r>
      <w:r w:rsidR="003F307D" w:rsidRPr="000467A6">
        <w:rPr>
          <w:szCs w:val="22"/>
        </w:rPr>
        <w:t xml:space="preserve"> a third dose temporarily ameliorated this COVID-19 hospitalization disbenefit</w:t>
      </w:r>
      <w:r w:rsidR="00836FB2" w:rsidRPr="000467A6">
        <w:rPr>
          <w:szCs w:val="22"/>
        </w:rPr>
        <w:t xml:space="preserve"> (i.e., temporarily)</w:t>
      </w:r>
      <w:r w:rsidR="003F307D" w:rsidRPr="000467A6">
        <w:rPr>
          <w:szCs w:val="22"/>
        </w:rPr>
        <w:t xml:space="preserve">.               </w:t>
      </w:r>
    </w:p>
    <w:p w14:paraId="7D634E28" w14:textId="2CF36F2C" w:rsidR="00836FB2" w:rsidRPr="006934F2" w:rsidRDefault="003F307D" w:rsidP="003F307D">
      <w:pPr>
        <w:rPr>
          <w:szCs w:val="22"/>
        </w:rPr>
      </w:pPr>
      <w:r w:rsidRPr="006934F2">
        <w:rPr>
          <w:szCs w:val="22"/>
        </w:rPr>
        <w:lastRenderedPageBreak/>
        <w:t>Vaccinated kids and youth accounted for 0.8% and unvaccinated kids-youth 9.0% of all COVID-19 hospitalizations while accounting for one-fifth of England’s population. At peak immunity</w:t>
      </w:r>
      <w:r w:rsidR="009B7B0C">
        <w:rPr>
          <w:szCs w:val="22"/>
        </w:rPr>
        <w:t>,</w:t>
      </w:r>
      <w:r w:rsidRPr="006934F2">
        <w:rPr>
          <w:szCs w:val="22"/>
        </w:rPr>
        <w:t xml:space="preserve"> there were 24, 35, and 34 fewer hospitalizations per 100,000 in the 1-dose, 2-dose, and 3-dose vaccinated kids-youth compared with their unvaccinated demographic, which corresponded with a 0.5x, 0.2x</w:t>
      </w:r>
      <w:r w:rsidR="00F95681">
        <w:rPr>
          <w:szCs w:val="22"/>
        </w:rPr>
        <w:t>,</w:t>
      </w:r>
      <w:r w:rsidRPr="006934F2">
        <w:rPr>
          <w:szCs w:val="22"/>
        </w:rPr>
        <w:t xml:space="preserve"> and 0.3x rate of COVID-19 hospitalization compared with the unvaccinated. The </w:t>
      </w:r>
      <w:r w:rsidR="00D46934" w:rsidRPr="006934F2">
        <w:rPr>
          <w:szCs w:val="22"/>
        </w:rPr>
        <w:t>working-age</w:t>
      </w:r>
      <w:r w:rsidRPr="006934F2">
        <w:rPr>
          <w:szCs w:val="22"/>
        </w:rPr>
        <w:t xml:space="preserve"> vaccinated adults (1-3</w:t>
      </w:r>
      <w:r w:rsidR="00967DC6" w:rsidRPr="006934F2">
        <w:rPr>
          <w:szCs w:val="22"/>
        </w:rPr>
        <w:t xml:space="preserve"> </w:t>
      </w:r>
      <w:r w:rsidRPr="006934F2">
        <w:rPr>
          <w:szCs w:val="22"/>
        </w:rPr>
        <w:t xml:space="preserve">doses) accounted for 22.8% and the unvaccinated </w:t>
      </w:r>
      <w:r w:rsidR="00D46934" w:rsidRPr="006934F2">
        <w:rPr>
          <w:szCs w:val="22"/>
        </w:rPr>
        <w:t>working-age</w:t>
      </w:r>
      <w:r w:rsidRPr="006934F2">
        <w:rPr>
          <w:szCs w:val="22"/>
        </w:rPr>
        <w:t xml:space="preserve"> adults 13.5% of all COVID-19 hospitalizations (18-59yrs) while accounting for 57% of the population. There were 8.8, 8.2, and 61 fewer </w:t>
      </w:r>
      <w:r w:rsidR="00D46934" w:rsidRPr="006934F2">
        <w:rPr>
          <w:szCs w:val="22"/>
        </w:rPr>
        <w:t xml:space="preserve">COVID-19 </w:t>
      </w:r>
      <w:r w:rsidRPr="006934F2">
        <w:rPr>
          <w:szCs w:val="22"/>
        </w:rPr>
        <w:t xml:space="preserve">hospitalizations </w:t>
      </w:r>
      <w:r w:rsidR="00D46934" w:rsidRPr="006934F2">
        <w:rPr>
          <w:szCs w:val="22"/>
        </w:rPr>
        <w:t xml:space="preserve">in working-age adults </w:t>
      </w:r>
      <w:r w:rsidRPr="006934F2">
        <w:rPr>
          <w:szCs w:val="22"/>
        </w:rPr>
        <w:t>per 100,000</w:t>
      </w:r>
      <w:r w:rsidR="009B7B0C">
        <w:rPr>
          <w:szCs w:val="22"/>
        </w:rPr>
        <w:t>,</w:t>
      </w:r>
      <w:r w:rsidRPr="006934F2">
        <w:rPr>
          <w:szCs w:val="22"/>
        </w:rPr>
        <w:t xml:space="preserve"> respectively than the unvaccinated</w:t>
      </w:r>
      <w:r w:rsidR="00967DC6" w:rsidRPr="006934F2">
        <w:rPr>
          <w:szCs w:val="22"/>
        </w:rPr>
        <w:t xml:space="preserve">. This </w:t>
      </w:r>
      <w:r w:rsidRPr="006934F2">
        <w:rPr>
          <w:szCs w:val="22"/>
        </w:rPr>
        <w:t xml:space="preserve">corresponded with a 1- and 2-dose COVID-19 hospitalization rate of 0.9x and a 3-dose rate of 0.3x that of the unvaccinated. In working-age adults, the unvaccinated </w:t>
      </w:r>
      <w:r w:rsidR="00D46934" w:rsidRPr="006934F2">
        <w:rPr>
          <w:szCs w:val="22"/>
        </w:rPr>
        <w:t xml:space="preserve">COVID-19 hospitalization </w:t>
      </w:r>
      <w:r w:rsidRPr="006934F2">
        <w:rPr>
          <w:szCs w:val="22"/>
        </w:rPr>
        <w:t xml:space="preserve">proportions were higher than and vaccinated </w:t>
      </w:r>
      <w:r w:rsidR="00D46934" w:rsidRPr="006934F2">
        <w:rPr>
          <w:szCs w:val="22"/>
        </w:rPr>
        <w:t xml:space="preserve">COVID-19 hospitalization </w:t>
      </w:r>
      <w:r w:rsidRPr="006934F2">
        <w:rPr>
          <w:szCs w:val="22"/>
        </w:rPr>
        <w:t>proportions lower than expected for 1-3</w:t>
      </w:r>
      <w:r w:rsidR="00967DC6" w:rsidRPr="006934F2">
        <w:rPr>
          <w:szCs w:val="22"/>
        </w:rPr>
        <w:t xml:space="preserve"> </w:t>
      </w:r>
      <w:r w:rsidRPr="006934F2">
        <w:rPr>
          <w:szCs w:val="22"/>
        </w:rPr>
        <w:t>dose</w:t>
      </w:r>
      <w:r w:rsidR="00D46934" w:rsidRPr="006934F2">
        <w:rPr>
          <w:szCs w:val="22"/>
        </w:rPr>
        <w:t>s</w:t>
      </w:r>
      <w:r w:rsidRPr="006934F2">
        <w:rPr>
          <w:szCs w:val="22"/>
        </w:rPr>
        <w:t xml:space="preserve"> (Chi-square </w:t>
      </w:r>
      <w:r w:rsidR="00D46934" w:rsidRPr="006934F2">
        <w:rPr>
          <w:szCs w:val="22"/>
        </w:rPr>
        <w:t>test of independence</w:t>
      </w:r>
      <w:r w:rsidRPr="006934F2">
        <w:rPr>
          <w:szCs w:val="22"/>
        </w:rPr>
        <w:t xml:space="preserve">, all p-values &lt; .0005). In other words, while vaccination enhanced the rates and risk of COVID-19 infection in </w:t>
      </w:r>
      <w:r w:rsidR="00D46934" w:rsidRPr="006934F2">
        <w:rPr>
          <w:szCs w:val="22"/>
        </w:rPr>
        <w:t>working-age</w:t>
      </w:r>
      <w:r w:rsidRPr="006934F2">
        <w:rPr>
          <w:szCs w:val="22"/>
        </w:rPr>
        <w:t xml:space="preserve"> adults</w:t>
      </w:r>
      <w:r w:rsidR="009B7B0C">
        <w:rPr>
          <w:szCs w:val="22"/>
        </w:rPr>
        <w:t>,</w:t>
      </w:r>
      <w:r w:rsidRPr="006934F2">
        <w:rPr>
          <w:szCs w:val="22"/>
        </w:rPr>
        <w:t xml:space="preserve"> it reduced the rates of COVID-19 hospitalization (for now) relative to the unvaccinated within 28 days of a positive COVID-19 test.</w:t>
      </w:r>
    </w:p>
    <w:p w14:paraId="388B273A" w14:textId="01EABA1D" w:rsidR="0015294B" w:rsidRPr="006934F2" w:rsidRDefault="00261B17" w:rsidP="00966F84">
      <w:pPr>
        <w:rPr>
          <w:szCs w:val="22"/>
        </w:rPr>
      </w:pPr>
      <w:r w:rsidRPr="006934F2">
        <w:rPr>
          <w:szCs w:val="22"/>
          <w:u w:val="single"/>
        </w:rPr>
        <w:t>Scotland</w:t>
      </w:r>
      <w:r w:rsidRPr="006934F2">
        <w:rPr>
          <w:szCs w:val="22"/>
        </w:rPr>
        <w:t xml:space="preserve">: </w:t>
      </w:r>
      <w:r w:rsidR="00FE05FF" w:rsidRPr="006934F2">
        <w:rPr>
          <w:szCs w:val="22"/>
        </w:rPr>
        <w:t xml:space="preserve">The Public Health Scotland </w:t>
      </w:r>
      <w:r w:rsidR="00D875F3" w:rsidRPr="000663F8">
        <w:rPr>
          <w:rFonts w:cs="Times New Roman"/>
        </w:rPr>
        <w:t>(PHS,</w:t>
      </w:r>
      <w:r w:rsidR="00D875F3">
        <w:rPr>
          <w:rStyle w:val="EndnoteReference"/>
          <w:rFonts w:cs="Times New Roman"/>
        </w:rPr>
        <w:endnoteReference w:id="20"/>
      </w:r>
      <w:r w:rsidR="00D875F3">
        <w:rPr>
          <w:rFonts w:cs="Times New Roman"/>
        </w:rPr>
        <w:t xml:space="preserve"> Mid-2021 population estimate</w:t>
      </w:r>
      <w:r w:rsidR="00FA3326">
        <w:rPr>
          <w:rFonts w:cs="Times New Roman"/>
        </w:rPr>
        <w:t>s</w:t>
      </w:r>
      <w:r w:rsidR="00D875F3">
        <w:rPr>
          <w:rStyle w:val="EndnoteReference"/>
          <w:rFonts w:cs="Times New Roman"/>
        </w:rPr>
        <w:endnoteReference w:id="21"/>
      </w:r>
      <w:r w:rsidR="00D875F3" w:rsidRPr="000663F8">
        <w:rPr>
          <w:rFonts w:cs="Times New Roman"/>
        </w:rPr>
        <w:t xml:space="preserve">) </w:t>
      </w:r>
      <w:r w:rsidR="00FE05FF" w:rsidRPr="006934F2">
        <w:rPr>
          <w:szCs w:val="22"/>
        </w:rPr>
        <w:t>data shows the vaccinated population (1-3 doses) accounted for 79.1% of all COVID-19 hospitalizations while accounting for 77.3% of the total population. There were 5, 25, and 6 more COVID-19 hospitalizations per 100,000 in the 1-, 2-, and 3-dose vaccinated</w:t>
      </w:r>
      <w:r w:rsidR="009B7B0C">
        <w:rPr>
          <w:szCs w:val="22"/>
        </w:rPr>
        <w:t>,</w:t>
      </w:r>
      <w:r w:rsidR="00FE05FF" w:rsidRPr="006934F2">
        <w:rPr>
          <w:szCs w:val="22"/>
        </w:rPr>
        <w:t xml:space="preserve"> respectively</w:t>
      </w:r>
      <w:r w:rsidR="00967DC6" w:rsidRPr="006934F2">
        <w:rPr>
          <w:szCs w:val="22"/>
        </w:rPr>
        <w:t xml:space="preserve">. This </w:t>
      </w:r>
      <w:r w:rsidR="00FE05FF" w:rsidRPr="006934F2">
        <w:rPr>
          <w:szCs w:val="22"/>
        </w:rPr>
        <w:t>corresponded with higher rates of COVID-19 hospitalizations in the 1-dose (1.</w:t>
      </w:r>
      <w:r w:rsidR="00967DC6" w:rsidRPr="006934F2">
        <w:rPr>
          <w:szCs w:val="22"/>
        </w:rPr>
        <w:t>1</w:t>
      </w:r>
      <w:r w:rsidR="00FE05FF" w:rsidRPr="006934F2">
        <w:rPr>
          <w:szCs w:val="22"/>
        </w:rPr>
        <w:t>x), 2-dose (1.2x), and 3-dose (1.</w:t>
      </w:r>
      <w:r w:rsidR="00967DC6" w:rsidRPr="006934F2">
        <w:rPr>
          <w:szCs w:val="22"/>
        </w:rPr>
        <w:t>1</w:t>
      </w:r>
      <w:r w:rsidR="00FE05FF" w:rsidRPr="006934F2">
        <w:rPr>
          <w:szCs w:val="22"/>
        </w:rPr>
        <w:t>x) vaccinated compared with the unvaccinated. The observed proportion of COVID-19 hospitalizations was higher in the 1-3 dose vaccinated and lower in the unvaccinated than expected</w:t>
      </w:r>
      <w:r w:rsidR="00DF2AF0">
        <w:rPr>
          <w:szCs w:val="22"/>
        </w:rPr>
        <w:t>,</w:t>
      </w:r>
      <w:r w:rsidR="00FE05FF" w:rsidRPr="006934F2">
        <w:rPr>
          <w:szCs w:val="22"/>
        </w:rPr>
        <w:t xml:space="preserve"> and this difference was significant at the p &lt; .05 level for the 2-dose vaccinated (Chi-square test of independence, 1-dose p = 0.45, 2-dose p = &lt; .00001, 3-dose p = 0.09). This data indicates a marginal-modest disbenefit to vaccination on COVID-19 hospitalization rates and proportions for all vaccine dose groups compared with the unvaccinated, which was significant for the 2-dose vaccinated group proportions. </w:t>
      </w:r>
    </w:p>
    <w:p w14:paraId="560AB875" w14:textId="65C6480E" w:rsidR="006C6D06" w:rsidRPr="00DC34EF" w:rsidRDefault="004E57E1" w:rsidP="00966F84">
      <w:pPr>
        <w:rPr>
          <w:szCs w:val="22"/>
        </w:rPr>
      </w:pPr>
      <w:r w:rsidRPr="00DC34EF">
        <w:rPr>
          <w:szCs w:val="22"/>
          <w:u w:val="single"/>
        </w:rPr>
        <w:t>Canada</w:t>
      </w:r>
      <w:r w:rsidRPr="00DC34EF">
        <w:rPr>
          <w:szCs w:val="22"/>
        </w:rPr>
        <w:t xml:space="preserve">: </w:t>
      </w:r>
      <w:r w:rsidR="00926AA5" w:rsidRPr="00DC34EF">
        <w:rPr>
          <w:szCs w:val="22"/>
        </w:rPr>
        <w:t xml:space="preserve">The Public Health Agency of Canada data </w:t>
      </w:r>
      <w:r w:rsidR="00DC34EF" w:rsidRPr="00DC34EF">
        <w:rPr>
          <w:szCs w:val="22"/>
        </w:rPr>
        <w:t>(PHAC, see infection data citation, Table 2, and Statistics Canada</w:t>
      </w:r>
      <w:r w:rsidR="00DC34EF" w:rsidRPr="00DC34EF">
        <w:rPr>
          <w:rStyle w:val="EndnoteReference"/>
          <w:szCs w:val="22"/>
        </w:rPr>
        <w:endnoteReference w:id="22"/>
      </w:r>
      <w:r w:rsidR="00DC34EF" w:rsidRPr="00DC34EF">
        <w:rPr>
          <w:szCs w:val="22"/>
        </w:rPr>
        <w:t xml:space="preserve">) </w:t>
      </w:r>
      <w:r w:rsidR="00926AA5" w:rsidRPr="00DC34EF">
        <w:rPr>
          <w:szCs w:val="22"/>
        </w:rPr>
        <w:t xml:space="preserve"> shows the COVID-19 vaccinated population (1-3 doses) accounted for 74.2% of cumulative COVID-19 hospitalizations while accounting for 71.1% of the population. There were a cumulative 8.3, 3.6, and 14.9 more COVID-19 hospitalizations per 100,000 in the 1-, 2-, and 3-dose vaccinated</w:t>
      </w:r>
      <w:r w:rsidR="00DF2AF0">
        <w:rPr>
          <w:szCs w:val="22"/>
        </w:rPr>
        <w:t>,</w:t>
      </w:r>
      <w:r w:rsidR="00926AA5" w:rsidRPr="00DC34EF">
        <w:rPr>
          <w:szCs w:val="22"/>
        </w:rPr>
        <w:t xml:space="preserve"> respectively</w:t>
      </w:r>
      <w:r w:rsidR="00DF2AF0">
        <w:rPr>
          <w:szCs w:val="22"/>
        </w:rPr>
        <w:t>,</w:t>
      </w:r>
      <w:r w:rsidR="00926AA5" w:rsidRPr="00DC34EF">
        <w:rPr>
          <w:szCs w:val="22"/>
        </w:rPr>
        <w:t xml:space="preserve"> than the unvaccinated. This corresponded with higher rates of COVID-19 hospitalizations in the 1-dose (1.1x), 2-dose (1.1x), and 3-dose (1.3x) vaccinated compared with the unvaccinated. The observed proportion of COVID-19 hospitalizations was higher in the 1-, 2-, and 3-dose vaccinated and lower in the unvaccinated than expected</w:t>
      </w:r>
      <w:r w:rsidR="00DF2AF0">
        <w:rPr>
          <w:szCs w:val="22"/>
        </w:rPr>
        <w:t>. These</w:t>
      </w:r>
      <w:r w:rsidR="00926AA5" w:rsidRPr="00DC34EF">
        <w:rPr>
          <w:szCs w:val="22"/>
        </w:rPr>
        <w:t xml:space="preserve"> differences were highly significant (Chi-square test of independence, all p &lt; .0007). This data indicates the 1-, 2-, and 3-dose vaccinated groups </w:t>
      </w:r>
      <w:r w:rsidR="00926AA5" w:rsidRPr="00DC34EF">
        <w:rPr>
          <w:szCs w:val="22"/>
        </w:rPr>
        <w:lastRenderedPageBreak/>
        <w:t>experienced a significantly increased risk of COVID-19 hospitalizations compared with the unvaccinated</w:t>
      </w:r>
      <w:r w:rsidR="00DC34EF">
        <w:rPr>
          <w:szCs w:val="22"/>
        </w:rPr>
        <w:t xml:space="preserve"> </w:t>
      </w:r>
      <w:r w:rsidR="00DC34EF" w:rsidRPr="00DC34EF">
        <w:rPr>
          <w:szCs w:val="22"/>
        </w:rPr>
        <w:t>(i.e., cumulative rates and proportions)</w:t>
      </w:r>
      <w:r w:rsidR="00926AA5" w:rsidRPr="00DC34EF">
        <w:rPr>
          <w:szCs w:val="22"/>
        </w:rPr>
        <w:t>.</w:t>
      </w:r>
    </w:p>
    <w:p w14:paraId="6395979D" w14:textId="1E8CBAAD" w:rsidR="00AB7984" w:rsidRPr="00AB7984" w:rsidRDefault="003F00FA" w:rsidP="004C5C79">
      <w:pPr>
        <w:pStyle w:val="Heading3"/>
      </w:pPr>
      <w:bookmarkStart w:id="40" w:name="_Toc516645029"/>
      <w:bookmarkStart w:id="41" w:name="_Toc111367989"/>
      <w:bookmarkStart w:id="42" w:name="_Toc121035122"/>
      <w:r>
        <w:t>Statistical Bias Evident in H</w:t>
      </w:r>
      <w:r w:rsidRPr="00ED018E">
        <w:t xml:space="preserve">ealthcare </w:t>
      </w:r>
      <w:r>
        <w:t>A</w:t>
      </w:r>
      <w:r w:rsidRPr="00ED018E">
        <w:t>genc</w:t>
      </w:r>
      <w:r>
        <w:t xml:space="preserve">ies’ Calculable COVID-19 Case Rates </w:t>
      </w:r>
      <w:bookmarkEnd w:id="40"/>
      <w:bookmarkEnd w:id="41"/>
      <w:r>
        <w:t>Essentially Eliminated the Negative Vaccine Effectiveness Harm Signal</w:t>
      </w:r>
      <w:r w:rsidR="00DF5627">
        <w:t xml:space="preserve"> </w:t>
      </w:r>
      <w:r w:rsidR="007C180A">
        <w:t>(Data)</w:t>
      </w:r>
      <w:bookmarkEnd w:id="42"/>
    </w:p>
    <w:p w14:paraId="11D49979" w14:textId="55A7EAF7" w:rsidR="00EB19A5" w:rsidRPr="0029273D" w:rsidRDefault="00416F69" w:rsidP="00EB19A5">
      <w:pPr>
        <w:rPr>
          <w:szCs w:val="22"/>
        </w:rPr>
      </w:pPr>
      <w:r w:rsidRPr="0029273D">
        <w:rPr>
          <w:b/>
          <w:szCs w:val="22"/>
          <w:u w:val="single"/>
        </w:rPr>
        <w:t>The bottom line</w:t>
      </w:r>
      <w:r w:rsidRPr="0029273D">
        <w:rPr>
          <w:szCs w:val="22"/>
        </w:rPr>
        <w:t xml:space="preserve">: </w:t>
      </w:r>
      <w:r w:rsidRPr="0029273D">
        <w:rPr>
          <w:rFonts w:cs="Times New Roman"/>
        </w:rPr>
        <w:t xml:space="preserve">This section details </w:t>
      </w:r>
      <w:r w:rsidR="00EB19A5">
        <w:rPr>
          <w:szCs w:val="22"/>
        </w:rPr>
        <w:t xml:space="preserve">the significant numerator and denominator biases </w:t>
      </w:r>
      <w:r w:rsidR="00EB19A5">
        <w:rPr>
          <w:bCs w:val="0"/>
          <w:szCs w:val="22"/>
        </w:rPr>
        <w:t>evident in</w:t>
      </w:r>
      <w:r w:rsidR="00EB19A5">
        <w:rPr>
          <w:szCs w:val="22"/>
        </w:rPr>
        <w:t xml:space="preserve"> all of these healthcare agencies</w:t>
      </w:r>
      <w:r w:rsidR="00EB19A5">
        <w:rPr>
          <w:bCs w:val="0"/>
          <w:szCs w:val="22"/>
        </w:rPr>
        <w:t xml:space="preserve">’ </w:t>
      </w:r>
      <w:r w:rsidR="00EB19A5">
        <w:rPr>
          <w:szCs w:val="22"/>
        </w:rPr>
        <w:t xml:space="preserve">calculable unvaccinated COVID-19 </w:t>
      </w:r>
      <w:r w:rsidR="00EB19A5" w:rsidRPr="0029273D">
        <w:rPr>
          <w:rFonts w:cs="Times New Roman"/>
        </w:rPr>
        <w:t xml:space="preserve">infection, hospitalization, </w:t>
      </w:r>
      <w:r w:rsidR="00EB19A5">
        <w:rPr>
          <w:rFonts w:cs="Times New Roman"/>
        </w:rPr>
        <w:t xml:space="preserve">and </w:t>
      </w:r>
      <w:r w:rsidR="00EB19A5" w:rsidRPr="0029273D">
        <w:rPr>
          <w:rFonts w:cs="Times New Roman"/>
        </w:rPr>
        <w:t>mortality</w:t>
      </w:r>
      <w:r w:rsidR="00EB19A5" w:rsidRPr="00EB19A5">
        <w:rPr>
          <w:szCs w:val="22"/>
        </w:rPr>
        <w:t xml:space="preserve"> </w:t>
      </w:r>
      <w:r w:rsidR="00547751">
        <w:rPr>
          <w:szCs w:val="22"/>
        </w:rPr>
        <w:t xml:space="preserve">case </w:t>
      </w:r>
      <w:r w:rsidR="00EB19A5">
        <w:rPr>
          <w:szCs w:val="22"/>
        </w:rPr>
        <w:t xml:space="preserve">rates (i.e., New Zealand, Scotland, Canada), or in the </w:t>
      </w:r>
      <w:r w:rsidR="00547751">
        <w:rPr>
          <w:szCs w:val="22"/>
        </w:rPr>
        <w:t xml:space="preserve">supposedly “unadjusted” </w:t>
      </w:r>
      <w:r w:rsidR="00EB19A5">
        <w:rPr>
          <w:szCs w:val="22"/>
        </w:rPr>
        <w:t xml:space="preserve">rates they provided (England). These evident biases </w:t>
      </w:r>
      <w:r w:rsidR="00CB0276">
        <w:rPr>
          <w:rFonts w:cs="Times New Roman"/>
        </w:rPr>
        <w:t xml:space="preserve">essentially </w:t>
      </w:r>
      <w:r w:rsidR="00EB19A5">
        <w:rPr>
          <w:rFonts w:cs="Times New Roman"/>
        </w:rPr>
        <w:t>eliminated the underlying</w:t>
      </w:r>
      <w:r w:rsidR="00EB19A5" w:rsidRPr="0029273D">
        <w:rPr>
          <w:rFonts w:cs="Times New Roman"/>
        </w:rPr>
        <w:t xml:space="preserve"> negative vaccine </w:t>
      </w:r>
      <w:r w:rsidR="00EB19A5">
        <w:rPr>
          <w:rFonts w:cs="Times New Roman"/>
        </w:rPr>
        <w:t xml:space="preserve">effectiveness </w:t>
      </w:r>
      <w:r w:rsidR="00CB0276">
        <w:rPr>
          <w:rFonts w:cs="Times New Roman"/>
        </w:rPr>
        <w:t xml:space="preserve">or vaccine failure </w:t>
      </w:r>
      <w:r w:rsidR="00EB19A5">
        <w:rPr>
          <w:rFonts w:cs="Times New Roman"/>
        </w:rPr>
        <w:t>and thus obscured the vaccine-induced harm at the national level</w:t>
      </w:r>
      <w:r w:rsidR="00EB19A5" w:rsidRPr="0029273D">
        <w:rPr>
          <w:szCs w:val="22"/>
        </w:rPr>
        <w:t xml:space="preserve">. </w:t>
      </w:r>
    </w:p>
    <w:p w14:paraId="11F1B18E" w14:textId="6AD8D08E" w:rsidR="00EB19A5" w:rsidRPr="008220A8" w:rsidRDefault="00EB19A5" w:rsidP="00EB19A5">
      <w:pPr>
        <w:rPr>
          <w:rFonts w:cs="Times New Roman"/>
        </w:rPr>
      </w:pPr>
      <w:r w:rsidRPr="008220A8">
        <w:rPr>
          <w:rFonts w:cs="Times New Roman"/>
        </w:rPr>
        <w:t xml:space="preserve">Four main methods were </w:t>
      </w:r>
      <w:r>
        <w:rPr>
          <w:rFonts w:cs="Times New Roman"/>
        </w:rPr>
        <w:t xml:space="preserve">evident by which bias </w:t>
      </w:r>
      <w:r w:rsidR="00A7104F">
        <w:rPr>
          <w:rFonts w:cs="Times New Roman"/>
        </w:rPr>
        <w:t>manifest</w:t>
      </w:r>
      <w:r w:rsidRPr="008220A8">
        <w:rPr>
          <w:rFonts w:cs="Times New Roman"/>
        </w:rPr>
        <w:t xml:space="preserve">, including the: (1) provision of </w:t>
      </w:r>
      <w:r>
        <w:rPr>
          <w:rFonts w:cs="Times New Roman"/>
        </w:rPr>
        <w:t xml:space="preserve">national </w:t>
      </w:r>
      <w:r w:rsidRPr="008220A8">
        <w:rPr>
          <w:rFonts w:cs="Times New Roman"/>
        </w:rPr>
        <w:t>healthcare database population totals that underestimated the total population relative to the most recent Government estimates/census, from which a residual underestimated unvaccinated population total was calculable (i.e., New Zealand</w:t>
      </w:r>
      <w:r>
        <w:rPr>
          <w:rFonts w:cs="Times New Roman"/>
        </w:rPr>
        <w:t xml:space="preserve">, </w:t>
      </w:r>
      <w:r w:rsidRPr="008220A8">
        <w:rPr>
          <w:rFonts w:cs="Times New Roman"/>
        </w:rPr>
        <w:t>Scotland) (</w:t>
      </w:r>
      <w:r w:rsidRPr="008220A8">
        <w:rPr>
          <w:rFonts w:cs="Times New Roman"/>
          <w:b/>
          <w:bCs w:val="0"/>
        </w:rPr>
        <w:t>denominator bias</w:t>
      </w:r>
      <w:r w:rsidRPr="008220A8">
        <w:rPr>
          <w:rFonts w:cs="Times New Roman"/>
        </w:rPr>
        <w:t>), (2) use of cumulative case totals that bundled 2020-2021 cases arising before high vaccination rates into the 2022 unvaccinated data (i.e., Canada, New Zealand) (</w:t>
      </w:r>
      <w:r w:rsidRPr="008220A8">
        <w:rPr>
          <w:rFonts w:cs="Times New Roman"/>
          <w:b/>
          <w:bCs w:val="0"/>
        </w:rPr>
        <w:t>numerator bias</w:t>
      </w:r>
      <w:r w:rsidRPr="008220A8">
        <w:rPr>
          <w:rFonts w:cs="Times New Roman"/>
        </w:rPr>
        <w:t>), (3) provision of vaccinated demographic rates of infection and disease as “unadjusted” that had been non-uniformly altered without specifying the</w:t>
      </w:r>
      <w:r>
        <w:rPr>
          <w:rFonts w:cs="Times New Roman"/>
        </w:rPr>
        <w:t>ir</w:t>
      </w:r>
      <w:r w:rsidRPr="008220A8">
        <w:rPr>
          <w:rFonts w:cs="Times New Roman"/>
        </w:rPr>
        <w:t xml:space="preserve"> reasons and assumptions (i.e., </w:t>
      </w:r>
      <w:r>
        <w:rPr>
          <w:rFonts w:cs="Times New Roman"/>
        </w:rPr>
        <w:t>England) (</w:t>
      </w:r>
      <w:r w:rsidRPr="008220A8">
        <w:rPr>
          <w:rFonts w:cs="Times New Roman"/>
          <w:b/>
          <w:bCs w:val="0"/>
        </w:rPr>
        <w:t xml:space="preserve">altered </w:t>
      </w:r>
      <w:r>
        <w:rPr>
          <w:rFonts w:cs="Times New Roman"/>
          <w:b/>
          <w:bCs w:val="0"/>
        </w:rPr>
        <w:t xml:space="preserve">“unadjusted” </w:t>
      </w:r>
      <w:r w:rsidRPr="008220A8">
        <w:rPr>
          <w:rFonts w:cs="Times New Roman"/>
          <w:b/>
          <w:bCs w:val="0"/>
        </w:rPr>
        <w:t>rates</w:t>
      </w:r>
      <w:r w:rsidRPr="008220A8">
        <w:rPr>
          <w:rFonts w:cs="Times New Roman"/>
        </w:rPr>
        <w:t>), (4) use of vaccinated and unvaccinated definitions that failed to reflect ADE biology and its impact on early (i.e., first dose) and late (i.e., waned immunity) infection</w:t>
      </w:r>
      <w:r>
        <w:rPr>
          <w:rFonts w:cs="Times New Roman"/>
        </w:rPr>
        <w:t>, hospitalization, and death</w:t>
      </w:r>
      <w:r w:rsidRPr="008220A8">
        <w:rPr>
          <w:rFonts w:cs="Times New Roman"/>
        </w:rPr>
        <w:t xml:space="preserve"> risk</w:t>
      </w:r>
      <w:r>
        <w:rPr>
          <w:rFonts w:cs="Times New Roman"/>
        </w:rPr>
        <w:t xml:space="preserve"> (i.e., all nations) (</w:t>
      </w:r>
      <w:r w:rsidRPr="008220A8">
        <w:rPr>
          <w:rFonts w:cs="Times New Roman"/>
          <w:b/>
          <w:bCs w:val="0"/>
        </w:rPr>
        <w:t>definition bias</w:t>
      </w:r>
      <w:r>
        <w:rPr>
          <w:rFonts w:cs="Times New Roman"/>
        </w:rPr>
        <w:t>)</w:t>
      </w:r>
      <w:r w:rsidRPr="008220A8">
        <w:rPr>
          <w:rFonts w:cs="Times New Roman"/>
        </w:rPr>
        <w:t xml:space="preserve">. </w:t>
      </w:r>
    </w:p>
    <w:p w14:paraId="4FA0AD12" w14:textId="775AAAD6" w:rsidR="0076338F" w:rsidRPr="00C72C61" w:rsidRDefault="00787E1D" w:rsidP="0076338F">
      <w:pPr>
        <w:rPr>
          <w:rFonts w:cs="Times New Roman"/>
        </w:rPr>
      </w:pPr>
      <w:r>
        <w:rPr>
          <w:rFonts w:cs="Times New Roman"/>
        </w:rPr>
        <w:t>A</w:t>
      </w:r>
      <w:r w:rsidR="0076338F" w:rsidRPr="00C72C61">
        <w:rPr>
          <w:rFonts w:cs="Times New Roman"/>
        </w:rPr>
        <w:t xml:space="preserve">ny discussion on enhanced rates of </w:t>
      </w:r>
      <w:r w:rsidR="00066FDB">
        <w:rPr>
          <w:rFonts w:cs="Times New Roman"/>
        </w:rPr>
        <w:t xml:space="preserve">COVID-19 </w:t>
      </w:r>
      <w:r w:rsidR="0076338F" w:rsidRPr="00C72C61">
        <w:rPr>
          <w:rFonts w:cs="Times New Roman"/>
        </w:rPr>
        <w:t>infection and disease</w:t>
      </w:r>
      <w:r w:rsidR="00066FDB">
        <w:rPr>
          <w:rFonts w:cs="Times New Roman"/>
        </w:rPr>
        <w:t xml:space="preserve"> before its dismissal as </w:t>
      </w:r>
      <w:r w:rsidR="004747F9">
        <w:rPr>
          <w:rFonts w:cs="Times New Roman"/>
        </w:rPr>
        <w:t xml:space="preserve">inherent </w:t>
      </w:r>
      <w:r w:rsidR="00066FDB">
        <w:rPr>
          <w:rFonts w:cs="Times New Roman"/>
        </w:rPr>
        <w:t>bias</w:t>
      </w:r>
      <w:r w:rsidR="0076338F" w:rsidRPr="00C72C61">
        <w:rPr>
          <w:rFonts w:cs="Times New Roman"/>
        </w:rPr>
        <w:t xml:space="preserve"> </w:t>
      </w:r>
      <w:r w:rsidR="004747F9">
        <w:rPr>
          <w:rFonts w:cs="Times New Roman"/>
        </w:rPr>
        <w:t xml:space="preserve">consequent to vaccinated and unvaccinated group differences </w:t>
      </w:r>
      <w:r w:rsidR="00590516">
        <w:rPr>
          <w:rFonts w:cs="Times New Roman"/>
        </w:rPr>
        <w:t xml:space="preserve">by healthcare agencies </w:t>
      </w:r>
      <w:r w:rsidR="00EA6556">
        <w:rPr>
          <w:rFonts w:cs="Times New Roman"/>
        </w:rPr>
        <w:t xml:space="preserve">(i.e., </w:t>
      </w:r>
      <w:r w:rsidR="008E2596" w:rsidRPr="00EA6556">
        <w:rPr>
          <w:rFonts w:cs="Times New Roman"/>
          <w:i/>
          <w:iCs/>
        </w:rPr>
        <w:t>social</w:t>
      </w:r>
      <w:r w:rsidR="008E2596">
        <w:rPr>
          <w:rFonts w:cs="Times New Roman"/>
          <w:i/>
          <w:iCs/>
        </w:rPr>
        <w:t xml:space="preserve"> behavior</w:t>
      </w:r>
      <w:r w:rsidR="008E2596" w:rsidRPr="00EA6556">
        <w:rPr>
          <w:rFonts w:cs="Times New Roman"/>
          <w:i/>
          <w:iCs/>
        </w:rPr>
        <w:t xml:space="preserve"> interactions</w:t>
      </w:r>
      <w:r w:rsidR="008E2596">
        <w:rPr>
          <w:rFonts w:cs="Times New Roman"/>
          <w:i/>
          <w:iCs/>
        </w:rPr>
        <w:t xml:space="preserve">, </w:t>
      </w:r>
      <w:r w:rsidR="00EA6556" w:rsidRPr="00EA6556">
        <w:rPr>
          <w:rFonts w:cs="Times New Roman"/>
          <w:i/>
          <w:iCs/>
        </w:rPr>
        <w:t>testing behaviors, vaccination prioritization, natural immunity</w:t>
      </w:r>
      <w:r w:rsidR="00AF24D1">
        <w:rPr>
          <w:rFonts w:cs="Times New Roman"/>
          <w:i/>
          <w:iCs/>
        </w:rPr>
        <w:t>, etc.</w:t>
      </w:r>
      <w:r w:rsidR="00EA6556">
        <w:rPr>
          <w:rFonts w:cs="Times New Roman"/>
        </w:rPr>
        <w:t xml:space="preserve">) </w:t>
      </w:r>
      <w:r>
        <w:rPr>
          <w:rFonts w:cs="Times New Roman"/>
        </w:rPr>
        <w:t xml:space="preserve">in my view </w:t>
      </w:r>
      <w:r w:rsidR="0076338F" w:rsidRPr="000C426C">
        <w:rPr>
          <w:rFonts w:cs="Times New Roman"/>
        </w:rPr>
        <w:t xml:space="preserve">must </w:t>
      </w:r>
      <w:r w:rsidR="0076338F" w:rsidRPr="007716F2">
        <w:rPr>
          <w:rFonts w:cs="Times New Roman"/>
        </w:rPr>
        <w:t xml:space="preserve">first and foremost </w:t>
      </w:r>
      <w:r w:rsidR="0076338F" w:rsidRPr="000C426C">
        <w:rPr>
          <w:rFonts w:cs="Times New Roman"/>
        </w:rPr>
        <w:t>reflect</w:t>
      </w:r>
      <w:r w:rsidR="0076338F" w:rsidRPr="00C72C61">
        <w:rPr>
          <w:rFonts w:cs="Times New Roman"/>
        </w:rPr>
        <w:t xml:space="preserve"> </w:t>
      </w:r>
      <w:r w:rsidR="0076338F" w:rsidRPr="003471AC">
        <w:rPr>
          <w:rFonts w:cs="Times New Roman"/>
          <w:b/>
          <w:bCs w:val="0"/>
        </w:rPr>
        <w:t xml:space="preserve">three </w:t>
      </w:r>
      <w:r w:rsidR="002C1553" w:rsidRPr="003471AC">
        <w:rPr>
          <w:rFonts w:cs="Times New Roman"/>
          <w:b/>
          <w:bCs w:val="0"/>
        </w:rPr>
        <w:t>more dominating</w:t>
      </w:r>
      <w:r w:rsidR="007B018E" w:rsidRPr="003471AC">
        <w:rPr>
          <w:rFonts w:cs="Times New Roman"/>
          <w:b/>
          <w:bCs w:val="0"/>
        </w:rPr>
        <w:t xml:space="preserve"> rate-critical</w:t>
      </w:r>
      <w:r w:rsidR="002C1553" w:rsidRPr="003471AC">
        <w:rPr>
          <w:rFonts w:cs="Times New Roman"/>
          <w:b/>
          <w:bCs w:val="0"/>
        </w:rPr>
        <w:t xml:space="preserve"> </w:t>
      </w:r>
      <w:r w:rsidR="0076338F" w:rsidRPr="003471AC">
        <w:rPr>
          <w:rFonts w:cs="Times New Roman"/>
          <w:b/>
          <w:bCs w:val="0"/>
        </w:rPr>
        <w:t>issues</w:t>
      </w:r>
      <w:r w:rsidR="0076338F">
        <w:rPr>
          <w:rFonts w:cs="Times New Roman"/>
        </w:rPr>
        <w:t xml:space="preserve">. Firstly, </w:t>
      </w:r>
      <w:r w:rsidR="00447150">
        <w:rPr>
          <w:rFonts w:cs="Times New Roman"/>
        </w:rPr>
        <w:t xml:space="preserve">the </w:t>
      </w:r>
      <w:r w:rsidR="0076338F">
        <w:rPr>
          <w:rFonts w:cs="Times New Roman"/>
        </w:rPr>
        <w:t xml:space="preserve">significant numerator and denominator bias </w:t>
      </w:r>
      <w:r w:rsidR="00447150">
        <w:rPr>
          <w:rFonts w:cs="Times New Roman"/>
        </w:rPr>
        <w:t>in evidence as</w:t>
      </w:r>
      <w:r w:rsidR="00EB19A5">
        <w:rPr>
          <w:rFonts w:cs="Times New Roman"/>
        </w:rPr>
        <w:t xml:space="preserve"> summarized above and detailed in </w:t>
      </w:r>
      <w:r w:rsidR="00590516">
        <w:rPr>
          <w:rFonts w:cs="Times New Roman"/>
        </w:rPr>
        <w:t>section 1.1.5.1</w:t>
      </w:r>
      <w:r w:rsidR="0076338F">
        <w:rPr>
          <w:rFonts w:cs="Times New Roman"/>
        </w:rPr>
        <w:t xml:space="preserve">. Secondly, the </w:t>
      </w:r>
      <w:r w:rsidR="00CB0276">
        <w:rPr>
          <w:rFonts w:cs="Times New Roman"/>
        </w:rPr>
        <w:t xml:space="preserve">three </w:t>
      </w:r>
      <w:r w:rsidR="0076338F" w:rsidRPr="00C72C61">
        <w:rPr>
          <w:rFonts w:cs="Times New Roman"/>
        </w:rPr>
        <w:t xml:space="preserve">decades of scientific evidence </w:t>
      </w:r>
      <w:r w:rsidR="00F56925">
        <w:rPr>
          <w:rFonts w:cs="Times New Roman"/>
        </w:rPr>
        <w:t>of</w:t>
      </w:r>
      <w:r w:rsidR="0076338F" w:rsidRPr="00C72C61">
        <w:rPr>
          <w:rFonts w:cs="Times New Roman"/>
        </w:rPr>
        <w:t xml:space="preserve"> </w:t>
      </w:r>
      <w:r w:rsidR="0076338F" w:rsidRPr="00C72C61">
        <w:rPr>
          <w:rStyle w:val="Strong"/>
          <w:rFonts w:cs="Times New Roman"/>
        </w:rPr>
        <w:t>antibody-dependent enhancement of virus infection</w:t>
      </w:r>
      <w:r w:rsidR="0076338F" w:rsidRPr="00C72C61">
        <w:rPr>
          <w:rFonts w:cs="Times New Roman"/>
        </w:rPr>
        <w:t xml:space="preserve"> (ADE) common to </w:t>
      </w:r>
      <w:r w:rsidR="0076338F" w:rsidRPr="007F5AFA">
        <w:rPr>
          <w:rFonts w:cs="Times New Roman"/>
          <w:b/>
          <w:bCs w:val="0"/>
        </w:rPr>
        <w:t>three other coronavirus</w:t>
      </w:r>
      <w:r w:rsidR="0076338F">
        <w:rPr>
          <w:rFonts w:cs="Times New Roman"/>
          <w:b/>
          <w:bCs w:val="0"/>
        </w:rPr>
        <w:t xml:space="preserve">es </w:t>
      </w:r>
      <w:r w:rsidR="0076338F" w:rsidRPr="00BE15B0">
        <w:rPr>
          <w:rFonts w:cs="Times New Roman"/>
        </w:rPr>
        <w:t>and their spike protein-based vaccine prototypes</w:t>
      </w:r>
      <w:r w:rsidR="00F37D6D">
        <w:rPr>
          <w:rFonts w:cs="Times New Roman"/>
        </w:rPr>
        <w:t xml:space="preserve"> means ADE should have been </w:t>
      </w:r>
      <w:r w:rsidR="00590516">
        <w:rPr>
          <w:rFonts w:cs="Times New Roman"/>
        </w:rPr>
        <w:t>at the forefront of explanations (</w:t>
      </w:r>
      <w:r w:rsidR="00590516" w:rsidRPr="00C72C61">
        <w:rPr>
          <w:rFonts w:cs="Times New Roman"/>
        </w:rPr>
        <w:t>section</w:t>
      </w:r>
      <w:r w:rsidR="00590516">
        <w:rPr>
          <w:rFonts w:cs="Times New Roman"/>
        </w:rPr>
        <w:t xml:space="preserve"> </w:t>
      </w:r>
      <w:r w:rsidR="00590516" w:rsidRPr="00C72C61">
        <w:rPr>
          <w:rFonts w:cs="Times New Roman"/>
        </w:rPr>
        <w:t>1.</w:t>
      </w:r>
      <w:r w:rsidR="00590516">
        <w:rPr>
          <w:rFonts w:cs="Times New Roman"/>
        </w:rPr>
        <w:t xml:space="preserve">1.6). In my view, this ADE </w:t>
      </w:r>
      <w:r w:rsidR="00547751">
        <w:rPr>
          <w:rFonts w:cs="Times New Roman"/>
        </w:rPr>
        <w:t xml:space="preserve">differential diagnosis </w:t>
      </w:r>
      <w:r w:rsidR="00590516">
        <w:rPr>
          <w:rFonts w:cs="Times New Roman"/>
        </w:rPr>
        <w:t xml:space="preserve">should have </w:t>
      </w:r>
      <w:r w:rsidR="00547751">
        <w:rPr>
          <w:rFonts w:cs="Times New Roman"/>
        </w:rPr>
        <w:t xml:space="preserve">ensured this phenomenon was a key healthcare agency </w:t>
      </w:r>
      <w:r w:rsidR="00547751" w:rsidRPr="002629F6">
        <w:rPr>
          <w:rFonts w:cs="Times New Roman"/>
          <w:b/>
          <w:bCs w:val="0"/>
        </w:rPr>
        <w:t>priority</w:t>
      </w:r>
      <w:r w:rsidR="00547751">
        <w:rPr>
          <w:rFonts w:cs="Times New Roman"/>
        </w:rPr>
        <w:t xml:space="preserve"> for </w:t>
      </w:r>
      <w:r w:rsidR="00547751" w:rsidRPr="002629F6">
        <w:rPr>
          <w:rFonts w:cs="Times New Roman"/>
        </w:rPr>
        <w:t xml:space="preserve">clinical </w:t>
      </w:r>
      <w:r w:rsidR="008E2596" w:rsidRPr="002629F6">
        <w:rPr>
          <w:rFonts w:cs="Times New Roman"/>
        </w:rPr>
        <w:t>research</w:t>
      </w:r>
      <w:r w:rsidR="00590516" w:rsidRPr="002629F6">
        <w:rPr>
          <w:rFonts w:cs="Times New Roman"/>
        </w:rPr>
        <w:t xml:space="preserve"> and </w:t>
      </w:r>
      <w:r w:rsidR="002629F6" w:rsidRPr="002629F6">
        <w:rPr>
          <w:rFonts w:cs="Times New Roman"/>
        </w:rPr>
        <w:t xml:space="preserve">an important issue in </w:t>
      </w:r>
      <w:r w:rsidR="00590516" w:rsidRPr="00F56925">
        <w:rPr>
          <w:rFonts w:cs="Times New Roman"/>
          <w:b/>
          <w:bCs w:val="0"/>
        </w:rPr>
        <w:t xml:space="preserve">informed consent </w:t>
      </w:r>
      <w:r w:rsidR="00547751" w:rsidRPr="00F56925">
        <w:rPr>
          <w:rFonts w:cs="Times New Roman"/>
          <w:b/>
          <w:bCs w:val="0"/>
        </w:rPr>
        <w:t>guidelines</w:t>
      </w:r>
      <w:r w:rsidR="0076338F" w:rsidRPr="002629F6">
        <w:rPr>
          <w:rFonts w:cs="Times New Roman"/>
        </w:rPr>
        <w:t>.</w:t>
      </w:r>
      <w:r w:rsidR="0076338F" w:rsidRPr="00C72C61">
        <w:rPr>
          <w:rFonts w:cs="Times New Roman"/>
        </w:rPr>
        <w:t xml:space="preserve"> </w:t>
      </w:r>
      <w:r w:rsidR="0076338F">
        <w:rPr>
          <w:rFonts w:cs="Times New Roman"/>
        </w:rPr>
        <w:t>Thirdly, the damning</w:t>
      </w:r>
      <w:r w:rsidR="0076338F" w:rsidRPr="00C72C61">
        <w:rPr>
          <w:rFonts w:cs="Times New Roman"/>
        </w:rPr>
        <w:t xml:space="preserve"> evidence that certain Governments and their affiliates had </w:t>
      </w:r>
      <w:r w:rsidR="0076338F">
        <w:rPr>
          <w:rFonts w:cs="Times New Roman"/>
        </w:rPr>
        <w:t xml:space="preserve">sustainedly </w:t>
      </w:r>
      <w:r w:rsidR="00590516">
        <w:rPr>
          <w:rFonts w:cs="Times New Roman"/>
        </w:rPr>
        <w:t xml:space="preserve">invested </w:t>
      </w:r>
      <w:r w:rsidR="0076338F" w:rsidRPr="00C72C61">
        <w:rPr>
          <w:rFonts w:cs="Times New Roman"/>
        </w:rPr>
        <w:t xml:space="preserve">vast resources in </w:t>
      </w:r>
      <w:r w:rsidR="0076338F" w:rsidRPr="00C72C61">
        <w:rPr>
          <w:rStyle w:val="Emphasis"/>
          <w:rFonts w:cs="Times New Roman"/>
          <w:b/>
          <w:bCs w:val="0"/>
          <w:i w:val="0"/>
          <w:iCs w:val="0"/>
        </w:rPr>
        <w:t>gain-of-function</w:t>
      </w:r>
      <w:r w:rsidR="0076338F" w:rsidRPr="00C72C61">
        <w:rPr>
          <w:rStyle w:val="Strong"/>
          <w:rFonts w:cs="Times New Roman"/>
        </w:rPr>
        <w:t xml:space="preserve"> </w:t>
      </w:r>
      <w:r w:rsidR="0076338F" w:rsidRPr="00C72C61">
        <w:rPr>
          <w:rFonts w:cs="Times New Roman"/>
        </w:rPr>
        <w:t xml:space="preserve">genetic modification of coronavirus spike proteins to </w:t>
      </w:r>
      <w:r w:rsidR="0076338F" w:rsidRPr="00BE15B0">
        <w:rPr>
          <w:rStyle w:val="Emphasis"/>
          <w:rFonts w:cs="Times New Roman"/>
          <w:i w:val="0"/>
          <w:iCs w:val="0"/>
        </w:rPr>
        <w:t xml:space="preserve">specifically </w:t>
      </w:r>
      <w:r w:rsidR="004747F9">
        <w:rPr>
          <w:rStyle w:val="Emphasis"/>
          <w:rFonts w:cs="Times New Roman"/>
          <w:i w:val="0"/>
          <w:iCs w:val="0"/>
        </w:rPr>
        <w:t xml:space="preserve">bypass the need for a </w:t>
      </w:r>
      <w:r w:rsidR="00AF24D1">
        <w:rPr>
          <w:rStyle w:val="Emphasis"/>
          <w:rFonts w:cs="Times New Roman"/>
          <w:i w:val="0"/>
          <w:iCs w:val="0"/>
        </w:rPr>
        <w:t>zoonosis and</w:t>
      </w:r>
      <w:r w:rsidR="004747F9">
        <w:rPr>
          <w:rStyle w:val="Emphasis"/>
          <w:rFonts w:cs="Times New Roman"/>
          <w:i w:val="0"/>
          <w:iCs w:val="0"/>
        </w:rPr>
        <w:t xml:space="preserve"> </w:t>
      </w:r>
      <w:r w:rsidR="0076338F" w:rsidRPr="00BE15B0">
        <w:rPr>
          <w:rStyle w:val="Emphasis"/>
          <w:rFonts w:cs="Times New Roman"/>
          <w:i w:val="0"/>
          <w:iCs w:val="0"/>
        </w:rPr>
        <w:t>enhance human infection and disease rates</w:t>
      </w:r>
      <w:r w:rsidR="0076338F" w:rsidRPr="00C72C61">
        <w:rPr>
          <w:rFonts w:cs="Times New Roman"/>
          <w:b/>
          <w:bCs w:val="0"/>
          <w:i/>
          <w:iCs/>
        </w:rPr>
        <w:t xml:space="preserve"> </w:t>
      </w:r>
      <w:r w:rsidR="0076338F">
        <w:rPr>
          <w:rFonts w:cs="Times New Roman"/>
        </w:rPr>
        <w:t xml:space="preserve">while then working to censor-suppress its role in the origin of the COVID-19 pandemic </w:t>
      </w:r>
      <w:r w:rsidR="0076338F" w:rsidRPr="00C72C61">
        <w:rPr>
          <w:rFonts w:cs="Times New Roman"/>
        </w:rPr>
        <w:t>(Part-</w:t>
      </w:r>
      <w:r w:rsidR="00590516">
        <w:rPr>
          <w:rFonts w:cs="Times New Roman"/>
        </w:rPr>
        <w:t>2</w:t>
      </w:r>
      <w:r w:rsidR="0076338F" w:rsidRPr="00C72C61">
        <w:rPr>
          <w:rFonts w:cs="Times New Roman"/>
        </w:rPr>
        <w:t xml:space="preserve">). </w:t>
      </w:r>
    </w:p>
    <w:p w14:paraId="3F1ECCE1" w14:textId="7419C4BA" w:rsidR="008220A8" w:rsidRPr="008220A8" w:rsidRDefault="00F37D6D" w:rsidP="00874B08">
      <w:pPr>
        <w:rPr>
          <w:szCs w:val="22"/>
        </w:rPr>
      </w:pPr>
      <w:r>
        <w:rPr>
          <w:szCs w:val="22"/>
        </w:rPr>
        <w:lastRenderedPageBreak/>
        <w:t xml:space="preserve">The above overview gives a broader context </w:t>
      </w:r>
      <w:r w:rsidR="00470AB8">
        <w:rPr>
          <w:szCs w:val="22"/>
        </w:rPr>
        <w:t xml:space="preserve">specifically </w:t>
      </w:r>
      <w:r>
        <w:rPr>
          <w:szCs w:val="22"/>
        </w:rPr>
        <w:t xml:space="preserve">to the England and Scotland healthcare agencies’ argument structuring and </w:t>
      </w:r>
      <w:r w:rsidR="002A107B">
        <w:rPr>
          <w:szCs w:val="22"/>
        </w:rPr>
        <w:t>highly</w:t>
      </w:r>
      <w:r w:rsidR="00590516">
        <w:rPr>
          <w:szCs w:val="22"/>
        </w:rPr>
        <w:t xml:space="preserve"> </w:t>
      </w:r>
      <w:r w:rsidR="008220A8" w:rsidRPr="003471AC">
        <w:rPr>
          <w:szCs w:val="22"/>
        </w:rPr>
        <w:t>conspicuous</w:t>
      </w:r>
      <w:r w:rsidR="008220A8" w:rsidRPr="003471AC">
        <w:rPr>
          <w:b/>
          <w:bCs w:val="0"/>
          <w:szCs w:val="22"/>
        </w:rPr>
        <w:t xml:space="preserve"> </w:t>
      </w:r>
      <w:r w:rsidRPr="003471AC">
        <w:rPr>
          <w:szCs w:val="22"/>
        </w:rPr>
        <w:t>buttressing</w:t>
      </w:r>
      <w:r w:rsidR="008220A8">
        <w:rPr>
          <w:szCs w:val="22"/>
        </w:rPr>
        <w:t xml:space="preserve">. </w:t>
      </w:r>
      <w:r w:rsidR="006334E3">
        <w:rPr>
          <w:szCs w:val="22"/>
        </w:rPr>
        <w:t>In</w:t>
      </w:r>
      <w:r>
        <w:rPr>
          <w:szCs w:val="22"/>
        </w:rPr>
        <w:t xml:space="preserve"> the final report</w:t>
      </w:r>
      <w:r w:rsidR="00874B08">
        <w:rPr>
          <w:szCs w:val="22"/>
        </w:rPr>
        <w:t>s</w:t>
      </w:r>
      <w:r>
        <w:rPr>
          <w:szCs w:val="22"/>
        </w:rPr>
        <w:t xml:space="preserve"> in which </w:t>
      </w:r>
      <w:r w:rsidR="0058149F">
        <w:rPr>
          <w:szCs w:val="22"/>
        </w:rPr>
        <w:t xml:space="preserve">the </w:t>
      </w:r>
      <w:r>
        <w:rPr>
          <w:szCs w:val="22"/>
        </w:rPr>
        <w:t>UKHSA</w:t>
      </w:r>
      <w:r w:rsidR="00874B08">
        <w:rPr>
          <w:szCs w:val="22"/>
        </w:rPr>
        <w:t xml:space="preserve"> (</w:t>
      </w:r>
      <w:r w:rsidR="00874B08" w:rsidRPr="00D1783E">
        <w:rPr>
          <w:szCs w:val="22"/>
        </w:rPr>
        <w:t>31</w:t>
      </w:r>
      <w:r w:rsidR="00874B08">
        <w:rPr>
          <w:szCs w:val="22"/>
        </w:rPr>
        <w:t>/03/</w:t>
      </w:r>
      <w:r w:rsidR="00874B08" w:rsidRPr="00D1783E">
        <w:rPr>
          <w:szCs w:val="22"/>
        </w:rPr>
        <w:t>2022</w:t>
      </w:r>
      <w:r w:rsidR="00874B08">
        <w:rPr>
          <w:rStyle w:val="EndnoteReference"/>
          <w:szCs w:val="22"/>
        </w:rPr>
        <w:endnoteReference w:id="23"/>
      </w:r>
      <w:r w:rsidR="00874B08">
        <w:rPr>
          <w:szCs w:val="22"/>
        </w:rPr>
        <w:t>)</w:t>
      </w:r>
      <w:r>
        <w:rPr>
          <w:szCs w:val="22"/>
        </w:rPr>
        <w:t xml:space="preserve"> </w:t>
      </w:r>
      <w:r w:rsidR="00874B08">
        <w:rPr>
          <w:szCs w:val="22"/>
        </w:rPr>
        <w:t>and PHS (16/02/2022</w:t>
      </w:r>
      <w:r w:rsidR="00874B08">
        <w:rPr>
          <w:rStyle w:val="EndnoteReference"/>
          <w:szCs w:val="22"/>
        </w:rPr>
        <w:endnoteReference w:id="24"/>
      </w:r>
      <w:r w:rsidR="00874B08">
        <w:rPr>
          <w:szCs w:val="22"/>
        </w:rPr>
        <w:t xml:space="preserve">) </w:t>
      </w:r>
      <w:r>
        <w:rPr>
          <w:szCs w:val="22"/>
        </w:rPr>
        <w:t xml:space="preserve">provided </w:t>
      </w:r>
      <w:r w:rsidR="00874B08">
        <w:rPr>
          <w:szCs w:val="22"/>
        </w:rPr>
        <w:t xml:space="preserve">COVID-19 </w:t>
      </w:r>
      <w:r>
        <w:rPr>
          <w:szCs w:val="22"/>
        </w:rPr>
        <w:t xml:space="preserve">cases by vaccination status, </w:t>
      </w:r>
      <w:r w:rsidR="00874B08">
        <w:rPr>
          <w:szCs w:val="22"/>
        </w:rPr>
        <w:t>they both</w:t>
      </w:r>
      <w:r>
        <w:rPr>
          <w:szCs w:val="22"/>
        </w:rPr>
        <w:t xml:space="preserve"> </w:t>
      </w:r>
      <w:r w:rsidR="008220A8">
        <w:rPr>
          <w:szCs w:val="22"/>
        </w:rPr>
        <w:t xml:space="preserve">emphatically </w:t>
      </w:r>
      <w:r>
        <w:rPr>
          <w:szCs w:val="22"/>
        </w:rPr>
        <w:t xml:space="preserve">cautioned the public not to use </w:t>
      </w:r>
      <w:r w:rsidR="00874B08">
        <w:rPr>
          <w:szCs w:val="22"/>
        </w:rPr>
        <w:t>their</w:t>
      </w:r>
      <w:r>
        <w:rPr>
          <w:szCs w:val="22"/>
        </w:rPr>
        <w:t xml:space="preserve"> data for vaccine effectiveness calculations. Instead, </w:t>
      </w:r>
      <w:r w:rsidR="00B34D7C">
        <w:rPr>
          <w:szCs w:val="22"/>
        </w:rPr>
        <w:t>the UKHSA</w:t>
      </w:r>
      <w:r>
        <w:rPr>
          <w:szCs w:val="22"/>
        </w:rPr>
        <w:t xml:space="preserve"> referred people to </w:t>
      </w:r>
      <w:r w:rsidRPr="00D1783E">
        <w:rPr>
          <w:szCs w:val="22"/>
        </w:rPr>
        <w:t>Table 5</w:t>
      </w:r>
      <w:r w:rsidR="00DF2AF0">
        <w:rPr>
          <w:szCs w:val="22"/>
        </w:rPr>
        <w:t>,</w:t>
      </w:r>
      <w:r w:rsidR="00874B08">
        <w:rPr>
          <w:szCs w:val="22"/>
        </w:rPr>
        <w:t xml:space="preserve"> and the PHS referred </w:t>
      </w:r>
      <w:r w:rsidR="005C2BA5">
        <w:rPr>
          <w:szCs w:val="22"/>
        </w:rPr>
        <w:t>people</w:t>
      </w:r>
      <w:r w:rsidR="00874B08">
        <w:rPr>
          <w:szCs w:val="22"/>
        </w:rPr>
        <w:t xml:space="preserve"> to UKHSA reports 4 and 6,</w:t>
      </w:r>
      <w:r w:rsidR="00874B08">
        <w:rPr>
          <w:rStyle w:val="EndnoteReference"/>
          <w:szCs w:val="22"/>
        </w:rPr>
        <w:endnoteReference w:id="25"/>
      </w:r>
      <w:r>
        <w:rPr>
          <w:szCs w:val="22"/>
        </w:rPr>
        <w:t xml:space="preserve"> </w:t>
      </w:r>
      <w:r w:rsidR="005C2BA5">
        <w:rPr>
          <w:szCs w:val="22"/>
        </w:rPr>
        <w:t>among other publications</w:t>
      </w:r>
      <w:r w:rsidR="008220A8">
        <w:rPr>
          <w:szCs w:val="22"/>
        </w:rPr>
        <w:t xml:space="preserve">. These reports </w:t>
      </w:r>
      <w:r>
        <w:rPr>
          <w:szCs w:val="22"/>
        </w:rPr>
        <w:t xml:space="preserve">provided a list of largely non-peer-reviewed vaccine efficacy publications that </w:t>
      </w:r>
      <w:r w:rsidR="00122FC9">
        <w:rPr>
          <w:szCs w:val="22"/>
        </w:rPr>
        <w:t xml:space="preserve">heavily </w:t>
      </w:r>
      <w:r>
        <w:rPr>
          <w:szCs w:val="22"/>
        </w:rPr>
        <w:t xml:space="preserve">biased Alpha and Delta strains using </w:t>
      </w:r>
      <w:r w:rsidR="00122FC9">
        <w:rPr>
          <w:szCs w:val="22"/>
        </w:rPr>
        <w:t>relatively</w:t>
      </w:r>
      <w:r>
        <w:rPr>
          <w:szCs w:val="22"/>
        </w:rPr>
        <w:t xml:space="preserve"> small </w:t>
      </w:r>
      <w:r w:rsidR="008A2284">
        <w:rPr>
          <w:szCs w:val="22"/>
        </w:rPr>
        <w:t>and</w:t>
      </w:r>
      <w:r w:rsidR="002A107B">
        <w:rPr>
          <w:szCs w:val="22"/>
        </w:rPr>
        <w:t>/or</w:t>
      </w:r>
      <w:r w:rsidR="008A2284">
        <w:rPr>
          <w:szCs w:val="22"/>
        </w:rPr>
        <w:t xml:space="preserve"> highly selected </w:t>
      </w:r>
      <w:r>
        <w:rPr>
          <w:szCs w:val="22"/>
        </w:rPr>
        <w:t>populations</w:t>
      </w:r>
      <w:r w:rsidR="008220A8">
        <w:rPr>
          <w:szCs w:val="22"/>
        </w:rPr>
        <w:t xml:space="preserve"> that failed to represent the </w:t>
      </w:r>
      <w:r w:rsidR="00DF2AF0">
        <w:rPr>
          <w:szCs w:val="22"/>
        </w:rPr>
        <w:t>national-level</w:t>
      </w:r>
      <w:r w:rsidR="008220A8">
        <w:rPr>
          <w:szCs w:val="22"/>
        </w:rPr>
        <w:t xml:space="preserve"> outcomes</w:t>
      </w:r>
      <w:r w:rsidR="00547751">
        <w:rPr>
          <w:szCs w:val="22"/>
        </w:rPr>
        <w:t xml:space="preserve"> (i.e., </w:t>
      </w:r>
      <w:r w:rsidR="00547751" w:rsidRPr="00547751">
        <w:rPr>
          <w:b/>
          <w:bCs w:val="0"/>
          <w:szCs w:val="22"/>
        </w:rPr>
        <w:t>confirmation bias</w:t>
      </w:r>
      <w:r w:rsidR="00547751">
        <w:rPr>
          <w:szCs w:val="22"/>
        </w:rPr>
        <w:t>)</w:t>
      </w:r>
      <w:r w:rsidR="008220A8">
        <w:rPr>
          <w:szCs w:val="22"/>
        </w:rPr>
        <w:t xml:space="preserve">. Their </w:t>
      </w:r>
      <w:r w:rsidR="008220A8" w:rsidRPr="003471AC">
        <w:rPr>
          <w:b/>
          <w:bCs w:val="0"/>
          <w:szCs w:val="22"/>
        </w:rPr>
        <w:t>argument</w:t>
      </w:r>
      <w:r w:rsidR="008220A8">
        <w:rPr>
          <w:szCs w:val="22"/>
        </w:rPr>
        <w:t xml:space="preserve"> </w:t>
      </w:r>
      <w:r w:rsidR="008220A8" w:rsidRPr="003471AC">
        <w:rPr>
          <w:b/>
          <w:bCs w:val="0"/>
          <w:szCs w:val="22"/>
        </w:rPr>
        <w:t>buttressing was conspicuously</w:t>
      </w:r>
      <w:r w:rsidR="008220A8" w:rsidRPr="008220A8">
        <w:rPr>
          <w:b/>
          <w:bCs w:val="0"/>
          <w:szCs w:val="22"/>
        </w:rPr>
        <w:t xml:space="preserve"> devoid</w:t>
      </w:r>
      <w:r w:rsidR="008220A8">
        <w:rPr>
          <w:szCs w:val="22"/>
        </w:rPr>
        <w:t xml:space="preserve"> of any discussion on the multi-decade foundational biology of coronavirus ADE and more generally</w:t>
      </w:r>
      <w:r w:rsidR="00DF2AF0">
        <w:rPr>
          <w:szCs w:val="22"/>
        </w:rPr>
        <w:t>,</w:t>
      </w:r>
      <w:r w:rsidR="003471AC">
        <w:rPr>
          <w:szCs w:val="22"/>
        </w:rPr>
        <w:t xml:space="preserve"> about</w:t>
      </w:r>
      <w:r w:rsidR="008220A8">
        <w:rPr>
          <w:szCs w:val="22"/>
        </w:rPr>
        <w:t xml:space="preserve"> antigenic imprinting to explain the </w:t>
      </w:r>
      <w:r w:rsidR="008220A8" w:rsidRPr="008220A8">
        <w:rPr>
          <w:szCs w:val="22"/>
        </w:rPr>
        <w:t xml:space="preserve">negative vaccine effectiveness </w:t>
      </w:r>
      <w:r w:rsidR="008220A8">
        <w:rPr>
          <w:szCs w:val="22"/>
        </w:rPr>
        <w:t xml:space="preserve">and </w:t>
      </w:r>
      <w:r w:rsidR="008220A8" w:rsidRPr="008220A8">
        <w:rPr>
          <w:szCs w:val="22"/>
        </w:rPr>
        <w:t>vaccine failure</w:t>
      </w:r>
      <w:r w:rsidR="00DF2AF0">
        <w:rPr>
          <w:szCs w:val="22"/>
        </w:rPr>
        <w:t>,</w:t>
      </w:r>
      <w:r w:rsidR="008220A8">
        <w:rPr>
          <w:szCs w:val="22"/>
        </w:rPr>
        <w:t xml:space="preserve"> </w:t>
      </w:r>
      <w:r w:rsidR="00590516">
        <w:rPr>
          <w:szCs w:val="22"/>
        </w:rPr>
        <w:t>respectively</w:t>
      </w:r>
      <w:r w:rsidR="008220A8">
        <w:rPr>
          <w:szCs w:val="22"/>
        </w:rPr>
        <w:t xml:space="preserve">. </w:t>
      </w:r>
      <w:r w:rsidR="00874B08">
        <w:rPr>
          <w:szCs w:val="22"/>
        </w:rPr>
        <w:t xml:space="preserve">In my view, historical vaccine </w:t>
      </w:r>
      <w:r w:rsidR="00AF24D1">
        <w:rPr>
          <w:szCs w:val="22"/>
        </w:rPr>
        <w:t>effectiveness</w:t>
      </w:r>
      <w:r w:rsidR="00874B08">
        <w:rPr>
          <w:szCs w:val="22"/>
        </w:rPr>
        <w:t xml:space="preserve"> publications are </w:t>
      </w:r>
      <w:r w:rsidR="00470AB8" w:rsidRPr="003471AC">
        <w:rPr>
          <w:b/>
          <w:bCs w:val="0"/>
          <w:szCs w:val="22"/>
        </w:rPr>
        <w:t>ir</w:t>
      </w:r>
      <w:r w:rsidR="00874B08" w:rsidRPr="003471AC">
        <w:rPr>
          <w:b/>
          <w:bCs w:val="0"/>
          <w:szCs w:val="22"/>
        </w:rPr>
        <w:t xml:space="preserve">relevant </w:t>
      </w:r>
      <w:r w:rsidR="003471AC" w:rsidRPr="003471AC">
        <w:rPr>
          <w:b/>
          <w:bCs w:val="0"/>
          <w:szCs w:val="22"/>
        </w:rPr>
        <w:t>when discussing current data</w:t>
      </w:r>
      <w:r w:rsidR="003471AC">
        <w:rPr>
          <w:szCs w:val="22"/>
        </w:rPr>
        <w:t xml:space="preserve"> </w:t>
      </w:r>
      <w:r w:rsidR="00874B08">
        <w:rPr>
          <w:szCs w:val="22"/>
        </w:rPr>
        <w:t xml:space="preserve">for coronaviruses in the face of ADE </w:t>
      </w:r>
      <w:r w:rsidR="008220A8">
        <w:rPr>
          <w:szCs w:val="22"/>
        </w:rPr>
        <w:t>and antigenic imprinting</w:t>
      </w:r>
      <w:r w:rsidR="00DF2AF0">
        <w:rPr>
          <w:szCs w:val="22"/>
        </w:rPr>
        <w:t>,</w:t>
      </w:r>
      <w:r w:rsidR="008220A8">
        <w:rPr>
          <w:szCs w:val="22"/>
        </w:rPr>
        <w:t xml:space="preserve"> both </w:t>
      </w:r>
      <w:r w:rsidR="00AF24D1">
        <w:rPr>
          <w:szCs w:val="22"/>
        </w:rPr>
        <w:t>manifested</w:t>
      </w:r>
      <w:r w:rsidR="00122FC9">
        <w:rPr>
          <w:szCs w:val="22"/>
        </w:rPr>
        <w:t xml:space="preserve"> by</w:t>
      </w:r>
      <w:r w:rsidR="00874B08">
        <w:rPr>
          <w:szCs w:val="22"/>
        </w:rPr>
        <w:t xml:space="preserve"> new </w:t>
      </w:r>
      <w:r w:rsidR="00470AB8">
        <w:rPr>
          <w:szCs w:val="22"/>
        </w:rPr>
        <w:t>strain</w:t>
      </w:r>
      <w:r w:rsidR="00547751">
        <w:rPr>
          <w:szCs w:val="22"/>
        </w:rPr>
        <w:t xml:space="preserve">s </w:t>
      </w:r>
      <w:r w:rsidR="00874B08">
        <w:rPr>
          <w:szCs w:val="22"/>
        </w:rPr>
        <w:t xml:space="preserve">that are </w:t>
      </w:r>
      <w:r w:rsidR="00874B08" w:rsidRPr="003471AC">
        <w:rPr>
          <w:b/>
          <w:bCs w:val="0"/>
          <w:szCs w:val="22"/>
        </w:rPr>
        <w:t>antigenically distinct</w:t>
      </w:r>
      <w:r w:rsidR="00874B08">
        <w:rPr>
          <w:szCs w:val="22"/>
        </w:rPr>
        <w:t xml:space="preserve"> from the </w:t>
      </w:r>
      <w:r w:rsidR="002A107B">
        <w:rPr>
          <w:szCs w:val="22"/>
        </w:rPr>
        <w:t xml:space="preserve">original </w:t>
      </w:r>
      <w:r w:rsidR="00874B08">
        <w:rPr>
          <w:szCs w:val="22"/>
        </w:rPr>
        <w:t>vaccine strain</w:t>
      </w:r>
      <w:r w:rsidR="008220A8">
        <w:rPr>
          <w:szCs w:val="22"/>
        </w:rPr>
        <w:t xml:space="preserve"> (</w:t>
      </w:r>
      <w:r w:rsidR="00547751">
        <w:rPr>
          <w:szCs w:val="22"/>
        </w:rPr>
        <w:t>section 1.1.6-8</w:t>
      </w:r>
      <w:r w:rsidR="008220A8">
        <w:rPr>
          <w:szCs w:val="22"/>
        </w:rPr>
        <w:t>)</w:t>
      </w:r>
      <w:r w:rsidR="00874B08">
        <w:rPr>
          <w:szCs w:val="22"/>
        </w:rPr>
        <w:t>.</w:t>
      </w:r>
    </w:p>
    <w:p w14:paraId="060961AB" w14:textId="73C6BDDD" w:rsidR="00416F69" w:rsidRPr="00F12F35" w:rsidRDefault="00FB757C" w:rsidP="00F12F35">
      <w:pPr>
        <w:pStyle w:val="Heading4"/>
      </w:pPr>
      <w:r>
        <w:t xml:space="preserve">Significant </w:t>
      </w:r>
      <w:r w:rsidR="00447150">
        <w:t xml:space="preserve">Numerator and Denominator </w:t>
      </w:r>
      <w:r w:rsidR="008C32E6" w:rsidRPr="00F12F35">
        <w:t>B</w:t>
      </w:r>
      <w:r w:rsidR="00416F69" w:rsidRPr="00F12F35">
        <w:t>ias</w:t>
      </w:r>
      <w:r w:rsidR="00F21EA8" w:rsidRPr="00F12F35">
        <w:t xml:space="preserve"> </w:t>
      </w:r>
      <w:r w:rsidR="00447150">
        <w:t>Evident in Healthcare Agency</w:t>
      </w:r>
      <w:r w:rsidR="00ED30FE" w:rsidRPr="00F12F35">
        <w:t xml:space="preserve"> </w:t>
      </w:r>
      <w:r w:rsidR="008C32E6" w:rsidRPr="00F12F35">
        <w:t xml:space="preserve">Calculable </w:t>
      </w:r>
      <w:r w:rsidR="00447150">
        <w:t xml:space="preserve">Unvaccinated </w:t>
      </w:r>
      <w:r w:rsidR="00EF6970" w:rsidRPr="00F12F35">
        <w:t xml:space="preserve">COVID-19 </w:t>
      </w:r>
      <w:r w:rsidR="008C32E6" w:rsidRPr="00F12F35">
        <w:t>C</w:t>
      </w:r>
      <w:r w:rsidR="00887AA2" w:rsidRPr="00F12F35">
        <w:t xml:space="preserve">ase </w:t>
      </w:r>
      <w:r w:rsidR="008C32E6" w:rsidRPr="00F12F35">
        <w:t>R</w:t>
      </w:r>
      <w:r w:rsidR="008E13BE" w:rsidRPr="00F12F35">
        <w:t>ate</w:t>
      </w:r>
      <w:r w:rsidR="00EF6970" w:rsidRPr="00F12F35">
        <w:t>s</w:t>
      </w:r>
    </w:p>
    <w:p w14:paraId="679F3F71" w14:textId="74099FA8" w:rsidR="001B4627" w:rsidRPr="008C32E6" w:rsidRDefault="006521C5" w:rsidP="00496C5D">
      <w:pPr>
        <w:rPr>
          <w:szCs w:val="22"/>
        </w:rPr>
      </w:pPr>
      <w:r w:rsidRPr="008C32E6">
        <w:rPr>
          <w:szCs w:val="22"/>
        </w:rPr>
        <w:t xml:space="preserve">The following details </w:t>
      </w:r>
      <w:r>
        <w:rPr>
          <w:szCs w:val="22"/>
        </w:rPr>
        <w:t xml:space="preserve">the significant numerator and denominator bias evident in </w:t>
      </w:r>
      <w:r w:rsidRPr="008C32E6">
        <w:rPr>
          <w:szCs w:val="22"/>
        </w:rPr>
        <w:t>government healthcare agenc</w:t>
      </w:r>
      <w:r>
        <w:rPr>
          <w:szCs w:val="22"/>
        </w:rPr>
        <w:t xml:space="preserve">ies’ </w:t>
      </w:r>
      <w:r w:rsidRPr="008C32E6">
        <w:rPr>
          <w:szCs w:val="22"/>
        </w:rPr>
        <w:t xml:space="preserve">calculable COVID-19 case rates, which </w:t>
      </w:r>
      <w:r w:rsidR="00F56925">
        <w:rPr>
          <w:szCs w:val="22"/>
        </w:rPr>
        <w:t xml:space="preserve">essentially </w:t>
      </w:r>
      <w:r w:rsidRPr="008C32E6">
        <w:rPr>
          <w:szCs w:val="22"/>
        </w:rPr>
        <w:t>eliminate</w:t>
      </w:r>
      <w:r>
        <w:rPr>
          <w:szCs w:val="22"/>
        </w:rPr>
        <w:t>d</w:t>
      </w:r>
      <w:r w:rsidRPr="008C32E6">
        <w:rPr>
          <w:szCs w:val="22"/>
        </w:rPr>
        <w:t xml:space="preserve"> the negative vaccine effectiveness harm signal</w:t>
      </w:r>
      <w:r>
        <w:rPr>
          <w:szCs w:val="22"/>
        </w:rPr>
        <w:t xml:space="preserve"> and vaccine failure in need of urgent investigation (i.e., ADE, VAED, </w:t>
      </w:r>
      <w:r w:rsidR="0061564A">
        <w:rPr>
          <w:szCs w:val="22"/>
        </w:rPr>
        <w:t xml:space="preserve">and </w:t>
      </w:r>
      <w:r>
        <w:rPr>
          <w:szCs w:val="22"/>
        </w:rPr>
        <w:t>antigenic imprinting)</w:t>
      </w:r>
      <w:r w:rsidR="000C67DB" w:rsidRPr="008C32E6">
        <w:rPr>
          <w:szCs w:val="22"/>
        </w:rPr>
        <w:t>.</w:t>
      </w:r>
    </w:p>
    <w:p w14:paraId="2B7B16AA" w14:textId="64728C34" w:rsidR="00C510DB" w:rsidRPr="00F27A25" w:rsidRDefault="00C510DB" w:rsidP="00C510DB">
      <w:pPr>
        <w:rPr>
          <w:szCs w:val="22"/>
        </w:rPr>
      </w:pPr>
      <w:r w:rsidRPr="004C6480">
        <w:rPr>
          <w:b/>
          <w:bCs w:val="0"/>
          <w:szCs w:val="22"/>
          <w:u w:val="single"/>
        </w:rPr>
        <w:t>New Zealand</w:t>
      </w:r>
      <w:r w:rsidRPr="009A565F">
        <w:rPr>
          <w:szCs w:val="22"/>
        </w:rPr>
        <w:t xml:space="preserve"> (Ministry of Health</w:t>
      </w:r>
      <w:r>
        <w:rPr>
          <w:szCs w:val="22"/>
        </w:rPr>
        <w:t>, MoH</w:t>
      </w:r>
      <w:r w:rsidRPr="009A565F">
        <w:rPr>
          <w:szCs w:val="22"/>
        </w:rPr>
        <w:t xml:space="preserve">): The MoH provided its data as cumulative totals since </w:t>
      </w:r>
      <w:r w:rsidR="000A7974">
        <w:rPr>
          <w:szCs w:val="22"/>
        </w:rPr>
        <w:t>26</w:t>
      </w:r>
      <w:r w:rsidR="000A7974" w:rsidRPr="000A7974">
        <w:rPr>
          <w:szCs w:val="22"/>
          <w:vertAlign w:val="superscript"/>
        </w:rPr>
        <w:t>th</w:t>
      </w:r>
      <w:r w:rsidR="000A7974">
        <w:rPr>
          <w:szCs w:val="22"/>
        </w:rPr>
        <w:t xml:space="preserve"> </w:t>
      </w:r>
      <w:r w:rsidRPr="009A565F">
        <w:rPr>
          <w:szCs w:val="22"/>
        </w:rPr>
        <w:t xml:space="preserve">February 2020 necessitating disaggregation </w:t>
      </w:r>
      <w:r>
        <w:rPr>
          <w:szCs w:val="22"/>
        </w:rPr>
        <w:t xml:space="preserve">of the Omicron wave data </w:t>
      </w:r>
      <w:r w:rsidRPr="009A565F">
        <w:rPr>
          <w:szCs w:val="22"/>
        </w:rPr>
        <w:t>using the web archived data</w:t>
      </w:r>
      <w:r>
        <w:rPr>
          <w:szCs w:val="22"/>
        </w:rPr>
        <w:t xml:space="preserve"> to prevent numerator bias in any spot rate calculations. </w:t>
      </w:r>
      <w:r w:rsidRPr="009A565F">
        <w:rPr>
          <w:szCs w:val="22"/>
        </w:rPr>
        <w:t xml:space="preserve">The MoH </w:t>
      </w:r>
      <w:r w:rsidR="00257A4C">
        <w:rPr>
          <w:szCs w:val="22"/>
        </w:rPr>
        <w:t>provided</w:t>
      </w:r>
      <w:r w:rsidRPr="009A565F">
        <w:rPr>
          <w:szCs w:val="22"/>
        </w:rPr>
        <w:t xml:space="preserve"> its </w:t>
      </w:r>
      <w:r w:rsidRPr="0052496E">
        <w:rPr>
          <w:szCs w:val="22"/>
        </w:rPr>
        <w:t>Health Service User (HSU</w:t>
      </w:r>
      <w:r>
        <w:rPr>
          <w:szCs w:val="22"/>
        </w:rPr>
        <w:t xml:space="preserve"> 2020</w:t>
      </w:r>
      <w:r>
        <w:rPr>
          <w:rStyle w:val="EndnoteReference"/>
          <w:szCs w:val="22"/>
        </w:rPr>
        <w:endnoteReference w:id="26"/>
      </w:r>
      <w:r w:rsidRPr="0052496E">
        <w:rPr>
          <w:szCs w:val="22"/>
        </w:rPr>
        <w:t xml:space="preserve">) population estimates </w:t>
      </w:r>
      <w:r w:rsidRPr="009A565F">
        <w:rPr>
          <w:szCs w:val="22"/>
        </w:rPr>
        <w:t>for the ≥12yr population total (</w:t>
      </w:r>
      <w:r>
        <w:rPr>
          <w:szCs w:val="22"/>
        </w:rPr>
        <w:t xml:space="preserve">i.e., </w:t>
      </w:r>
      <w:r w:rsidRPr="0052496E">
        <w:rPr>
          <w:szCs w:val="22"/>
        </w:rPr>
        <w:t>4,209,057</w:t>
      </w:r>
      <w:r>
        <w:rPr>
          <w:szCs w:val="22"/>
        </w:rPr>
        <w:t xml:space="preserve"> on 01/07/</w:t>
      </w:r>
      <w:r w:rsidRPr="009A565F">
        <w:rPr>
          <w:szCs w:val="22"/>
        </w:rPr>
        <w:t>2020),</w:t>
      </w:r>
      <w:r>
        <w:rPr>
          <w:rStyle w:val="EndnoteReference"/>
          <w:szCs w:val="22"/>
        </w:rPr>
        <w:endnoteReference w:id="27"/>
      </w:r>
      <w:r w:rsidRPr="009A565F">
        <w:rPr>
          <w:szCs w:val="22"/>
        </w:rPr>
        <w:t xml:space="preserve"> not the </w:t>
      </w:r>
      <w:r>
        <w:rPr>
          <w:szCs w:val="22"/>
        </w:rPr>
        <w:t xml:space="preserve">more recent and </w:t>
      </w:r>
      <w:r w:rsidRPr="009A565F">
        <w:rPr>
          <w:szCs w:val="22"/>
        </w:rPr>
        <w:t xml:space="preserve">larger </w:t>
      </w:r>
      <w:r w:rsidRPr="00FC50F3">
        <w:rPr>
          <w:szCs w:val="22"/>
        </w:rPr>
        <w:t>Statistics New Zealand</w:t>
      </w:r>
      <w:r w:rsidRPr="009A565F">
        <w:rPr>
          <w:szCs w:val="22"/>
        </w:rPr>
        <w:t xml:space="preserve"> </w:t>
      </w:r>
      <w:r>
        <w:rPr>
          <w:szCs w:val="22"/>
        </w:rPr>
        <w:t xml:space="preserve">(NZ-Stats) </w:t>
      </w:r>
      <w:r w:rsidRPr="009A565F">
        <w:rPr>
          <w:szCs w:val="22"/>
        </w:rPr>
        <w:t>≥12yr population estimates (</w:t>
      </w:r>
      <w:r w:rsidRPr="00FC50F3">
        <w:rPr>
          <w:szCs w:val="22"/>
        </w:rPr>
        <w:t>4,345,230</w:t>
      </w:r>
      <w:r>
        <w:rPr>
          <w:szCs w:val="22"/>
        </w:rPr>
        <w:t xml:space="preserve"> on </w:t>
      </w:r>
      <w:r w:rsidRPr="009A565F">
        <w:rPr>
          <w:szCs w:val="22"/>
        </w:rPr>
        <w:t>31/12/21),</w:t>
      </w:r>
      <w:r>
        <w:rPr>
          <w:rStyle w:val="EndnoteReference"/>
          <w:szCs w:val="22"/>
        </w:rPr>
        <w:endnoteReference w:id="28"/>
      </w:r>
      <w:r w:rsidRPr="009A565F">
        <w:rPr>
          <w:szCs w:val="22"/>
        </w:rPr>
        <w:t xml:space="preserve"> from which the residual unvaccinated population </w:t>
      </w:r>
      <w:r>
        <w:rPr>
          <w:szCs w:val="22"/>
        </w:rPr>
        <w:t xml:space="preserve">total </w:t>
      </w:r>
      <w:r w:rsidRPr="009A565F">
        <w:rPr>
          <w:szCs w:val="22"/>
        </w:rPr>
        <w:t xml:space="preserve">was calculable. </w:t>
      </w:r>
      <w:r>
        <w:rPr>
          <w:szCs w:val="22"/>
        </w:rPr>
        <w:t xml:space="preserve">Which population total one uses for calculating the residual unvaccinated population is critical given the extremely high vaccination rates in New </w:t>
      </w:r>
      <w:r w:rsidR="00F43C99">
        <w:rPr>
          <w:szCs w:val="22"/>
        </w:rPr>
        <w:t>Zealand</w:t>
      </w:r>
      <w:r w:rsidR="00554FE1">
        <w:rPr>
          <w:szCs w:val="22"/>
        </w:rPr>
        <w:t xml:space="preserve">. This issue </w:t>
      </w:r>
      <w:r w:rsidR="00F43C99">
        <w:rPr>
          <w:szCs w:val="22"/>
        </w:rPr>
        <w:t>dominates</w:t>
      </w:r>
      <w:r>
        <w:rPr>
          <w:szCs w:val="22"/>
        </w:rPr>
        <w:t xml:space="preserve"> any discussion on </w:t>
      </w:r>
      <w:r w:rsidR="00F56925">
        <w:rPr>
          <w:szCs w:val="22"/>
        </w:rPr>
        <w:t xml:space="preserve">the </w:t>
      </w:r>
      <w:r>
        <w:rPr>
          <w:szCs w:val="22"/>
        </w:rPr>
        <w:t xml:space="preserve">statistical bias. </w:t>
      </w:r>
      <w:r w:rsidRPr="009A565F">
        <w:rPr>
          <w:szCs w:val="22"/>
        </w:rPr>
        <w:t>Th</w:t>
      </w:r>
      <w:r>
        <w:rPr>
          <w:szCs w:val="22"/>
        </w:rPr>
        <w:t>e MoH’s</w:t>
      </w:r>
      <w:r w:rsidRPr="009A565F">
        <w:rPr>
          <w:szCs w:val="22"/>
        </w:rPr>
        <w:t xml:space="preserve"> </w:t>
      </w:r>
      <w:r>
        <w:rPr>
          <w:szCs w:val="22"/>
        </w:rPr>
        <w:t xml:space="preserve">provision of the HSU </w:t>
      </w:r>
      <w:r w:rsidR="00DD509F">
        <w:rPr>
          <w:szCs w:val="22"/>
        </w:rPr>
        <w:t xml:space="preserve">2020 </w:t>
      </w:r>
      <w:r w:rsidRPr="009A565F">
        <w:rPr>
          <w:szCs w:val="22"/>
        </w:rPr>
        <w:t xml:space="preserve">≥12yr population total </w:t>
      </w:r>
      <w:r>
        <w:rPr>
          <w:szCs w:val="22"/>
        </w:rPr>
        <w:t xml:space="preserve">in its tables </w:t>
      </w:r>
      <w:r w:rsidRPr="00590516">
        <w:rPr>
          <w:szCs w:val="22"/>
        </w:rPr>
        <w:t xml:space="preserve">(“Vaccination uptake by ethnicity”) effectively </w:t>
      </w:r>
      <w:r>
        <w:rPr>
          <w:szCs w:val="22"/>
        </w:rPr>
        <w:t>halved</w:t>
      </w:r>
      <w:r w:rsidRPr="009A565F">
        <w:rPr>
          <w:szCs w:val="22"/>
        </w:rPr>
        <w:t xml:space="preserve"> the residual unvaccinated population</w:t>
      </w:r>
      <w:r w:rsidR="00F43C99">
        <w:rPr>
          <w:szCs w:val="22"/>
        </w:rPr>
        <w:t xml:space="preserve"> compared with NZ Stats. This </w:t>
      </w:r>
      <w:r>
        <w:rPr>
          <w:szCs w:val="22"/>
        </w:rPr>
        <w:t xml:space="preserve">would </w:t>
      </w:r>
      <w:r w:rsidRPr="009A565F">
        <w:rPr>
          <w:szCs w:val="22"/>
        </w:rPr>
        <w:t>doubl</w:t>
      </w:r>
      <w:r>
        <w:rPr>
          <w:szCs w:val="22"/>
        </w:rPr>
        <w:t>e</w:t>
      </w:r>
      <w:r w:rsidRPr="009A565F">
        <w:rPr>
          <w:szCs w:val="22"/>
        </w:rPr>
        <w:t xml:space="preserve"> the </w:t>
      </w:r>
      <w:r>
        <w:rPr>
          <w:szCs w:val="22"/>
        </w:rPr>
        <w:t xml:space="preserve">calculable crude </w:t>
      </w:r>
      <w:r w:rsidRPr="009A565F">
        <w:rPr>
          <w:szCs w:val="22"/>
        </w:rPr>
        <w:t>unvaccinated rates</w:t>
      </w:r>
      <w:r w:rsidR="00F43C99">
        <w:rPr>
          <w:szCs w:val="22"/>
        </w:rPr>
        <w:t xml:space="preserve"> and thus </w:t>
      </w:r>
      <w:r w:rsidR="00F56925">
        <w:rPr>
          <w:b/>
          <w:bCs w:val="0"/>
          <w:szCs w:val="22"/>
        </w:rPr>
        <w:t>essentially</w:t>
      </w:r>
      <w:r w:rsidRPr="009A565F">
        <w:rPr>
          <w:b/>
          <w:bCs w:val="0"/>
          <w:szCs w:val="22"/>
        </w:rPr>
        <w:t xml:space="preserve"> eliminate negative vaccine </w:t>
      </w:r>
      <w:r>
        <w:rPr>
          <w:b/>
          <w:bCs w:val="0"/>
          <w:szCs w:val="22"/>
        </w:rPr>
        <w:t xml:space="preserve">effectiveness </w:t>
      </w:r>
      <w:r w:rsidRPr="00F27A25">
        <w:rPr>
          <w:szCs w:val="22"/>
        </w:rPr>
        <w:t xml:space="preserve">in </w:t>
      </w:r>
      <w:r w:rsidR="00104CFF" w:rsidRPr="00F27A25">
        <w:rPr>
          <w:szCs w:val="22"/>
        </w:rPr>
        <w:t>all,</w:t>
      </w:r>
      <w:r w:rsidRPr="00F27A25">
        <w:rPr>
          <w:szCs w:val="22"/>
        </w:rPr>
        <w:t xml:space="preserve"> </w:t>
      </w:r>
      <w:r>
        <w:rPr>
          <w:szCs w:val="22"/>
        </w:rPr>
        <w:t>but the</w:t>
      </w:r>
      <w:r w:rsidRPr="00F27A25">
        <w:rPr>
          <w:szCs w:val="22"/>
        </w:rPr>
        <w:t xml:space="preserve"> 2-dose</w:t>
      </w:r>
      <w:r>
        <w:rPr>
          <w:szCs w:val="22"/>
        </w:rPr>
        <w:t xml:space="preserve"> vaccinated</w:t>
      </w:r>
      <w:r w:rsidRPr="00F27A25">
        <w:rPr>
          <w:szCs w:val="22"/>
        </w:rPr>
        <w:t xml:space="preserve">. </w:t>
      </w:r>
    </w:p>
    <w:p w14:paraId="62DD4973" w14:textId="2F020790" w:rsidR="00377A70" w:rsidRDefault="00C510DB" w:rsidP="00377A70">
      <w:pPr>
        <w:rPr>
          <w:rFonts w:cs="Times New Roman"/>
          <w:szCs w:val="22"/>
        </w:rPr>
      </w:pPr>
      <w:r>
        <w:rPr>
          <w:szCs w:val="22"/>
        </w:rPr>
        <w:t xml:space="preserve">The average weekly residual unvaccinated population between March 01 and July 04, 2022, was </w:t>
      </w:r>
      <w:r w:rsidRPr="008F03E7">
        <w:rPr>
          <w:szCs w:val="22"/>
        </w:rPr>
        <w:t>288,322</w:t>
      </w:r>
      <w:r>
        <w:rPr>
          <w:szCs w:val="22"/>
        </w:rPr>
        <w:t xml:space="preserve"> derived using the NZ-Stats </w:t>
      </w:r>
      <w:r w:rsidRPr="009A565F">
        <w:rPr>
          <w:szCs w:val="22"/>
        </w:rPr>
        <w:t xml:space="preserve">≥12yr population </w:t>
      </w:r>
      <w:r>
        <w:rPr>
          <w:szCs w:val="22"/>
        </w:rPr>
        <w:t xml:space="preserve">total minus the </w:t>
      </w:r>
      <w:r w:rsidRPr="008F03E7">
        <w:rPr>
          <w:szCs w:val="22"/>
        </w:rPr>
        <w:t>COVID-19 Immunization Register</w:t>
      </w:r>
      <w:r>
        <w:rPr>
          <w:szCs w:val="22"/>
        </w:rPr>
        <w:t xml:space="preserve"> </w:t>
      </w:r>
      <w:r w:rsidR="00D400C4">
        <w:rPr>
          <w:szCs w:val="22"/>
        </w:rPr>
        <w:t xml:space="preserve">(CIR) </w:t>
      </w:r>
      <w:r>
        <w:rPr>
          <w:szCs w:val="22"/>
        </w:rPr>
        <w:t xml:space="preserve">vaccinated total (i.e., NZ-Stats-minus-CIR-all-doses) and </w:t>
      </w:r>
      <w:r w:rsidRPr="008F03E7">
        <w:rPr>
          <w:szCs w:val="22"/>
        </w:rPr>
        <w:t>152,149</w:t>
      </w:r>
      <w:r>
        <w:rPr>
          <w:szCs w:val="22"/>
        </w:rPr>
        <w:t xml:space="preserve"> using the HSU </w:t>
      </w:r>
      <w:r w:rsidRPr="009A565F">
        <w:rPr>
          <w:szCs w:val="22"/>
        </w:rPr>
        <w:t>≥12yr population</w:t>
      </w:r>
      <w:r>
        <w:rPr>
          <w:szCs w:val="22"/>
        </w:rPr>
        <w:t xml:space="preserve"> total minus the </w:t>
      </w:r>
      <w:r w:rsidR="00D400C4">
        <w:rPr>
          <w:szCs w:val="22"/>
        </w:rPr>
        <w:t>CIR</w:t>
      </w:r>
      <w:r>
        <w:rPr>
          <w:szCs w:val="22"/>
        </w:rPr>
        <w:t xml:space="preserve"> vaccinated total (i.e., HSU-minus-CIR-all-doses). During </w:t>
      </w:r>
      <w:r w:rsidR="00D400C4">
        <w:rPr>
          <w:szCs w:val="22"/>
        </w:rPr>
        <w:t>t</w:t>
      </w:r>
      <w:r>
        <w:rPr>
          <w:szCs w:val="22"/>
        </w:rPr>
        <w:t xml:space="preserve">he </w:t>
      </w:r>
      <w:r w:rsidR="00D400C4">
        <w:rPr>
          <w:szCs w:val="22"/>
        </w:rPr>
        <w:t xml:space="preserve">brunt of the </w:t>
      </w:r>
      <w:r>
        <w:rPr>
          <w:szCs w:val="22"/>
        </w:rPr>
        <w:t>Omicron wave</w:t>
      </w:r>
      <w:r w:rsidR="001E1E69">
        <w:rPr>
          <w:szCs w:val="22"/>
        </w:rPr>
        <w:t xml:space="preserve"> </w:t>
      </w:r>
      <w:r w:rsidR="001E1E69">
        <w:rPr>
          <w:szCs w:val="22"/>
        </w:rPr>
        <w:lastRenderedPageBreak/>
        <w:t>and study period</w:t>
      </w:r>
      <w:r w:rsidR="0026357C">
        <w:rPr>
          <w:szCs w:val="22"/>
        </w:rPr>
        <w:t>,</w:t>
      </w:r>
      <w:r>
        <w:rPr>
          <w:szCs w:val="22"/>
        </w:rPr>
        <w:t xml:space="preserve"> there were </w:t>
      </w:r>
      <w:r w:rsidRPr="00F27A25">
        <w:rPr>
          <w:szCs w:val="22"/>
        </w:rPr>
        <w:t>45,309</w:t>
      </w:r>
      <w:r>
        <w:rPr>
          <w:szCs w:val="22"/>
        </w:rPr>
        <w:t xml:space="preserve"> cumulative n</w:t>
      </w:r>
      <w:r w:rsidRPr="00F27A25">
        <w:rPr>
          <w:szCs w:val="22"/>
        </w:rPr>
        <w:t xml:space="preserve">ew </w:t>
      </w:r>
      <w:r w:rsidR="00AC2C6D">
        <w:rPr>
          <w:szCs w:val="22"/>
        </w:rPr>
        <w:t xml:space="preserve">COVID-19 </w:t>
      </w:r>
      <w:r w:rsidRPr="00F27A25">
        <w:rPr>
          <w:szCs w:val="22"/>
        </w:rPr>
        <w:t xml:space="preserve">infections </w:t>
      </w:r>
      <w:r>
        <w:rPr>
          <w:szCs w:val="22"/>
        </w:rPr>
        <w:t xml:space="preserve">in the </w:t>
      </w:r>
      <w:r w:rsidRPr="00F27A25">
        <w:rPr>
          <w:szCs w:val="22"/>
        </w:rPr>
        <w:t xml:space="preserve">≥12yr </w:t>
      </w:r>
      <w:r>
        <w:rPr>
          <w:szCs w:val="22"/>
        </w:rPr>
        <w:t xml:space="preserve">unvaccinated </w:t>
      </w:r>
      <w:r w:rsidRPr="00F27A25">
        <w:rPr>
          <w:szCs w:val="22"/>
        </w:rPr>
        <w:t>population</w:t>
      </w:r>
      <w:r>
        <w:rPr>
          <w:szCs w:val="22"/>
        </w:rPr>
        <w:t xml:space="preserve"> yielding an unvaccinated cumulative rate per 100,000 of 15,715 (NZ-Stats-minus-CIR-all-doses) and 29,779 (HSU-minus-CIR-all-doses). </w:t>
      </w:r>
      <w:r w:rsidR="00554FE1">
        <w:rPr>
          <w:szCs w:val="22"/>
        </w:rPr>
        <w:t xml:space="preserve">As such, </w:t>
      </w:r>
      <w:r>
        <w:rPr>
          <w:szCs w:val="22"/>
        </w:rPr>
        <w:t xml:space="preserve">the crude unvaccinated cumulative rate </w:t>
      </w:r>
      <w:r w:rsidR="00554FE1">
        <w:rPr>
          <w:szCs w:val="22"/>
        </w:rPr>
        <w:t xml:space="preserve">was increased </w:t>
      </w:r>
      <w:r>
        <w:rPr>
          <w:szCs w:val="22"/>
        </w:rPr>
        <w:t xml:space="preserve">by a </w:t>
      </w:r>
      <w:r w:rsidRPr="004B0FC5">
        <w:rPr>
          <w:b/>
          <w:bCs w:val="0"/>
          <w:szCs w:val="22"/>
        </w:rPr>
        <w:t>factor of 1.9</w:t>
      </w:r>
      <w:r>
        <w:rPr>
          <w:szCs w:val="22"/>
        </w:rPr>
        <w:t xml:space="preserve"> over the rates derived using the NZ-Stats population</w:t>
      </w:r>
      <w:r w:rsidR="00AC2C6D">
        <w:rPr>
          <w:szCs w:val="22"/>
        </w:rPr>
        <w:t>. The 1-, 2-, and 3-dose cumulative infection rates were 23,026, 31,937, and 24,323</w:t>
      </w:r>
      <w:r w:rsidR="00AC2C6D" w:rsidRPr="00AD775D">
        <w:rPr>
          <w:szCs w:val="22"/>
        </w:rPr>
        <w:t xml:space="preserve"> </w:t>
      </w:r>
      <w:r w:rsidR="00AC2C6D">
        <w:rPr>
          <w:szCs w:val="22"/>
        </w:rPr>
        <w:t xml:space="preserve">per 100,000, respectively. </w:t>
      </w:r>
      <w:r w:rsidR="000E6810">
        <w:rPr>
          <w:szCs w:val="22"/>
        </w:rPr>
        <w:t xml:space="preserve"> </w:t>
      </w:r>
      <w:r w:rsidR="00AC2C6D">
        <w:rPr>
          <w:szCs w:val="22"/>
        </w:rPr>
        <w:t xml:space="preserve">The </w:t>
      </w:r>
      <w:r>
        <w:rPr>
          <w:szCs w:val="22"/>
        </w:rPr>
        <w:t>cumulative rate ratio</w:t>
      </w:r>
      <w:r w:rsidR="00BA71C8">
        <w:rPr>
          <w:szCs w:val="22"/>
        </w:rPr>
        <w:t>s</w:t>
      </w:r>
      <w:r>
        <w:rPr>
          <w:szCs w:val="22"/>
        </w:rPr>
        <w:t xml:space="preserve"> for the 1-dose </w:t>
      </w:r>
      <w:r w:rsidR="00AC2C6D">
        <w:rPr>
          <w:szCs w:val="22"/>
        </w:rPr>
        <w:t xml:space="preserve">were </w:t>
      </w:r>
      <w:r>
        <w:rPr>
          <w:szCs w:val="22"/>
        </w:rPr>
        <w:t>0.8x (NZ-Stats 1.5x), 2-dose</w:t>
      </w:r>
      <w:r w:rsidR="00554FE1">
        <w:rPr>
          <w:szCs w:val="22"/>
        </w:rPr>
        <w:t>s</w:t>
      </w:r>
      <w:r>
        <w:rPr>
          <w:szCs w:val="22"/>
        </w:rPr>
        <w:t xml:space="preserve"> 1.1x (NZ-Stats 2.0x), </w:t>
      </w:r>
      <w:r w:rsidR="00554FE1">
        <w:rPr>
          <w:szCs w:val="22"/>
        </w:rPr>
        <w:t xml:space="preserve">and </w:t>
      </w:r>
      <w:r>
        <w:rPr>
          <w:szCs w:val="22"/>
        </w:rPr>
        <w:t>3-dose</w:t>
      </w:r>
      <w:r w:rsidR="00554FE1">
        <w:rPr>
          <w:szCs w:val="22"/>
        </w:rPr>
        <w:t>s</w:t>
      </w:r>
      <w:r>
        <w:rPr>
          <w:szCs w:val="22"/>
        </w:rPr>
        <w:t xml:space="preserve"> 0.8x (NZ-Stats 1.5x). </w:t>
      </w:r>
      <w:r w:rsidR="000E6810">
        <w:rPr>
          <w:szCs w:val="22"/>
        </w:rPr>
        <w:t xml:space="preserve">I concluded that </w:t>
      </w:r>
      <w:r w:rsidR="00104CFF">
        <w:rPr>
          <w:szCs w:val="22"/>
        </w:rPr>
        <w:t xml:space="preserve">provision of </w:t>
      </w:r>
      <w:r w:rsidR="000E6810">
        <w:rPr>
          <w:szCs w:val="22"/>
        </w:rPr>
        <w:t>HSU2020</w:t>
      </w:r>
      <w:r>
        <w:rPr>
          <w:szCs w:val="22"/>
        </w:rPr>
        <w:t xml:space="preserve"> </w:t>
      </w:r>
      <w:r w:rsidRPr="00EC28D8">
        <w:rPr>
          <w:szCs w:val="22"/>
        </w:rPr>
        <w:t>eliminate</w:t>
      </w:r>
      <w:r w:rsidR="00BA71C8">
        <w:rPr>
          <w:szCs w:val="22"/>
        </w:rPr>
        <w:t>d</w:t>
      </w:r>
      <w:r w:rsidRPr="00EC28D8">
        <w:rPr>
          <w:szCs w:val="22"/>
        </w:rPr>
        <w:t xml:space="preserve"> </w:t>
      </w:r>
      <w:r>
        <w:rPr>
          <w:szCs w:val="22"/>
        </w:rPr>
        <w:t xml:space="preserve">the </w:t>
      </w:r>
      <w:r w:rsidRPr="00EC28D8">
        <w:rPr>
          <w:szCs w:val="22"/>
        </w:rPr>
        <w:t xml:space="preserve">negative vaccine </w:t>
      </w:r>
      <w:r>
        <w:rPr>
          <w:szCs w:val="22"/>
        </w:rPr>
        <w:t xml:space="preserve">effectiveness </w:t>
      </w:r>
      <w:r w:rsidR="00BA71C8">
        <w:rPr>
          <w:szCs w:val="22"/>
        </w:rPr>
        <w:t>in need of</w:t>
      </w:r>
      <w:r>
        <w:rPr>
          <w:szCs w:val="22"/>
        </w:rPr>
        <w:t xml:space="preserve"> </w:t>
      </w:r>
      <w:r w:rsidRPr="00EC28D8">
        <w:rPr>
          <w:b/>
          <w:bCs w:val="0"/>
          <w:szCs w:val="22"/>
        </w:rPr>
        <w:t xml:space="preserve">urgent </w:t>
      </w:r>
      <w:r>
        <w:rPr>
          <w:b/>
          <w:bCs w:val="0"/>
          <w:szCs w:val="22"/>
        </w:rPr>
        <w:t xml:space="preserve">MoH </w:t>
      </w:r>
      <w:r w:rsidRPr="006A313D">
        <w:rPr>
          <w:b/>
          <w:bCs w:val="0"/>
          <w:szCs w:val="22"/>
        </w:rPr>
        <w:t>investigation</w:t>
      </w:r>
      <w:r w:rsidR="00AC2C6D">
        <w:rPr>
          <w:szCs w:val="22"/>
        </w:rPr>
        <w:t xml:space="preserve">. This </w:t>
      </w:r>
      <w:r w:rsidR="000E6810">
        <w:rPr>
          <w:szCs w:val="22"/>
        </w:rPr>
        <w:t>helps</w:t>
      </w:r>
      <w:r w:rsidR="00BA71C8">
        <w:rPr>
          <w:szCs w:val="22"/>
        </w:rPr>
        <w:t xml:space="preserve"> explain why</w:t>
      </w:r>
      <w:r w:rsidR="00870B13">
        <w:rPr>
          <w:szCs w:val="22"/>
        </w:rPr>
        <w:t xml:space="preserve"> </w:t>
      </w:r>
      <w:r w:rsidR="00BA71C8">
        <w:rPr>
          <w:szCs w:val="22"/>
        </w:rPr>
        <w:t>the</w:t>
      </w:r>
      <w:r w:rsidR="00870B13" w:rsidRPr="00870B13">
        <w:rPr>
          <w:szCs w:val="22"/>
        </w:rPr>
        <w:t xml:space="preserve"> National Immunization Programme </w:t>
      </w:r>
      <w:r w:rsidR="00BA71C8">
        <w:rPr>
          <w:szCs w:val="22"/>
        </w:rPr>
        <w:t xml:space="preserve">website shows </w:t>
      </w:r>
      <w:r w:rsidR="00870B13" w:rsidRPr="00377A70">
        <w:rPr>
          <w:b/>
          <w:bCs w:val="0"/>
          <w:szCs w:val="22"/>
        </w:rPr>
        <w:t xml:space="preserve">no funding </w:t>
      </w:r>
      <w:r w:rsidR="00BA71C8">
        <w:rPr>
          <w:b/>
          <w:bCs w:val="0"/>
          <w:szCs w:val="22"/>
        </w:rPr>
        <w:t>has been</w:t>
      </w:r>
      <w:r w:rsidR="00DF2AF0">
        <w:rPr>
          <w:b/>
          <w:bCs w:val="0"/>
          <w:szCs w:val="22"/>
        </w:rPr>
        <w:t xml:space="preserve"> </w:t>
      </w:r>
      <w:r w:rsidR="00870B13" w:rsidRPr="00377A70">
        <w:rPr>
          <w:b/>
          <w:bCs w:val="0"/>
          <w:szCs w:val="22"/>
        </w:rPr>
        <w:t>awarded</w:t>
      </w:r>
      <w:r w:rsidR="00870B13">
        <w:rPr>
          <w:szCs w:val="22"/>
        </w:rPr>
        <w:t xml:space="preserve"> to investigate </w:t>
      </w:r>
      <w:r w:rsidR="009A5CF5">
        <w:rPr>
          <w:szCs w:val="22"/>
        </w:rPr>
        <w:t xml:space="preserve">the </w:t>
      </w:r>
      <w:r w:rsidR="00287DD9">
        <w:rPr>
          <w:szCs w:val="22"/>
        </w:rPr>
        <w:t xml:space="preserve">predictable </w:t>
      </w:r>
      <w:r w:rsidR="00870B13">
        <w:rPr>
          <w:szCs w:val="22"/>
        </w:rPr>
        <w:t>antibody-dependent enhancement of virus infection</w:t>
      </w:r>
      <w:r w:rsidR="00026C69">
        <w:rPr>
          <w:szCs w:val="22"/>
        </w:rPr>
        <w:t xml:space="preserve">, vaccine-associated enhanced disease, </w:t>
      </w:r>
      <w:r w:rsidR="003B4B01">
        <w:rPr>
          <w:szCs w:val="22"/>
        </w:rPr>
        <w:t>or</w:t>
      </w:r>
      <w:r w:rsidR="00026C69">
        <w:rPr>
          <w:szCs w:val="22"/>
        </w:rPr>
        <w:t xml:space="preserve"> antigenic imprinting</w:t>
      </w:r>
      <w:r w:rsidR="0026357C">
        <w:rPr>
          <w:szCs w:val="22"/>
        </w:rPr>
        <w:t xml:space="preserve"> in New Zealand</w:t>
      </w:r>
      <w:r w:rsidR="000E6810">
        <w:rPr>
          <w:szCs w:val="22"/>
        </w:rPr>
        <w:t xml:space="preserve"> thus far</w:t>
      </w:r>
      <w:r w:rsidR="003471AC">
        <w:rPr>
          <w:szCs w:val="22"/>
        </w:rPr>
        <w:t>.</w:t>
      </w:r>
      <w:r w:rsidR="006A313D">
        <w:rPr>
          <w:rStyle w:val="EndnoteReference"/>
          <w:szCs w:val="22"/>
        </w:rPr>
        <w:endnoteReference w:id="29"/>
      </w:r>
    </w:p>
    <w:p w14:paraId="64477215" w14:textId="492E5023" w:rsidR="003C008C" w:rsidRPr="003C008C" w:rsidRDefault="00C510DB" w:rsidP="00B40B24">
      <w:pPr>
        <w:rPr>
          <w:szCs w:val="22"/>
        </w:rPr>
      </w:pPr>
      <w:r w:rsidRPr="003C008C">
        <w:rPr>
          <w:szCs w:val="22"/>
        </w:rPr>
        <w:t xml:space="preserve">Of </w:t>
      </w:r>
      <w:r w:rsidR="00AC2C6D">
        <w:rPr>
          <w:b/>
          <w:bCs w:val="0"/>
          <w:szCs w:val="22"/>
        </w:rPr>
        <w:t xml:space="preserve">great </w:t>
      </w:r>
      <w:r w:rsidR="00AC2C6D" w:rsidRPr="003C008C">
        <w:rPr>
          <w:b/>
          <w:bCs w:val="0"/>
          <w:szCs w:val="22"/>
        </w:rPr>
        <w:t>concern</w:t>
      </w:r>
      <w:r w:rsidRPr="003C008C">
        <w:rPr>
          <w:szCs w:val="22"/>
        </w:rPr>
        <w:t xml:space="preserve"> with regards </w:t>
      </w:r>
      <w:r w:rsidR="00B40B24" w:rsidRPr="003C008C">
        <w:rPr>
          <w:szCs w:val="22"/>
        </w:rPr>
        <w:t xml:space="preserve">to </w:t>
      </w:r>
      <w:r w:rsidRPr="003C008C">
        <w:rPr>
          <w:szCs w:val="22"/>
        </w:rPr>
        <w:t xml:space="preserve">denominator bias </w:t>
      </w:r>
      <w:r w:rsidR="00B40B24" w:rsidRPr="003C008C">
        <w:rPr>
          <w:szCs w:val="22"/>
        </w:rPr>
        <w:t>in</w:t>
      </w:r>
      <w:r w:rsidRPr="003C008C">
        <w:rPr>
          <w:szCs w:val="22"/>
        </w:rPr>
        <w:t xml:space="preserve"> calculable COVID-19 rates was that between August 04</w:t>
      </w:r>
      <w:r w:rsidRPr="003C008C">
        <w:rPr>
          <w:rStyle w:val="EndnoteReference"/>
          <w:szCs w:val="22"/>
        </w:rPr>
        <w:endnoteReference w:id="30"/>
      </w:r>
      <w:r w:rsidRPr="003C008C">
        <w:rPr>
          <w:szCs w:val="22"/>
        </w:rPr>
        <w:t xml:space="preserve"> and </w:t>
      </w:r>
      <w:r w:rsidR="00D35777" w:rsidRPr="003C008C">
        <w:rPr>
          <w:szCs w:val="22"/>
        </w:rPr>
        <w:t xml:space="preserve">11.59 pm </w:t>
      </w:r>
      <w:r w:rsidRPr="003C008C">
        <w:rPr>
          <w:szCs w:val="22"/>
        </w:rPr>
        <w:t>August 08</w:t>
      </w:r>
      <w:r w:rsidR="00D35777" w:rsidRPr="003C008C">
        <w:rPr>
          <w:szCs w:val="22"/>
        </w:rPr>
        <w:t>, 2022</w:t>
      </w:r>
      <w:r w:rsidR="00DF2AF0" w:rsidRPr="003C008C">
        <w:rPr>
          <w:szCs w:val="22"/>
        </w:rPr>
        <w:t>,</w:t>
      </w:r>
      <w:r w:rsidRPr="003C008C">
        <w:rPr>
          <w:szCs w:val="22"/>
        </w:rPr>
        <w:t xml:space="preserve"> the MoH switched </w:t>
      </w:r>
      <w:r w:rsidR="00D35777" w:rsidRPr="003C008C">
        <w:rPr>
          <w:szCs w:val="22"/>
        </w:rPr>
        <w:t xml:space="preserve">from HSU2020 </w:t>
      </w:r>
      <w:r w:rsidRPr="003C008C">
        <w:rPr>
          <w:szCs w:val="22"/>
        </w:rPr>
        <w:t>to HSU2021,</w:t>
      </w:r>
      <w:r w:rsidRPr="003C008C">
        <w:rPr>
          <w:rStyle w:val="EndnoteReference"/>
          <w:szCs w:val="22"/>
        </w:rPr>
        <w:endnoteReference w:id="31"/>
      </w:r>
      <w:r w:rsidRPr="003C008C">
        <w:rPr>
          <w:szCs w:val="22"/>
        </w:rPr>
        <w:t xml:space="preserve"> </w:t>
      </w:r>
      <w:r w:rsidR="00B40B24" w:rsidRPr="003C008C">
        <w:rPr>
          <w:szCs w:val="22"/>
        </w:rPr>
        <w:t>resulting in its</w:t>
      </w:r>
      <w:r w:rsidRPr="003C008C">
        <w:rPr>
          <w:szCs w:val="22"/>
        </w:rPr>
        <w:t xml:space="preserve"> 12+ population total increas</w:t>
      </w:r>
      <w:r w:rsidR="00B40B24" w:rsidRPr="003C008C">
        <w:rPr>
          <w:szCs w:val="22"/>
        </w:rPr>
        <w:t>ing</w:t>
      </w:r>
      <w:r w:rsidRPr="003C008C">
        <w:rPr>
          <w:szCs w:val="22"/>
        </w:rPr>
        <w:t xml:space="preserve"> from 4,209,057 to 4,452,797 </w:t>
      </w:r>
      <w:r w:rsidRPr="003C008C">
        <w:rPr>
          <w:b/>
          <w:bCs w:val="0"/>
          <w:szCs w:val="22"/>
        </w:rPr>
        <w:t>(+243,740 people)</w:t>
      </w:r>
      <w:r w:rsidRPr="003C008C">
        <w:rPr>
          <w:szCs w:val="22"/>
        </w:rPr>
        <w:t xml:space="preserve">, which then exceeded the NZ-Stats 2021 12+ population by 107,567 people. </w:t>
      </w:r>
      <w:r w:rsidR="00AC2C6D">
        <w:rPr>
          <w:szCs w:val="22"/>
        </w:rPr>
        <w:t>B</w:t>
      </w:r>
      <w:r w:rsidR="00B40B24" w:rsidRPr="003C008C">
        <w:rPr>
          <w:szCs w:val="22"/>
        </w:rPr>
        <w:t xml:space="preserve">y recalculating COVID-19 case rates using both HSU2020 and 2021 populations </w:t>
      </w:r>
      <w:r w:rsidR="00C9536C" w:rsidRPr="003C008C">
        <w:rPr>
          <w:szCs w:val="22"/>
        </w:rPr>
        <w:t xml:space="preserve">between </w:t>
      </w:r>
      <w:r w:rsidR="00B40B24" w:rsidRPr="003C008C">
        <w:rPr>
          <w:szCs w:val="22"/>
        </w:rPr>
        <w:t>01/03/2022</w:t>
      </w:r>
      <w:r w:rsidR="00C9536C" w:rsidRPr="003C008C">
        <w:rPr>
          <w:szCs w:val="22"/>
        </w:rPr>
        <w:t xml:space="preserve"> and </w:t>
      </w:r>
      <w:r w:rsidR="00B40B24" w:rsidRPr="003C008C">
        <w:rPr>
          <w:szCs w:val="22"/>
        </w:rPr>
        <w:t>04/07/2022</w:t>
      </w:r>
      <w:r w:rsidR="00C9536C" w:rsidRPr="003C008C">
        <w:rPr>
          <w:szCs w:val="22"/>
        </w:rPr>
        <w:t xml:space="preserve"> (i.e., </w:t>
      </w:r>
      <w:r w:rsidR="003C008C" w:rsidRPr="003C008C">
        <w:rPr>
          <w:szCs w:val="22"/>
        </w:rPr>
        <w:t>my main</w:t>
      </w:r>
      <w:r w:rsidR="00C9536C" w:rsidRPr="003C008C">
        <w:rPr>
          <w:szCs w:val="22"/>
        </w:rPr>
        <w:t xml:space="preserve"> study period</w:t>
      </w:r>
      <w:r w:rsidR="00B40B24" w:rsidRPr="003C008C">
        <w:rPr>
          <w:szCs w:val="22"/>
        </w:rPr>
        <w:t xml:space="preserve">), the crude unvaccinated cumulative </w:t>
      </w:r>
      <w:r w:rsidR="00521BAF" w:rsidRPr="003C008C">
        <w:rPr>
          <w:szCs w:val="22"/>
        </w:rPr>
        <w:t xml:space="preserve">infection and hospitalization </w:t>
      </w:r>
      <w:r w:rsidR="00B40B24" w:rsidRPr="003C008C">
        <w:rPr>
          <w:szCs w:val="22"/>
        </w:rPr>
        <w:t>rate</w:t>
      </w:r>
      <w:r w:rsidR="00521BAF" w:rsidRPr="003C008C">
        <w:rPr>
          <w:szCs w:val="22"/>
        </w:rPr>
        <w:t>s</w:t>
      </w:r>
      <w:r w:rsidR="00B40B24" w:rsidRPr="003C008C">
        <w:rPr>
          <w:szCs w:val="22"/>
        </w:rPr>
        <w:t xml:space="preserve"> </w:t>
      </w:r>
      <w:r w:rsidR="00521BAF" w:rsidRPr="003C008C">
        <w:rPr>
          <w:szCs w:val="22"/>
        </w:rPr>
        <w:t>were</w:t>
      </w:r>
      <w:r w:rsidR="00B40B24" w:rsidRPr="003C008C">
        <w:rPr>
          <w:szCs w:val="22"/>
        </w:rPr>
        <w:t xml:space="preserve"> </w:t>
      </w:r>
      <w:r w:rsidR="00B40B24" w:rsidRPr="003C008C">
        <w:rPr>
          <w:b/>
          <w:bCs w:val="0"/>
          <w:szCs w:val="22"/>
        </w:rPr>
        <w:t>2.6 times greater</w:t>
      </w:r>
      <w:r w:rsidR="00B40B24" w:rsidRPr="003C008C">
        <w:rPr>
          <w:szCs w:val="22"/>
        </w:rPr>
        <w:t xml:space="preserve"> using HSU2020 than HSU202</w:t>
      </w:r>
      <w:r w:rsidR="00521BAF" w:rsidRPr="003C008C">
        <w:rPr>
          <w:szCs w:val="22"/>
        </w:rPr>
        <w:t xml:space="preserve">1. </w:t>
      </w:r>
      <w:r w:rsidR="003C008C" w:rsidRPr="003C008C">
        <w:rPr>
          <w:szCs w:val="22"/>
        </w:rPr>
        <w:t>By using HSU2020,</w:t>
      </w:r>
      <w:r w:rsidR="00521BAF" w:rsidRPr="003C008C">
        <w:rPr>
          <w:szCs w:val="22"/>
        </w:rPr>
        <w:t xml:space="preserve"> the negative vaccine effectiveness for COVID-19 infection and hospitalization</w:t>
      </w:r>
      <w:r w:rsidR="003C008C" w:rsidRPr="003C008C">
        <w:rPr>
          <w:szCs w:val="22"/>
        </w:rPr>
        <w:t>s were</w:t>
      </w:r>
      <w:r w:rsidR="00521BAF" w:rsidRPr="003C008C">
        <w:rPr>
          <w:szCs w:val="22"/>
        </w:rPr>
        <w:t xml:space="preserve"> </w:t>
      </w:r>
      <w:r w:rsidR="00521BAF" w:rsidRPr="003C008C">
        <w:rPr>
          <w:b/>
          <w:bCs w:val="0"/>
          <w:szCs w:val="22"/>
        </w:rPr>
        <w:t>essentially eliminated</w:t>
      </w:r>
      <w:r w:rsidR="00521BAF" w:rsidRPr="003C008C">
        <w:rPr>
          <w:szCs w:val="22"/>
        </w:rPr>
        <w:t xml:space="preserve"> </w:t>
      </w:r>
      <w:r w:rsidR="00B40B24" w:rsidRPr="003C008C">
        <w:rPr>
          <w:szCs w:val="22"/>
        </w:rPr>
        <w:t>in all but the 2-dose infection group</w:t>
      </w:r>
      <w:r w:rsidR="00521BAF" w:rsidRPr="003C008C">
        <w:rPr>
          <w:szCs w:val="22"/>
        </w:rPr>
        <w:t xml:space="preserve">. Whereas </w:t>
      </w:r>
      <w:r w:rsidR="00B40B24" w:rsidRPr="003C008C">
        <w:rPr>
          <w:b/>
          <w:bCs w:val="0"/>
          <w:szCs w:val="22"/>
        </w:rPr>
        <w:t>pronounced negative vaccine effectiveness</w:t>
      </w:r>
      <w:r w:rsidR="00B40B24" w:rsidRPr="003C008C">
        <w:rPr>
          <w:szCs w:val="22"/>
        </w:rPr>
        <w:t xml:space="preserve"> </w:t>
      </w:r>
      <w:r w:rsidR="00521BAF" w:rsidRPr="003C008C">
        <w:rPr>
          <w:szCs w:val="22"/>
        </w:rPr>
        <w:t xml:space="preserve">was evident </w:t>
      </w:r>
      <w:r w:rsidR="00C9536C" w:rsidRPr="003C008C">
        <w:rPr>
          <w:szCs w:val="22"/>
        </w:rPr>
        <w:t>f</w:t>
      </w:r>
      <w:r w:rsidR="00B40B24" w:rsidRPr="003C008C">
        <w:rPr>
          <w:szCs w:val="22"/>
        </w:rPr>
        <w:t xml:space="preserve">or COVID-19 infections and hospitalizations in </w:t>
      </w:r>
      <w:r w:rsidR="00B40B24" w:rsidRPr="00104CFF">
        <w:rPr>
          <w:b/>
          <w:bCs w:val="0"/>
          <w:szCs w:val="22"/>
        </w:rPr>
        <w:t>all doses</w:t>
      </w:r>
      <w:r w:rsidR="00B40B24" w:rsidRPr="003C008C">
        <w:rPr>
          <w:szCs w:val="22"/>
        </w:rPr>
        <w:t xml:space="preserve"> except the 3-dose hospitalization group</w:t>
      </w:r>
      <w:r w:rsidR="00E310F7">
        <w:rPr>
          <w:szCs w:val="22"/>
        </w:rPr>
        <w:t xml:space="preserve"> using HSU2021</w:t>
      </w:r>
      <w:r w:rsidR="00B40B24" w:rsidRPr="003C008C">
        <w:rPr>
          <w:szCs w:val="22"/>
        </w:rPr>
        <w:t xml:space="preserve">. </w:t>
      </w:r>
      <w:r w:rsidR="00287DD9">
        <w:rPr>
          <w:szCs w:val="22"/>
        </w:rPr>
        <w:t>What a difference a few months makes.</w:t>
      </w:r>
    </w:p>
    <w:p w14:paraId="12E844F0" w14:textId="6B905858" w:rsidR="00B40B24" w:rsidRPr="00521BAF" w:rsidRDefault="00B40B24" w:rsidP="00B9701B">
      <w:pPr>
        <w:rPr>
          <w:szCs w:val="22"/>
        </w:rPr>
      </w:pPr>
      <w:r w:rsidRPr="00521BAF">
        <w:rPr>
          <w:szCs w:val="22"/>
        </w:rPr>
        <w:t xml:space="preserve">The COVID-19 infection rate ratios for the 1-, 2-, and 3-dose vaccinated were 0.8x (2.0x), 1.1x (2.8x), and 0.8x (2.1x) respectively using HSU2020 (no brackets) versus HSU2021 (in brackets). The COVID-19 hospitalization rate ratios </w:t>
      </w:r>
      <w:r w:rsidR="00287DD9">
        <w:rPr>
          <w:szCs w:val="22"/>
        </w:rPr>
        <w:t xml:space="preserve">(RR) </w:t>
      </w:r>
      <w:r w:rsidRPr="00521BAF">
        <w:rPr>
          <w:szCs w:val="22"/>
        </w:rPr>
        <w:t xml:space="preserve">for the 1-, 2-, and 3-dose vaccinated were 0.6x (1.6x), 0.4x (1.1x), and 0.3x (0.7x) respectively using HSU2020 (no brackets) versus HSU2021 (in brackets). </w:t>
      </w:r>
      <w:r w:rsidR="00287DD9">
        <w:rPr>
          <w:szCs w:val="22"/>
        </w:rPr>
        <w:t>An RR &gt; 1.0 indicates negative vaccine effectiveness</w:t>
      </w:r>
      <w:r w:rsidR="002F440E">
        <w:rPr>
          <w:szCs w:val="22"/>
        </w:rPr>
        <w:t>, along with other measures (i.e., a -ARR and Chi-Square observed-v-expected proportion differences)</w:t>
      </w:r>
      <w:r w:rsidR="00287DD9">
        <w:rPr>
          <w:szCs w:val="22"/>
        </w:rPr>
        <w:t xml:space="preserve">. </w:t>
      </w:r>
      <w:r w:rsidRPr="00521BAF">
        <w:rPr>
          <w:szCs w:val="22"/>
        </w:rPr>
        <w:t>Th</w:t>
      </w:r>
      <w:r w:rsidR="002F440E">
        <w:rPr>
          <w:szCs w:val="22"/>
        </w:rPr>
        <w:t xml:space="preserve">ese rate ratios </w:t>
      </w:r>
      <w:r w:rsidRPr="00521BAF">
        <w:rPr>
          <w:szCs w:val="22"/>
        </w:rPr>
        <w:t xml:space="preserve">corresponded with 11,581, 20,492, and 12,878 </w:t>
      </w:r>
      <w:r w:rsidRPr="0036798D">
        <w:rPr>
          <w:b/>
          <w:bCs w:val="0"/>
          <w:szCs w:val="22"/>
        </w:rPr>
        <w:t>more</w:t>
      </w:r>
      <w:r w:rsidRPr="00521BAF">
        <w:rPr>
          <w:szCs w:val="22"/>
        </w:rPr>
        <w:t xml:space="preserve"> COVID-19 infections </w:t>
      </w:r>
      <w:r w:rsidR="00B9701B" w:rsidRPr="00521BAF">
        <w:rPr>
          <w:szCs w:val="22"/>
        </w:rPr>
        <w:t xml:space="preserve">in the 1-, 2-, and 3-dose vaccinated, respectively, </w:t>
      </w:r>
      <w:r w:rsidR="00B9701B">
        <w:rPr>
          <w:szCs w:val="22"/>
        </w:rPr>
        <w:t xml:space="preserve">and </w:t>
      </w:r>
      <w:r w:rsidR="00B9701B" w:rsidRPr="00B9701B">
        <w:rPr>
          <w:szCs w:val="22"/>
        </w:rPr>
        <w:t>195</w:t>
      </w:r>
      <w:r w:rsidR="00B9701B">
        <w:rPr>
          <w:szCs w:val="22"/>
        </w:rPr>
        <w:t xml:space="preserve"> and </w:t>
      </w:r>
      <w:r w:rsidR="00B9701B" w:rsidRPr="00B9701B">
        <w:rPr>
          <w:szCs w:val="22"/>
        </w:rPr>
        <w:t>23</w:t>
      </w:r>
      <w:r w:rsidR="00B9701B">
        <w:rPr>
          <w:szCs w:val="22"/>
        </w:rPr>
        <w:t xml:space="preserve"> more hospitalizations in the 1- and 2-dose vaccinated, and </w:t>
      </w:r>
      <w:r w:rsidR="00B9701B" w:rsidRPr="00B9701B">
        <w:rPr>
          <w:szCs w:val="22"/>
        </w:rPr>
        <w:t xml:space="preserve">110 </w:t>
      </w:r>
      <w:r w:rsidR="00B9701B">
        <w:rPr>
          <w:szCs w:val="22"/>
        </w:rPr>
        <w:t>fewer</w:t>
      </w:r>
      <w:r w:rsidR="001E1E69">
        <w:rPr>
          <w:szCs w:val="22"/>
        </w:rPr>
        <w:t xml:space="preserve"> </w:t>
      </w:r>
      <w:r w:rsidR="001E1E69" w:rsidRPr="00521BAF">
        <w:rPr>
          <w:szCs w:val="22"/>
        </w:rPr>
        <w:t xml:space="preserve">COVID-19 </w:t>
      </w:r>
      <w:r w:rsidR="001E1E69">
        <w:rPr>
          <w:szCs w:val="22"/>
        </w:rPr>
        <w:t>hospitalizations</w:t>
      </w:r>
      <w:r w:rsidR="00B9701B">
        <w:rPr>
          <w:szCs w:val="22"/>
        </w:rPr>
        <w:t xml:space="preserve"> in the 3-dose vaccinated</w:t>
      </w:r>
      <w:r w:rsidR="008E4F74">
        <w:rPr>
          <w:szCs w:val="22"/>
        </w:rPr>
        <w:t>,</w:t>
      </w:r>
      <w:r w:rsidR="00B9701B">
        <w:rPr>
          <w:szCs w:val="22"/>
        </w:rPr>
        <w:t xml:space="preserve"> per 100,000</w:t>
      </w:r>
      <w:r w:rsidR="005B753F">
        <w:rPr>
          <w:szCs w:val="22"/>
        </w:rPr>
        <w:t>,</w:t>
      </w:r>
      <w:r w:rsidR="008E4F74">
        <w:rPr>
          <w:szCs w:val="22"/>
        </w:rPr>
        <w:t xml:space="preserve"> </w:t>
      </w:r>
      <w:r w:rsidRPr="00521BAF">
        <w:rPr>
          <w:szCs w:val="22"/>
        </w:rPr>
        <w:t>over the unvaccinated by using HSU2021. Had the MoH provided the HSU2021 population total during the brunt of the Omicron wave it would have been highly evident (</w:t>
      </w:r>
      <w:r w:rsidR="0036798D">
        <w:rPr>
          <w:szCs w:val="22"/>
        </w:rPr>
        <w:t xml:space="preserve">i.e., </w:t>
      </w:r>
      <w:r w:rsidRPr="00521BAF">
        <w:rPr>
          <w:szCs w:val="22"/>
        </w:rPr>
        <w:t xml:space="preserve">more than with NZ Stats) there was a problem with negative vaccine efficacy </w:t>
      </w:r>
      <w:r w:rsidR="005B753F">
        <w:rPr>
          <w:szCs w:val="22"/>
        </w:rPr>
        <w:t>in preventing</w:t>
      </w:r>
      <w:r w:rsidRPr="00521BAF">
        <w:rPr>
          <w:szCs w:val="22"/>
        </w:rPr>
        <w:t xml:space="preserve"> </w:t>
      </w:r>
      <w:r w:rsidR="005B753F" w:rsidRPr="00521BAF">
        <w:rPr>
          <w:szCs w:val="22"/>
        </w:rPr>
        <w:t xml:space="preserve">COVID-19 </w:t>
      </w:r>
      <w:r w:rsidRPr="00521BAF">
        <w:rPr>
          <w:szCs w:val="22"/>
        </w:rPr>
        <w:t xml:space="preserve">infections and hospitalizations. </w:t>
      </w:r>
      <w:r w:rsidR="00A449E8">
        <w:rPr>
          <w:szCs w:val="22"/>
        </w:rPr>
        <w:t>In consequence</w:t>
      </w:r>
      <w:r w:rsidRPr="00521BAF">
        <w:rPr>
          <w:szCs w:val="22"/>
        </w:rPr>
        <w:t xml:space="preserve">, New Zealanders were </w:t>
      </w:r>
      <w:r w:rsidR="00521BAF">
        <w:rPr>
          <w:b/>
          <w:bCs w:val="0"/>
          <w:szCs w:val="22"/>
        </w:rPr>
        <w:t>not</w:t>
      </w:r>
      <w:r w:rsidRPr="00521BAF">
        <w:rPr>
          <w:b/>
          <w:bCs w:val="0"/>
          <w:szCs w:val="22"/>
        </w:rPr>
        <w:t xml:space="preserve"> </w:t>
      </w:r>
      <w:r w:rsidR="0036798D">
        <w:rPr>
          <w:b/>
          <w:bCs w:val="0"/>
          <w:szCs w:val="22"/>
        </w:rPr>
        <w:t xml:space="preserve">emphatically </w:t>
      </w:r>
      <w:r w:rsidRPr="00521BAF">
        <w:rPr>
          <w:b/>
          <w:bCs w:val="0"/>
          <w:szCs w:val="22"/>
        </w:rPr>
        <w:t>warned of the life-long health risks</w:t>
      </w:r>
      <w:r w:rsidRPr="00521BAF">
        <w:rPr>
          <w:szCs w:val="22"/>
        </w:rPr>
        <w:t xml:space="preserve"> of antibody-dependent enhancement of virus infection </w:t>
      </w:r>
      <w:r w:rsidR="00521BAF">
        <w:rPr>
          <w:szCs w:val="22"/>
        </w:rPr>
        <w:t xml:space="preserve">during </w:t>
      </w:r>
      <w:r w:rsidR="001E1E69">
        <w:rPr>
          <w:szCs w:val="22"/>
        </w:rPr>
        <w:t xml:space="preserve">their vaccination </w:t>
      </w:r>
      <w:r w:rsidR="00521BAF">
        <w:rPr>
          <w:szCs w:val="22"/>
        </w:rPr>
        <w:t>informed consent</w:t>
      </w:r>
      <w:r w:rsidR="002F440E">
        <w:rPr>
          <w:szCs w:val="22"/>
        </w:rPr>
        <w:t>. At the same time,</w:t>
      </w:r>
      <w:r w:rsidR="001E1E69">
        <w:rPr>
          <w:szCs w:val="22"/>
        </w:rPr>
        <w:t xml:space="preserve"> doctors who knew </w:t>
      </w:r>
      <w:r w:rsidR="00A449E8">
        <w:rPr>
          <w:szCs w:val="22"/>
        </w:rPr>
        <w:t xml:space="preserve">about </w:t>
      </w:r>
      <w:r w:rsidR="001E1E69">
        <w:rPr>
          <w:szCs w:val="22"/>
        </w:rPr>
        <w:t xml:space="preserve">these issues were threatened with </w:t>
      </w:r>
      <w:r w:rsidR="002F440E">
        <w:rPr>
          <w:szCs w:val="22"/>
        </w:rPr>
        <w:t xml:space="preserve">medical </w:t>
      </w:r>
      <w:r w:rsidR="001E1E69">
        <w:rPr>
          <w:szCs w:val="22"/>
        </w:rPr>
        <w:t xml:space="preserve">deregistration for not </w:t>
      </w:r>
      <w:r w:rsidR="001E1E69">
        <w:rPr>
          <w:szCs w:val="22"/>
        </w:rPr>
        <w:lastRenderedPageBreak/>
        <w:t>following government guidelines (i.e., NZDSOS).</w:t>
      </w:r>
    </w:p>
    <w:p w14:paraId="4BB802E2" w14:textId="4726FC87" w:rsidR="00026C69" w:rsidRDefault="00C510DB" w:rsidP="00C510DB">
      <w:pPr>
        <w:rPr>
          <w:szCs w:val="22"/>
        </w:rPr>
      </w:pPr>
      <w:r>
        <w:rPr>
          <w:szCs w:val="22"/>
        </w:rPr>
        <w:t xml:space="preserve">Of </w:t>
      </w:r>
      <w:r w:rsidR="00D400C4" w:rsidRPr="009A5CF5">
        <w:rPr>
          <w:b/>
          <w:bCs w:val="0"/>
          <w:szCs w:val="22"/>
        </w:rPr>
        <w:t xml:space="preserve">serious </w:t>
      </w:r>
      <w:r w:rsidRPr="009A5CF5">
        <w:rPr>
          <w:b/>
          <w:bCs w:val="0"/>
          <w:szCs w:val="22"/>
        </w:rPr>
        <w:t>concern</w:t>
      </w:r>
      <w:r>
        <w:rPr>
          <w:szCs w:val="22"/>
        </w:rPr>
        <w:t xml:space="preserve"> is </w:t>
      </w:r>
      <w:r w:rsidR="00DF2AF0">
        <w:rPr>
          <w:szCs w:val="22"/>
        </w:rPr>
        <w:t>that</w:t>
      </w:r>
      <w:r>
        <w:rPr>
          <w:szCs w:val="22"/>
        </w:rPr>
        <w:t xml:space="preserve"> the MoH provided the HSU</w:t>
      </w:r>
      <w:r w:rsidR="002F440E">
        <w:rPr>
          <w:szCs w:val="22"/>
        </w:rPr>
        <w:t>2020</w:t>
      </w:r>
      <w:r>
        <w:rPr>
          <w:szCs w:val="22"/>
        </w:rPr>
        <w:t xml:space="preserve"> population total knowing its shortcomings</w:t>
      </w:r>
      <w:r w:rsidR="00026C69">
        <w:rPr>
          <w:szCs w:val="22"/>
        </w:rPr>
        <w:t xml:space="preserve"> (see Excel page “HSU Population” summary table).</w:t>
      </w:r>
      <w:r w:rsidR="00026C69">
        <w:rPr>
          <w:rStyle w:val="EndnoteReference"/>
          <w:szCs w:val="22"/>
        </w:rPr>
        <w:endnoteReference w:id="32"/>
      </w:r>
      <w:r w:rsidR="00026C69">
        <w:rPr>
          <w:szCs w:val="22"/>
        </w:rPr>
        <w:t xml:space="preserve"> </w:t>
      </w:r>
      <w:r>
        <w:rPr>
          <w:szCs w:val="22"/>
        </w:rPr>
        <w:t xml:space="preserve">The MoH confirmed the HSU total was </w:t>
      </w:r>
      <w:r w:rsidRPr="00792F28">
        <w:rPr>
          <w:szCs w:val="22"/>
        </w:rPr>
        <w:t>not a total population estimate</w:t>
      </w:r>
      <w:r>
        <w:rPr>
          <w:szCs w:val="22"/>
        </w:rPr>
        <w:t xml:space="preserve"> because it </w:t>
      </w:r>
      <w:r w:rsidRPr="00792F28">
        <w:rPr>
          <w:szCs w:val="22"/>
        </w:rPr>
        <w:t>include</w:t>
      </w:r>
      <w:r>
        <w:rPr>
          <w:szCs w:val="22"/>
        </w:rPr>
        <w:t>d</w:t>
      </w:r>
      <w:r w:rsidRPr="00792F28">
        <w:rPr>
          <w:szCs w:val="22"/>
        </w:rPr>
        <w:t xml:space="preserve"> </w:t>
      </w:r>
      <w:r>
        <w:rPr>
          <w:szCs w:val="22"/>
        </w:rPr>
        <w:t xml:space="preserve">only </w:t>
      </w:r>
      <w:r w:rsidRPr="00792F28">
        <w:rPr>
          <w:szCs w:val="22"/>
        </w:rPr>
        <w:t>people who received health services or were PHO enrolled in a given year</w:t>
      </w:r>
      <w:r>
        <w:rPr>
          <w:szCs w:val="22"/>
        </w:rPr>
        <w:t xml:space="preserve"> only</w:t>
      </w:r>
      <w:r w:rsidRPr="00792F28">
        <w:rPr>
          <w:szCs w:val="22"/>
        </w:rPr>
        <w:t xml:space="preserve">. The HSU </w:t>
      </w:r>
      <w:r w:rsidR="007B4526">
        <w:rPr>
          <w:szCs w:val="22"/>
        </w:rPr>
        <w:t>was known</w:t>
      </w:r>
      <w:r w:rsidRPr="00792F28">
        <w:rPr>
          <w:szCs w:val="22"/>
        </w:rPr>
        <w:t xml:space="preserve"> to miss highly </w:t>
      </w:r>
      <w:r>
        <w:rPr>
          <w:szCs w:val="22"/>
        </w:rPr>
        <w:t>marginalized</w:t>
      </w:r>
      <w:r w:rsidRPr="00792F28">
        <w:rPr>
          <w:szCs w:val="22"/>
        </w:rPr>
        <w:t xml:space="preserve"> groups</w:t>
      </w:r>
      <w:r w:rsidRPr="003B24AC">
        <w:rPr>
          <w:szCs w:val="22"/>
        </w:rPr>
        <w:t xml:space="preserve"> </w:t>
      </w:r>
      <w:r>
        <w:rPr>
          <w:szCs w:val="22"/>
        </w:rPr>
        <w:t xml:space="preserve">and </w:t>
      </w:r>
      <w:r w:rsidRPr="00792F28">
        <w:rPr>
          <w:szCs w:val="22"/>
        </w:rPr>
        <w:t>young people aged 15-45 years</w:t>
      </w:r>
      <w:r w:rsidR="007B4526">
        <w:rPr>
          <w:szCs w:val="22"/>
        </w:rPr>
        <w:t xml:space="preserve">, </w:t>
      </w:r>
      <w:r>
        <w:rPr>
          <w:szCs w:val="22"/>
        </w:rPr>
        <w:t xml:space="preserve">especially </w:t>
      </w:r>
      <w:r w:rsidRPr="00792F28">
        <w:rPr>
          <w:szCs w:val="22"/>
        </w:rPr>
        <w:t>m</w:t>
      </w:r>
      <w:r>
        <w:rPr>
          <w:szCs w:val="22"/>
        </w:rPr>
        <w:t>ales</w:t>
      </w:r>
      <w:r w:rsidRPr="00792F28">
        <w:rPr>
          <w:szCs w:val="22"/>
        </w:rPr>
        <w:t xml:space="preserve"> and people of Asian and MELAA ethnicity</w:t>
      </w:r>
      <w:r w:rsidR="0026357C">
        <w:rPr>
          <w:szCs w:val="22"/>
        </w:rPr>
        <w:t xml:space="preserve">, </w:t>
      </w:r>
      <w:r w:rsidR="00DF2AF0">
        <w:rPr>
          <w:szCs w:val="22"/>
        </w:rPr>
        <w:t>whereas</w:t>
      </w:r>
      <w:r w:rsidR="0026357C">
        <w:rPr>
          <w:szCs w:val="22"/>
        </w:rPr>
        <w:t xml:space="preserve"> COVID-19 does not</w:t>
      </w:r>
      <w:r w:rsidR="00C274B5">
        <w:rPr>
          <w:szCs w:val="22"/>
        </w:rPr>
        <w:t xml:space="preserve"> miss anyone</w:t>
      </w:r>
      <w:r w:rsidR="007B4526">
        <w:rPr>
          <w:szCs w:val="22"/>
        </w:rPr>
        <w:t xml:space="preserve">. This would </w:t>
      </w:r>
      <w:r>
        <w:rPr>
          <w:szCs w:val="22"/>
        </w:rPr>
        <w:t>mak</w:t>
      </w:r>
      <w:r w:rsidR="007B4526">
        <w:rPr>
          <w:szCs w:val="22"/>
        </w:rPr>
        <w:t>e</w:t>
      </w:r>
      <w:r>
        <w:rPr>
          <w:szCs w:val="22"/>
        </w:rPr>
        <w:t xml:space="preserve"> any residual unvaccinated population calculations </w:t>
      </w:r>
      <w:r w:rsidR="007B4526">
        <w:rPr>
          <w:szCs w:val="22"/>
        </w:rPr>
        <w:t xml:space="preserve">using HSU totals </w:t>
      </w:r>
      <w:r>
        <w:rPr>
          <w:szCs w:val="22"/>
        </w:rPr>
        <w:t xml:space="preserve">extremely sensitive to these deficiencies. </w:t>
      </w:r>
      <w:r w:rsidR="00026C69">
        <w:rPr>
          <w:szCs w:val="22"/>
        </w:rPr>
        <w:t xml:space="preserve">In my view, it should have been obvious what the impact would be </w:t>
      </w:r>
      <w:r w:rsidR="00E310F7">
        <w:rPr>
          <w:szCs w:val="22"/>
        </w:rPr>
        <w:t>of</w:t>
      </w:r>
      <w:r w:rsidR="00026C69">
        <w:rPr>
          <w:szCs w:val="22"/>
        </w:rPr>
        <w:t xml:space="preserve"> using the HSU</w:t>
      </w:r>
      <w:r w:rsidR="00C42084">
        <w:rPr>
          <w:szCs w:val="22"/>
        </w:rPr>
        <w:t>2020</w:t>
      </w:r>
      <w:r w:rsidR="00026C69">
        <w:rPr>
          <w:szCs w:val="22"/>
        </w:rPr>
        <w:t xml:space="preserve"> </w:t>
      </w:r>
      <w:r w:rsidR="00C274B5">
        <w:rPr>
          <w:szCs w:val="22"/>
        </w:rPr>
        <w:t>versus NZ Stats population</w:t>
      </w:r>
      <w:r w:rsidR="00C42084">
        <w:rPr>
          <w:szCs w:val="22"/>
        </w:rPr>
        <w:t xml:space="preserve">s </w:t>
      </w:r>
      <w:r w:rsidR="00026C69">
        <w:rPr>
          <w:szCs w:val="22"/>
        </w:rPr>
        <w:t xml:space="preserve">on increasing the calculable unvaccinated case rates. </w:t>
      </w:r>
    </w:p>
    <w:p w14:paraId="4A78F4CE" w14:textId="0E26AB7F" w:rsidR="00C510DB" w:rsidRDefault="00C510DB" w:rsidP="00C510DB">
      <w:pPr>
        <w:rPr>
          <w:szCs w:val="22"/>
        </w:rPr>
      </w:pPr>
      <w:r>
        <w:rPr>
          <w:szCs w:val="22"/>
        </w:rPr>
        <w:t xml:space="preserve">The MoH claimed without </w:t>
      </w:r>
      <w:r w:rsidR="007B4526">
        <w:rPr>
          <w:szCs w:val="22"/>
        </w:rPr>
        <w:t xml:space="preserve">providing </w:t>
      </w:r>
      <w:r w:rsidR="0026357C">
        <w:rPr>
          <w:szCs w:val="22"/>
        </w:rPr>
        <w:t>evidence</w:t>
      </w:r>
      <w:r>
        <w:rPr>
          <w:szCs w:val="22"/>
        </w:rPr>
        <w:t xml:space="preserve"> that the use of the HSU database p</w:t>
      </w:r>
      <w:r w:rsidRPr="003B24AC">
        <w:rPr>
          <w:szCs w:val="22"/>
        </w:rPr>
        <w:t>reven</w:t>
      </w:r>
      <w:r>
        <w:rPr>
          <w:szCs w:val="22"/>
        </w:rPr>
        <w:t>ted</w:t>
      </w:r>
      <w:r w:rsidRPr="003B24AC">
        <w:rPr>
          <w:szCs w:val="22"/>
        </w:rPr>
        <w:t> numerator</w:t>
      </w:r>
      <w:r>
        <w:rPr>
          <w:szCs w:val="22"/>
        </w:rPr>
        <w:t xml:space="preserve"> </w:t>
      </w:r>
      <w:r w:rsidRPr="003B24AC">
        <w:rPr>
          <w:szCs w:val="22"/>
        </w:rPr>
        <w:t>denominator bias</w:t>
      </w:r>
      <w:r>
        <w:rPr>
          <w:szCs w:val="22"/>
        </w:rPr>
        <w:t xml:space="preserve"> by ensuring </w:t>
      </w:r>
      <w:r w:rsidRPr="003B24AC">
        <w:rPr>
          <w:szCs w:val="22"/>
        </w:rPr>
        <w:t xml:space="preserve">the same source of demographic information is used in the numerator and the denominator. </w:t>
      </w:r>
      <w:r>
        <w:rPr>
          <w:szCs w:val="22"/>
        </w:rPr>
        <w:t>As demonstrated above</w:t>
      </w:r>
      <w:r w:rsidR="008B0456">
        <w:rPr>
          <w:szCs w:val="22"/>
        </w:rPr>
        <w:t>,</w:t>
      </w:r>
      <w:r>
        <w:rPr>
          <w:szCs w:val="22"/>
        </w:rPr>
        <w:t xml:space="preserve"> the provision of the </w:t>
      </w:r>
      <w:r w:rsidR="00C274B5">
        <w:rPr>
          <w:szCs w:val="22"/>
        </w:rPr>
        <w:t xml:space="preserve">smaller </w:t>
      </w:r>
      <w:r>
        <w:rPr>
          <w:szCs w:val="22"/>
        </w:rPr>
        <w:t xml:space="preserve">HSU population total </w:t>
      </w:r>
      <w:r w:rsidR="00C274B5">
        <w:rPr>
          <w:szCs w:val="22"/>
        </w:rPr>
        <w:t>created the</w:t>
      </w:r>
      <w:r>
        <w:rPr>
          <w:szCs w:val="22"/>
        </w:rPr>
        <w:t xml:space="preserve"> </w:t>
      </w:r>
      <w:r w:rsidR="00EE656F">
        <w:rPr>
          <w:b/>
          <w:bCs w:val="0"/>
          <w:szCs w:val="22"/>
        </w:rPr>
        <w:t>significant</w:t>
      </w:r>
      <w:r w:rsidRPr="00985D87">
        <w:rPr>
          <w:b/>
          <w:bCs w:val="0"/>
          <w:szCs w:val="22"/>
        </w:rPr>
        <w:t xml:space="preserve"> denominator </w:t>
      </w:r>
      <w:r w:rsidRPr="00847CF3">
        <w:rPr>
          <w:b/>
          <w:bCs w:val="0"/>
          <w:szCs w:val="22"/>
        </w:rPr>
        <w:t xml:space="preserve">bias </w:t>
      </w:r>
      <w:r w:rsidR="00EE656F" w:rsidRPr="00847CF3">
        <w:rPr>
          <w:b/>
          <w:bCs w:val="0"/>
          <w:szCs w:val="22"/>
        </w:rPr>
        <w:t>(1.9x</w:t>
      </w:r>
      <w:r w:rsidR="0036798D">
        <w:rPr>
          <w:b/>
          <w:bCs w:val="0"/>
          <w:szCs w:val="22"/>
        </w:rPr>
        <w:t xml:space="preserve"> or 2.6x</w:t>
      </w:r>
      <w:r w:rsidR="00EE656F" w:rsidRPr="00847CF3">
        <w:rPr>
          <w:b/>
          <w:bCs w:val="0"/>
          <w:szCs w:val="22"/>
        </w:rPr>
        <w:t>)</w:t>
      </w:r>
      <w:r w:rsidR="00EE656F">
        <w:rPr>
          <w:szCs w:val="22"/>
        </w:rPr>
        <w:t xml:space="preserve"> </w:t>
      </w:r>
      <w:r w:rsidR="00C274B5">
        <w:rPr>
          <w:szCs w:val="22"/>
        </w:rPr>
        <w:t>evident in the</w:t>
      </w:r>
      <w:r>
        <w:rPr>
          <w:szCs w:val="22"/>
        </w:rPr>
        <w:t xml:space="preserve"> calculable unvaccinated rates</w:t>
      </w:r>
      <w:r w:rsidR="00E310F7">
        <w:rPr>
          <w:szCs w:val="22"/>
        </w:rPr>
        <w:t xml:space="preserve"> versus the NZ Stats population total</w:t>
      </w:r>
      <w:r w:rsidR="0036798D">
        <w:rPr>
          <w:szCs w:val="22"/>
        </w:rPr>
        <w:t xml:space="preserve"> or HSU2021</w:t>
      </w:r>
      <w:r>
        <w:rPr>
          <w:szCs w:val="22"/>
        </w:rPr>
        <w:t xml:space="preserve">. Given these well-known HSU population shortcomings and their </w:t>
      </w:r>
      <w:r w:rsidR="006C0CAC">
        <w:rPr>
          <w:szCs w:val="22"/>
        </w:rPr>
        <w:t xml:space="preserve">obvious </w:t>
      </w:r>
      <w:r>
        <w:rPr>
          <w:szCs w:val="22"/>
        </w:rPr>
        <w:t>impact on residual unvaccinated COVID-19 rate denominator bias, t</w:t>
      </w:r>
      <w:r w:rsidRPr="00985D87">
        <w:rPr>
          <w:szCs w:val="22"/>
        </w:rPr>
        <w:t xml:space="preserve">he </w:t>
      </w:r>
      <w:r w:rsidRPr="000F457E">
        <w:rPr>
          <w:b/>
          <w:bCs w:val="0"/>
          <w:szCs w:val="22"/>
        </w:rPr>
        <w:t xml:space="preserve">MoH </w:t>
      </w:r>
      <w:r>
        <w:rPr>
          <w:b/>
          <w:bCs w:val="0"/>
          <w:szCs w:val="22"/>
        </w:rPr>
        <w:t xml:space="preserve">still </w:t>
      </w:r>
      <w:r w:rsidRPr="000F457E">
        <w:rPr>
          <w:b/>
          <w:bCs w:val="0"/>
          <w:szCs w:val="22"/>
        </w:rPr>
        <w:t xml:space="preserve">requested Stats NZ </w:t>
      </w:r>
      <w:r w:rsidR="00C274B5">
        <w:rPr>
          <w:b/>
          <w:bCs w:val="0"/>
          <w:szCs w:val="22"/>
        </w:rPr>
        <w:t xml:space="preserve">to </w:t>
      </w:r>
      <w:r w:rsidRPr="000F457E">
        <w:rPr>
          <w:b/>
          <w:bCs w:val="0"/>
          <w:szCs w:val="22"/>
        </w:rPr>
        <w:t>peer review</w:t>
      </w:r>
      <w:r w:rsidRPr="00985D87">
        <w:rPr>
          <w:szCs w:val="22"/>
        </w:rPr>
        <w:t xml:space="preserve"> </w:t>
      </w:r>
      <w:r>
        <w:rPr>
          <w:szCs w:val="22"/>
        </w:rPr>
        <w:t>the</w:t>
      </w:r>
      <w:r w:rsidRPr="00985D87">
        <w:rPr>
          <w:szCs w:val="22"/>
        </w:rPr>
        <w:t xml:space="preserve"> methods used to create the HSU</w:t>
      </w:r>
      <w:r>
        <w:rPr>
          <w:szCs w:val="22"/>
        </w:rPr>
        <w:t xml:space="preserve"> population</w:t>
      </w:r>
      <w:r w:rsidRPr="00985D87">
        <w:rPr>
          <w:szCs w:val="22"/>
        </w:rPr>
        <w:t xml:space="preserve"> </w:t>
      </w:r>
      <w:r>
        <w:rPr>
          <w:szCs w:val="22"/>
        </w:rPr>
        <w:t>and</w:t>
      </w:r>
      <w:r w:rsidRPr="00985D87">
        <w:rPr>
          <w:szCs w:val="22"/>
        </w:rPr>
        <w:t xml:space="preserve"> its suitability as a denominator for measuring COVID-19 vaccine coverage, and wider use</w:t>
      </w:r>
      <w:r>
        <w:rPr>
          <w:szCs w:val="22"/>
        </w:rPr>
        <w:t xml:space="preserve"> (i.e., </w:t>
      </w:r>
      <w:r w:rsidRPr="002F440E">
        <w:rPr>
          <w:b/>
          <w:bCs w:val="0"/>
          <w:szCs w:val="22"/>
        </w:rPr>
        <w:t>rate calculations</w:t>
      </w:r>
      <w:r>
        <w:rPr>
          <w:szCs w:val="22"/>
        </w:rPr>
        <w:t>)</w:t>
      </w:r>
      <w:r w:rsidRPr="00985D87">
        <w:rPr>
          <w:szCs w:val="22"/>
        </w:rPr>
        <w:t>.</w:t>
      </w:r>
      <w:r>
        <w:rPr>
          <w:rStyle w:val="EndnoteReference"/>
          <w:szCs w:val="22"/>
        </w:rPr>
        <w:endnoteReference w:id="33"/>
      </w:r>
      <w:r w:rsidR="00C274B5">
        <w:rPr>
          <w:szCs w:val="22"/>
        </w:rPr>
        <w:t xml:space="preserve"> </w:t>
      </w:r>
      <w:r w:rsidR="00D43D96">
        <w:rPr>
          <w:szCs w:val="22"/>
        </w:rPr>
        <w:t xml:space="preserve">In my view, that latter act should be a key point for </w:t>
      </w:r>
      <w:r w:rsidR="00D43D96" w:rsidRPr="00C274B5">
        <w:rPr>
          <w:b/>
          <w:bCs w:val="0"/>
          <w:szCs w:val="22"/>
        </w:rPr>
        <w:t>investigation</w:t>
      </w:r>
      <w:r w:rsidR="00D43D96">
        <w:rPr>
          <w:szCs w:val="22"/>
        </w:rPr>
        <w:t xml:space="preserve">. </w:t>
      </w:r>
      <w:r w:rsidR="00C274B5">
        <w:rPr>
          <w:szCs w:val="22"/>
        </w:rPr>
        <w:t xml:space="preserve"> </w:t>
      </w:r>
    </w:p>
    <w:p w14:paraId="30FE9987" w14:textId="795CA94C" w:rsidR="00496C5D" w:rsidRDefault="00416F69" w:rsidP="00496C5D">
      <w:pPr>
        <w:rPr>
          <w:szCs w:val="22"/>
        </w:rPr>
      </w:pPr>
      <w:r w:rsidRPr="004C6480">
        <w:rPr>
          <w:b/>
          <w:bCs w:val="0"/>
          <w:szCs w:val="22"/>
          <w:u w:val="single"/>
        </w:rPr>
        <w:t>England</w:t>
      </w:r>
      <w:r w:rsidRPr="00496C5D">
        <w:rPr>
          <w:szCs w:val="22"/>
        </w:rPr>
        <w:t xml:space="preserve"> (UKHSA): </w:t>
      </w:r>
      <w:r w:rsidR="00F26999" w:rsidRPr="00496C5D">
        <w:rPr>
          <w:szCs w:val="22"/>
        </w:rPr>
        <w:t xml:space="preserve">The UKHSA provided vaccinated demographic rates of infection, hospitalization, and death as “unadjusted” that had been </w:t>
      </w:r>
      <w:r w:rsidR="00F26999" w:rsidRPr="00C5778D">
        <w:rPr>
          <w:b/>
          <w:bCs w:val="0"/>
          <w:szCs w:val="22"/>
        </w:rPr>
        <w:t>non-uniformly adjusted</w:t>
      </w:r>
      <w:r w:rsidR="00F26999" w:rsidRPr="00496C5D">
        <w:rPr>
          <w:szCs w:val="22"/>
        </w:rPr>
        <w:t xml:space="preserve"> without </w:t>
      </w:r>
      <w:r w:rsidR="00A07CB0">
        <w:rPr>
          <w:szCs w:val="22"/>
        </w:rPr>
        <w:t>explanation</w:t>
      </w:r>
      <w:r w:rsidR="00F26999" w:rsidRPr="00496C5D">
        <w:rPr>
          <w:szCs w:val="22"/>
        </w:rPr>
        <w:t xml:space="preserve">. </w:t>
      </w:r>
      <w:r w:rsidR="00BB3FEC" w:rsidRPr="00496C5D">
        <w:rPr>
          <w:szCs w:val="22"/>
        </w:rPr>
        <w:t>From r</w:t>
      </w:r>
      <w:r w:rsidR="00F26999" w:rsidRPr="00496C5D">
        <w:rPr>
          <w:szCs w:val="22"/>
        </w:rPr>
        <w:t>eport</w:t>
      </w:r>
      <w:r w:rsidR="00A07CB0">
        <w:rPr>
          <w:szCs w:val="22"/>
        </w:rPr>
        <w:t>s</w:t>
      </w:r>
      <w:r w:rsidR="00F26999" w:rsidRPr="00496C5D">
        <w:rPr>
          <w:szCs w:val="22"/>
        </w:rPr>
        <w:t xml:space="preserve"> 49 (2021) to 2 (2022)</w:t>
      </w:r>
      <w:r w:rsidR="00A07CB0">
        <w:rPr>
          <w:szCs w:val="22"/>
        </w:rPr>
        <w:t>,</w:t>
      </w:r>
      <w:r w:rsidR="00F26999" w:rsidRPr="00496C5D">
        <w:rPr>
          <w:szCs w:val="22"/>
        </w:rPr>
        <w:t xml:space="preserve"> </w:t>
      </w:r>
      <w:r w:rsidR="00BB3FEC" w:rsidRPr="00496C5D">
        <w:rPr>
          <w:szCs w:val="22"/>
        </w:rPr>
        <w:t>there</w:t>
      </w:r>
      <w:r w:rsidR="00F26999" w:rsidRPr="00496C5D">
        <w:rPr>
          <w:szCs w:val="22"/>
        </w:rPr>
        <w:t xml:space="preserve"> </w:t>
      </w:r>
      <w:r w:rsidR="00BB3FEC" w:rsidRPr="00496C5D">
        <w:rPr>
          <w:szCs w:val="22"/>
        </w:rPr>
        <w:t xml:space="preserve">was </w:t>
      </w:r>
      <w:r w:rsidR="00F26999" w:rsidRPr="00496C5D">
        <w:rPr>
          <w:szCs w:val="22"/>
        </w:rPr>
        <w:t xml:space="preserve">a </w:t>
      </w:r>
      <w:r w:rsidR="00F26999" w:rsidRPr="0026357C">
        <w:rPr>
          <w:b/>
          <w:bCs w:val="0"/>
          <w:szCs w:val="22"/>
        </w:rPr>
        <w:t>large-to-massive disparity</w:t>
      </w:r>
      <w:r w:rsidR="00F26999" w:rsidRPr="00496C5D">
        <w:rPr>
          <w:szCs w:val="22"/>
        </w:rPr>
        <w:t xml:space="preserve"> between the provided “unadjusted” </w:t>
      </w:r>
      <w:r w:rsidR="00A07CB0">
        <w:rPr>
          <w:szCs w:val="22"/>
        </w:rPr>
        <w:t xml:space="preserve">case rates </w:t>
      </w:r>
      <w:r w:rsidR="00F26999" w:rsidRPr="00496C5D">
        <w:rPr>
          <w:szCs w:val="22"/>
        </w:rPr>
        <w:t xml:space="preserve">and </w:t>
      </w:r>
      <w:r w:rsidR="00BB3FEC" w:rsidRPr="00496C5D">
        <w:rPr>
          <w:szCs w:val="22"/>
        </w:rPr>
        <w:t xml:space="preserve">my </w:t>
      </w:r>
      <w:r w:rsidR="00F26999" w:rsidRPr="00496C5D">
        <w:rPr>
          <w:szCs w:val="22"/>
        </w:rPr>
        <w:t>calculated 2-dose vaccinated COVID-19 infection (&gt;18yr demographics), hospitalization (&gt;30 or 40yr demographics), and death rates (</w:t>
      </w:r>
      <w:r w:rsidR="007141AA">
        <w:rPr>
          <w:szCs w:val="22"/>
        </w:rPr>
        <w:t xml:space="preserve">in the </w:t>
      </w:r>
      <w:r w:rsidR="00F26999" w:rsidRPr="00496C5D">
        <w:rPr>
          <w:szCs w:val="22"/>
        </w:rPr>
        <w:t xml:space="preserve">&gt;40 or 50yr demographics). The UKHSA </w:t>
      </w:r>
      <w:r w:rsidR="00BB3FEC" w:rsidRPr="00496C5D">
        <w:rPr>
          <w:szCs w:val="22"/>
        </w:rPr>
        <w:t>significantly</w:t>
      </w:r>
      <w:r w:rsidR="00F26999" w:rsidRPr="00496C5D">
        <w:rPr>
          <w:szCs w:val="22"/>
        </w:rPr>
        <w:t xml:space="preserve"> reduced the</w:t>
      </w:r>
      <w:r w:rsidR="00C5778D">
        <w:rPr>
          <w:szCs w:val="22"/>
        </w:rPr>
        <w:t>ir provided</w:t>
      </w:r>
      <w:r w:rsidR="00F26999" w:rsidRPr="00496C5D">
        <w:rPr>
          <w:szCs w:val="22"/>
        </w:rPr>
        <w:t xml:space="preserve"> vaccinated </w:t>
      </w:r>
      <w:r w:rsidR="00BB3FEC" w:rsidRPr="00496C5D">
        <w:rPr>
          <w:szCs w:val="22"/>
        </w:rPr>
        <w:t xml:space="preserve">case </w:t>
      </w:r>
      <w:r w:rsidR="00F26999" w:rsidRPr="00496C5D">
        <w:rPr>
          <w:szCs w:val="22"/>
        </w:rPr>
        <w:t xml:space="preserve">rates while leaving the unvaccinated </w:t>
      </w:r>
      <w:r w:rsidR="00BB3FEC" w:rsidRPr="00496C5D">
        <w:rPr>
          <w:szCs w:val="22"/>
        </w:rPr>
        <w:t xml:space="preserve">case </w:t>
      </w:r>
      <w:r w:rsidR="00F26999" w:rsidRPr="00496C5D">
        <w:rPr>
          <w:szCs w:val="22"/>
        </w:rPr>
        <w:t>rates largely unchanged, but even with this act</w:t>
      </w:r>
      <w:r w:rsidR="00423179">
        <w:rPr>
          <w:szCs w:val="22"/>
        </w:rPr>
        <w:t>,</w:t>
      </w:r>
      <w:r w:rsidR="00F26999" w:rsidRPr="00496C5D">
        <w:rPr>
          <w:szCs w:val="22"/>
        </w:rPr>
        <w:t xml:space="preserve"> it was insufficient to hide the </w:t>
      </w:r>
      <w:r w:rsidR="00423179">
        <w:rPr>
          <w:szCs w:val="22"/>
        </w:rPr>
        <w:t xml:space="preserve">rapidly </w:t>
      </w:r>
      <w:r w:rsidR="00F26999" w:rsidRPr="00496C5D">
        <w:rPr>
          <w:szCs w:val="22"/>
        </w:rPr>
        <w:t xml:space="preserve">deteriorating 2-dose negative vaccine effectiveness. </w:t>
      </w:r>
      <w:r w:rsidR="00E34EC7">
        <w:rPr>
          <w:szCs w:val="22"/>
        </w:rPr>
        <w:t>F</w:t>
      </w:r>
      <w:r w:rsidR="00F26999" w:rsidRPr="00496C5D">
        <w:rPr>
          <w:szCs w:val="22"/>
        </w:rPr>
        <w:t xml:space="preserve">rom week 3 in 2022 the UKHSA </w:t>
      </w:r>
      <w:r w:rsidR="00E34EC7">
        <w:rPr>
          <w:szCs w:val="22"/>
        </w:rPr>
        <w:t xml:space="preserve">then </w:t>
      </w:r>
      <w:r w:rsidR="00F26999" w:rsidRPr="00496C5D">
        <w:rPr>
          <w:szCs w:val="22"/>
        </w:rPr>
        <w:t xml:space="preserve">switched from providing 2-dose to ≥3-dose </w:t>
      </w:r>
      <w:r w:rsidR="00BB3FEC" w:rsidRPr="00496C5D">
        <w:rPr>
          <w:szCs w:val="22"/>
        </w:rPr>
        <w:t xml:space="preserve">case </w:t>
      </w:r>
      <w:r w:rsidR="00F26999" w:rsidRPr="00496C5D">
        <w:rPr>
          <w:szCs w:val="22"/>
        </w:rPr>
        <w:t>rates, which removed the major deterioration in 2-dose Omicron infection, hospitalization, and death rates</w:t>
      </w:r>
      <w:r w:rsidR="00BB3FEC" w:rsidRPr="00496C5D">
        <w:rPr>
          <w:szCs w:val="22"/>
        </w:rPr>
        <w:t xml:space="preserve"> from </w:t>
      </w:r>
      <w:r w:rsidR="00E34EC7">
        <w:rPr>
          <w:szCs w:val="22"/>
        </w:rPr>
        <w:t xml:space="preserve">ready </w:t>
      </w:r>
      <w:r w:rsidR="00BB3FEC" w:rsidRPr="00496C5D">
        <w:rPr>
          <w:szCs w:val="22"/>
        </w:rPr>
        <w:t>public view</w:t>
      </w:r>
      <w:r w:rsidR="00F26999" w:rsidRPr="00496C5D">
        <w:rPr>
          <w:szCs w:val="22"/>
        </w:rPr>
        <w:t xml:space="preserve">. </w:t>
      </w:r>
    </w:p>
    <w:p w14:paraId="717B93BE" w14:textId="170368E4" w:rsidR="00E34EC7" w:rsidRPr="00D05798" w:rsidRDefault="00F26999" w:rsidP="003E1D2A">
      <w:pPr>
        <w:rPr>
          <w:szCs w:val="22"/>
        </w:rPr>
      </w:pPr>
      <w:r w:rsidRPr="00D05798">
        <w:rPr>
          <w:szCs w:val="22"/>
        </w:rPr>
        <w:t>From week 3 to 13 2022, the ≥3-dose vaccinated COVID-19 infection rates (&gt;18yr demographics) were still significantly higher than the unvaccinated rates</w:t>
      </w:r>
      <w:r w:rsidR="00496C5D" w:rsidRPr="00D05798">
        <w:rPr>
          <w:szCs w:val="22"/>
        </w:rPr>
        <w:t>, highlighting the negative vaccine effectiveness of ≥3-doses</w:t>
      </w:r>
      <w:r w:rsidRPr="00D05798">
        <w:rPr>
          <w:szCs w:val="22"/>
        </w:rPr>
        <w:t xml:space="preserve">. </w:t>
      </w:r>
      <w:r w:rsidR="00A07CB0" w:rsidRPr="00D05798">
        <w:rPr>
          <w:szCs w:val="22"/>
        </w:rPr>
        <w:t>Reports 3-13, 2022, highlight</w:t>
      </w:r>
      <w:r w:rsidRPr="00D05798">
        <w:rPr>
          <w:szCs w:val="22"/>
        </w:rPr>
        <w:t xml:space="preserve"> COVID-19 infection rates in the </w:t>
      </w:r>
      <w:r w:rsidR="00A07CB0" w:rsidRPr="00D05798">
        <w:rPr>
          <w:szCs w:val="22"/>
        </w:rPr>
        <w:t xml:space="preserve">younger demographics were modified </w:t>
      </w:r>
      <w:r w:rsidRPr="00D05798">
        <w:rPr>
          <w:szCs w:val="22"/>
        </w:rPr>
        <w:t xml:space="preserve">while making no-negligible alterations to the unvaccinated </w:t>
      </w:r>
      <w:r w:rsidR="00423179" w:rsidRPr="00D05798">
        <w:rPr>
          <w:szCs w:val="22"/>
        </w:rPr>
        <w:t xml:space="preserve">COVID-19 </w:t>
      </w:r>
      <w:r w:rsidRPr="00D05798">
        <w:rPr>
          <w:szCs w:val="22"/>
        </w:rPr>
        <w:t xml:space="preserve">infection rates </w:t>
      </w:r>
      <w:r w:rsidR="00A07CB0" w:rsidRPr="00D05798">
        <w:rPr>
          <w:szCs w:val="22"/>
        </w:rPr>
        <w:t>or</w:t>
      </w:r>
      <w:r w:rsidRPr="00D05798">
        <w:rPr>
          <w:szCs w:val="22"/>
        </w:rPr>
        <w:t xml:space="preserve"> the vaccinated and unvaccinated </w:t>
      </w:r>
      <w:r w:rsidR="00423179" w:rsidRPr="00D05798">
        <w:rPr>
          <w:szCs w:val="22"/>
        </w:rPr>
        <w:t xml:space="preserve">COVID-19 </w:t>
      </w:r>
      <w:r w:rsidRPr="00D05798">
        <w:rPr>
          <w:szCs w:val="22"/>
        </w:rPr>
        <w:t>hospitalization and death rates</w:t>
      </w:r>
      <w:r w:rsidR="00A07CB0" w:rsidRPr="00D05798">
        <w:rPr>
          <w:szCs w:val="22"/>
        </w:rPr>
        <w:t xml:space="preserve"> (all demographics)</w:t>
      </w:r>
      <w:r w:rsidRPr="00D05798">
        <w:rPr>
          <w:szCs w:val="22"/>
        </w:rPr>
        <w:t xml:space="preserve">. </w:t>
      </w:r>
      <w:r w:rsidR="00EA3CC2" w:rsidRPr="00D05798">
        <w:rPr>
          <w:szCs w:val="22"/>
        </w:rPr>
        <w:t xml:space="preserve">In my view, </w:t>
      </w:r>
      <w:r w:rsidR="0094323C">
        <w:rPr>
          <w:szCs w:val="22"/>
        </w:rPr>
        <w:t>this</w:t>
      </w:r>
      <w:r w:rsidRPr="00D05798">
        <w:rPr>
          <w:szCs w:val="22"/>
        </w:rPr>
        <w:t xml:space="preserve"> lack of alterations</w:t>
      </w:r>
      <w:r w:rsidR="00B7125A" w:rsidRPr="00D05798">
        <w:rPr>
          <w:szCs w:val="22"/>
        </w:rPr>
        <w:t xml:space="preserve"> in most of the unadjusted rate data</w:t>
      </w:r>
      <w:r w:rsidRPr="00D05798">
        <w:rPr>
          <w:szCs w:val="22"/>
        </w:rPr>
        <w:t xml:space="preserve"> validate</w:t>
      </w:r>
      <w:r w:rsidR="00496C5D" w:rsidRPr="00D05798">
        <w:rPr>
          <w:szCs w:val="22"/>
        </w:rPr>
        <w:t>d</w:t>
      </w:r>
      <w:r w:rsidRPr="00D05798">
        <w:rPr>
          <w:szCs w:val="22"/>
        </w:rPr>
        <w:t xml:space="preserve"> my </w:t>
      </w:r>
      <w:r w:rsidR="008F0FD2" w:rsidRPr="00D05798">
        <w:rPr>
          <w:szCs w:val="22"/>
        </w:rPr>
        <w:t xml:space="preserve">crude </w:t>
      </w:r>
      <w:r w:rsidRPr="00D05798">
        <w:rPr>
          <w:szCs w:val="22"/>
        </w:rPr>
        <w:t>rate calculation methodology</w:t>
      </w:r>
      <w:r w:rsidR="00EA3CC2" w:rsidRPr="00D05798">
        <w:rPr>
          <w:szCs w:val="22"/>
        </w:rPr>
        <w:t xml:space="preserve"> while </w:t>
      </w:r>
      <w:r w:rsidR="00EA3CC2" w:rsidRPr="00D05798">
        <w:rPr>
          <w:szCs w:val="22"/>
        </w:rPr>
        <w:lastRenderedPageBreak/>
        <w:t xml:space="preserve">exposing </w:t>
      </w:r>
      <w:r w:rsidR="00D05798" w:rsidRPr="00D05798">
        <w:rPr>
          <w:szCs w:val="22"/>
        </w:rPr>
        <w:t xml:space="preserve">biased-unexplained altered UKHSA </w:t>
      </w:r>
      <w:r w:rsidR="00847CF3">
        <w:rPr>
          <w:szCs w:val="22"/>
        </w:rPr>
        <w:t xml:space="preserve">rate </w:t>
      </w:r>
      <w:r w:rsidR="00EA3CC2" w:rsidRPr="00D05798">
        <w:rPr>
          <w:szCs w:val="22"/>
        </w:rPr>
        <w:t>data</w:t>
      </w:r>
      <w:r w:rsidR="00B7125A" w:rsidRPr="00D05798">
        <w:rPr>
          <w:szCs w:val="22"/>
        </w:rPr>
        <w:t xml:space="preserve">. </w:t>
      </w:r>
      <w:r w:rsidR="00EA3CC2" w:rsidRPr="00D05798">
        <w:rPr>
          <w:szCs w:val="22"/>
        </w:rPr>
        <w:t>My</w:t>
      </w:r>
      <w:r w:rsidR="00B7125A" w:rsidRPr="00D05798">
        <w:rPr>
          <w:szCs w:val="22"/>
        </w:rPr>
        <w:t xml:space="preserve"> methodology </w:t>
      </w:r>
      <w:r w:rsidRPr="00D05798">
        <w:rPr>
          <w:szCs w:val="22"/>
        </w:rPr>
        <w:t xml:space="preserve">used the UKHSA’s raw </w:t>
      </w:r>
      <w:r w:rsidR="00B7125A" w:rsidRPr="00D05798">
        <w:rPr>
          <w:szCs w:val="22"/>
        </w:rPr>
        <w:t xml:space="preserve">case </w:t>
      </w:r>
      <w:r w:rsidRPr="00D05798">
        <w:rPr>
          <w:szCs w:val="22"/>
        </w:rPr>
        <w:t>data for COVID-19 infections, hospitalizations, and deaths (“</w:t>
      </w:r>
      <w:r w:rsidR="00496C5D" w:rsidRPr="00D05798">
        <w:rPr>
          <w:szCs w:val="22"/>
        </w:rPr>
        <w:t>Report</w:t>
      </w:r>
      <w:r w:rsidR="00E34EC7" w:rsidRPr="00D05798">
        <w:rPr>
          <w:szCs w:val="22"/>
        </w:rPr>
        <w:t>s</w:t>
      </w:r>
      <w:r w:rsidR="00496C5D" w:rsidRPr="00D05798">
        <w:rPr>
          <w:szCs w:val="22"/>
        </w:rPr>
        <w:t xml:space="preserve"> 49-13 </w:t>
      </w:r>
      <w:r w:rsidRPr="00D05798">
        <w:rPr>
          <w:szCs w:val="22"/>
        </w:rPr>
        <w:t xml:space="preserve">Table: </w:t>
      </w:r>
      <w:r w:rsidRPr="00D05798">
        <w:rPr>
          <w:i/>
          <w:iCs/>
          <w:szCs w:val="22"/>
        </w:rPr>
        <w:t>Unadjusted rates of COVID-19 infection, hospitalization, and death in vaccinated and unvac</w:t>
      </w:r>
      <w:r w:rsidR="00E34EC7" w:rsidRPr="00D05798">
        <w:rPr>
          <w:i/>
          <w:iCs/>
          <w:szCs w:val="22"/>
        </w:rPr>
        <w:t>c</w:t>
      </w:r>
      <w:r w:rsidRPr="00D05798">
        <w:rPr>
          <w:i/>
          <w:iCs/>
          <w:szCs w:val="22"/>
        </w:rPr>
        <w:t>inated populations</w:t>
      </w:r>
      <w:r w:rsidRPr="00D05798">
        <w:rPr>
          <w:szCs w:val="22"/>
        </w:rPr>
        <w:t>”</w:t>
      </w:r>
      <w:r w:rsidRPr="00D05798">
        <w:rPr>
          <w:vertAlign w:val="superscript"/>
        </w:rPr>
        <w:endnoteReference w:id="34"/>
      </w:r>
      <w:r w:rsidRPr="00D05798">
        <w:rPr>
          <w:szCs w:val="22"/>
        </w:rPr>
        <w:t xml:space="preserve">) and the National Immunization Management Service COVID-19 vaccinated population data </w:t>
      </w:r>
      <w:r w:rsidR="00B7125A" w:rsidRPr="00D05798">
        <w:rPr>
          <w:szCs w:val="22"/>
        </w:rPr>
        <w:t xml:space="preserve">as used by the UKHSA </w:t>
      </w:r>
      <w:r w:rsidRPr="00D05798">
        <w:rPr>
          <w:szCs w:val="22"/>
        </w:rPr>
        <w:t>(NIMS, “</w:t>
      </w:r>
      <w:r w:rsidR="00496C5D" w:rsidRPr="00D05798">
        <w:rPr>
          <w:szCs w:val="22"/>
        </w:rPr>
        <w:t xml:space="preserve">Report </w:t>
      </w:r>
      <w:r w:rsidRPr="00D05798">
        <w:rPr>
          <w:szCs w:val="22"/>
        </w:rPr>
        <w:t>Table</w:t>
      </w:r>
      <w:r w:rsidR="00496C5D" w:rsidRPr="00D05798">
        <w:rPr>
          <w:szCs w:val="22"/>
        </w:rPr>
        <w:t xml:space="preserve"> 49-13</w:t>
      </w:r>
      <w:r w:rsidRPr="00D05798">
        <w:rPr>
          <w:szCs w:val="22"/>
        </w:rPr>
        <w:t xml:space="preserve">: </w:t>
      </w:r>
      <w:r w:rsidRPr="00D05798">
        <w:rPr>
          <w:i/>
          <w:iCs/>
          <w:szCs w:val="22"/>
        </w:rPr>
        <w:t>Provisional cumulative COVID-19 vaccine uptake by age in England</w:t>
      </w:r>
      <w:r w:rsidRPr="00D05798">
        <w:rPr>
          <w:szCs w:val="22"/>
        </w:rPr>
        <w:t>”)</w:t>
      </w:r>
      <w:r w:rsidR="00B7125A" w:rsidRPr="00D05798">
        <w:t>.</w:t>
      </w:r>
      <w:r w:rsidR="00B7125A" w:rsidRPr="00D05798">
        <w:rPr>
          <w:vertAlign w:val="superscript"/>
        </w:rPr>
        <w:endnoteReference w:id="35"/>
      </w:r>
      <w:r w:rsidR="00B7125A" w:rsidRPr="00D05798">
        <w:rPr>
          <w:szCs w:val="22"/>
        </w:rPr>
        <w:t xml:space="preserve"> </w:t>
      </w:r>
      <w:r w:rsidR="00416F69" w:rsidRPr="00D05798">
        <w:rPr>
          <w:szCs w:val="22"/>
        </w:rPr>
        <w:t>As of 01/04/22 UKHSA no longer provide</w:t>
      </w:r>
      <w:r w:rsidR="001E2F1A" w:rsidRPr="00D05798">
        <w:rPr>
          <w:szCs w:val="22"/>
        </w:rPr>
        <w:t>d</w:t>
      </w:r>
      <w:r w:rsidR="00416F69" w:rsidRPr="00D05798">
        <w:rPr>
          <w:szCs w:val="22"/>
        </w:rPr>
        <w:t xml:space="preserve"> case data by vaccination status, </w:t>
      </w:r>
      <w:r w:rsidR="00EF146C" w:rsidRPr="00D05798">
        <w:rPr>
          <w:szCs w:val="22"/>
        </w:rPr>
        <w:t xml:space="preserve">making it </w:t>
      </w:r>
      <w:r w:rsidR="00416F69" w:rsidRPr="00D05798">
        <w:rPr>
          <w:b/>
          <w:bCs w:val="0"/>
          <w:iCs/>
          <w:szCs w:val="22"/>
        </w:rPr>
        <w:t>impossible</w:t>
      </w:r>
      <w:r w:rsidR="00416F69" w:rsidRPr="00D05798">
        <w:rPr>
          <w:i/>
          <w:szCs w:val="22"/>
        </w:rPr>
        <w:t xml:space="preserve"> </w:t>
      </w:r>
      <w:r w:rsidR="00416F69" w:rsidRPr="00D05798">
        <w:rPr>
          <w:iCs/>
          <w:szCs w:val="22"/>
        </w:rPr>
        <w:t>to monitor for evidence of</w:t>
      </w:r>
      <w:r w:rsidR="00D05798" w:rsidRPr="00D05798">
        <w:rPr>
          <w:iCs/>
          <w:szCs w:val="22"/>
        </w:rPr>
        <w:t xml:space="preserve"> negative vaccine effectiveness and </w:t>
      </w:r>
      <w:r w:rsidR="00CB7453">
        <w:rPr>
          <w:iCs/>
          <w:szCs w:val="22"/>
        </w:rPr>
        <w:t>thus</w:t>
      </w:r>
      <w:r w:rsidR="002A0F02" w:rsidRPr="00D05798">
        <w:rPr>
          <w:iCs/>
          <w:szCs w:val="22"/>
        </w:rPr>
        <w:t xml:space="preserve"> </w:t>
      </w:r>
      <w:r w:rsidR="00416F69" w:rsidRPr="00D05798">
        <w:rPr>
          <w:i/>
          <w:szCs w:val="22"/>
        </w:rPr>
        <w:t>antibody-dependent enhancement of infection</w:t>
      </w:r>
      <w:r w:rsidR="00416F69" w:rsidRPr="00D05798">
        <w:rPr>
          <w:szCs w:val="22"/>
        </w:rPr>
        <w:t xml:space="preserve">. </w:t>
      </w:r>
    </w:p>
    <w:p w14:paraId="1AC7CA0E" w14:textId="3E6AA9DE" w:rsidR="009D0B40" w:rsidRDefault="00E34EC7" w:rsidP="00E34EC7">
      <w:pPr>
        <w:rPr>
          <w:szCs w:val="22"/>
        </w:rPr>
      </w:pPr>
      <w:r w:rsidRPr="004C6480">
        <w:rPr>
          <w:b/>
          <w:bCs w:val="0"/>
          <w:szCs w:val="22"/>
          <w:u w:val="single"/>
        </w:rPr>
        <w:t>Scotland</w:t>
      </w:r>
      <w:r w:rsidRPr="00423179">
        <w:rPr>
          <w:szCs w:val="22"/>
        </w:rPr>
        <w:t xml:space="preserve"> (Public Health Scotland</w:t>
      </w:r>
      <w:r w:rsidR="001B3362">
        <w:rPr>
          <w:szCs w:val="22"/>
        </w:rPr>
        <w:t>, PHS</w:t>
      </w:r>
      <w:r w:rsidRPr="00423179">
        <w:rPr>
          <w:szCs w:val="22"/>
        </w:rPr>
        <w:t xml:space="preserve">): </w:t>
      </w:r>
      <w:r w:rsidR="00E176DE" w:rsidRPr="00423179">
        <w:rPr>
          <w:szCs w:val="22"/>
        </w:rPr>
        <w:t xml:space="preserve">The PHS </w:t>
      </w:r>
      <w:r w:rsidR="00E176DE">
        <w:rPr>
          <w:szCs w:val="22"/>
        </w:rPr>
        <w:t xml:space="preserve">used its </w:t>
      </w:r>
      <w:r w:rsidR="00E176DE" w:rsidRPr="009D0B40">
        <w:rPr>
          <w:szCs w:val="22"/>
        </w:rPr>
        <w:t>Community Health Index dataset</w:t>
      </w:r>
      <w:r w:rsidR="00E176DE">
        <w:rPr>
          <w:szCs w:val="22"/>
        </w:rPr>
        <w:t xml:space="preserve">, </w:t>
      </w:r>
      <w:r w:rsidR="00DF2AF0">
        <w:rPr>
          <w:szCs w:val="22"/>
        </w:rPr>
        <w:t>representing</w:t>
      </w:r>
      <w:r w:rsidR="00E176DE" w:rsidRPr="009D0B40">
        <w:rPr>
          <w:szCs w:val="22"/>
        </w:rPr>
        <w:t xml:space="preserve"> those </w:t>
      </w:r>
      <w:r w:rsidR="00460994">
        <w:rPr>
          <w:szCs w:val="22"/>
        </w:rPr>
        <w:t xml:space="preserve">currently </w:t>
      </w:r>
      <w:r w:rsidR="00E176DE" w:rsidRPr="009D0B40">
        <w:rPr>
          <w:szCs w:val="22"/>
        </w:rPr>
        <w:t>registered with a GP practice in Scotland</w:t>
      </w:r>
      <w:r w:rsidR="007D4973">
        <w:rPr>
          <w:szCs w:val="22"/>
        </w:rPr>
        <w:t>. The PHS</w:t>
      </w:r>
      <w:r w:rsidR="00E176DE">
        <w:rPr>
          <w:szCs w:val="22"/>
        </w:rPr>
        <w:t xml:space="preserve"> </w:t>
      </w:r>
      <w:r w:rsidR="007D4973">
        <w:rPr>
          <w:szCs w:val="22"/>
        </w:rPr>
        <w:t>declared</w:t>
      </w:r>
      <w:r w:rsidR="00E176DE">
        <w:rPr>
          <w:szCs w:val="22"/>
        </w:rPr>
        <w:t xml:space="preserve"> the limitations of this database for deriving the </w:t>
      </w:r>
      <w:r w:rsidR="00EA3CC2">
        <w:rPr>
          <w:szCs w:val="22"/>
        </w:rPr>
        <w:t xml:space="preserve">residual </w:t>
      </w:r>
      <w:r w:rsidR="00E176DE">
        <w:rPr>
          <w:szCs w:val="22"/>
        </w:rPr>
        <w:t>unvaccinated population</w:t>
      </w:r>
      <w:r w:rsidR="007D4973">
        <w:rPr>
          <w:szCs w:val="22"/>
        </w:rPr>
        <w:t xml:space="preserve"> </w:t>
      </w:r>
      <w:r w:rsidR="001636AB">
        <w:rPr>
          <w:szCs w:val="22"/>
        </w:rPr>
        <w:t xml:space="preserve">total </w:t>
      </w:r>
      <w:r w:rsidR="007D4973">
        <w:rPr>
          <w:szCs w:val="22"/>
        </w:rPr>
        <w:t>but did not alter its rate calculation methodology to mitigate th</w:t>
      </w:r>
      <w:r w:rsidR="002A0F02">
        <w:rPr>
          <w:szCs w:val="22"/>
        </w:rPr>
        <w:t>is</w:t>
      </w:r>
      <w:r w:rsidR="007D4973">
        <w:rPr>
          <w:szCs w:val="22"/>
        </w:rPr>
        <w:t xml:space="preserve"> shortcoming</w:t>
      </w:r>
      <w:r w:rsidR="00E176DE" w:rsidRPr="009D0B40">
        <w:rPr>
          <w:szCs w:val="22"/>
        </w:rPr>
        <w:t>.</w:t>
      </w:r>
      <w:r w:rsidR="00E176DE">
        <w:rPr>
          <w:szCs w:val="22"/>
        </w:rPr>
        <w:t xml:space="preserve"> T</w:t>
      </w:r>
      <w:r w:rsidRPr="00423179">
        <w:rPr>
          <w:szCs w:val="22"/>
        </w:rPr>
        <w:t xml:space="preserve">he PHS data </w:t>
      </w:r>
      <w:r w:rsidR="001B3362">
        <w:rPr>
          <w:szCs w:val="22"/>
        </w:rPr>
        <w:t>(</w:t>
      </w:r>
      <w:r w:rsidR="00A423E8">
        <w:rPr>
          <w:szCs w:val="22"/>
        </w:rPr>
        <w:t xml:space="preserve">weekly </w:t>
      </w:r>
      <w:r w:rsidR="001B3362">
        <w:rPr>
          <w:szCs w:val="22"/>
        </w:rPr>
        <w:t xml:space="preserve">reports </w:t>
      </w:r>
      <w:r w:rsidR="005634CA">
        <w:rPr>
          <w:szCs w:val="22"/>
        </w:rPr>
        <w:t xml:space="preserve">ending </w:t>
      </w:r>
      <w:r w:rsidR="001B3362">
        <w:rPr>
          <w:szCs w:val="22"/>
        </w:rPr>
        <w:t xml:space="preserve">05/11/21 to 11/02/22) </w:t>
      </w:r>
      <w:r w:rsidRPr="00423179">
        <w:rPr>
          <w:szCs w:val="22"/>
        </w:rPr>
        <w:t>displayed a highly variable population total every week and between each of its three data tables within a week (</w:t>
      </w:r>
      <w:r w:rsidR="000B729D">
        <w:rPr>
          <w:szCs w:val="22"/>
        </w:rPr>
        <w:t>i.e., COVID-19 infections, acute hospitalizations, and deaths</w:t>
      </w:r>
      <w:r w:rsidRPr="00423179">
        <w:rPr>
          <w:szCs w:val="22"/>
        </w:rPr>
        <w:t>)</w:t>
      </w:r>
      <w:r w:rsidR="000B729D">
        <w:rPr>
          <w:szCs w:val="22"/>
        </w:rPr>
        <w:t xml:space="preserve">. There was also a major </w:t>
      </w:r>
      <w:r w:rsidR="009003A5">
        <w:rPr>
          <w:szCs w:val="22"/>
        </w:rPr>
        <w:t xml:space="preserve">unexplained </w:t>
      </w:r>
      <w:r w:rsidR="000B729D">
        <w:rPr>
          <w:szCs w:val="22"/>
        </w:rPr>
        <w:t xml:space="preserve">decrease in the unvaccinated population between </w:t>
      </w:r>
      <w:r w:rsidR="002A0F02">
        <w:rPr>
          <w:szCs w:val="22"/>
        </w:rPr>
        <w:t xml:space="preserve">the </w:t>
      </w:r>
      <w:r w:rsidR="00E176DE">
        <w:rPr>
          <w:szCs w:val="22"/>
        </w:rPr>
        <w:t xml:space="preserve">report ends </w:t>
      </w:r>
      <w:r w:rsidR="000B729D">
        <w:rPr>
          <w:szCs w:val="22"/>
        </w:rPr>
        <w:t xml:space="preserve">17/12/21 and 31/12/21 </w:t>
      </w:r>
      <w:r w:rsidR="001B3362">
        <w:rPr>
          <w:szCs w:val="22"/>
        </w:rPr>
        <w:t xml:space="preserve">without a corresponding increase in the vaccinated population, </w:t>
      </w:r>
      <w:r w:rsidR="000B729D">
        <w:rPr>
          <w:szCs w:val="22"/>
        </w:rPr>
        <w:t xml:space="preserve">which had the effect of </w:t>
      </w:r>
      <w:r w:rsidR="001B3362">
        <w:rPr>
          <w:szCs w:val="22"/>
        </w:rPr>
        <w:t xml:space="preserve">reducing the total population </w:t>
      </w:r>
      <w:r w:rsidR="001C6D87">
        <w:rPr>
          <w:szCs w:val="22"/>
        </w:rPr>
        <w:t xml:space="preserve">by </w:t>
      </w:r>
      <w:r w:rsidR="00F3283B">
        <w:rPr>
          <w:szCs w:val="22"/>
        </w:rPr>
        <w:t xml:space="preserve">circa </w:t>
      </w:r>
      <w:r w:rsidR="009003A5">
        <w:rPr>
          <w:szCs w:val="22"/>
        </w:rPr>
        <w:t>ten percent</w:t>
      </w:r>
      <w:r w:rsidR="0088018C">
        <w:rPr>
          <w:szCs w:val="22"/>
        </w:rPr>
        <w:t xml:space="preserve"> in one week</w:t>
      </w:r>
      <w:r w:rsidR="001B3362">
        <w:rPr>
          <w:szCs w:val="22"/>
        </w:rPr>
        <w:t>.</w:t>
      </w:r>
      <w:r w:rsidR="001C6D87">
        <w:rPr>
          <w:szCs w:val="22"/>
        </w:rPr>
        <w:t xml:space="preserve"> </w:t>
      </w:r>
      <w:r w:rsidR="001B3362">
        <w:rPr>
          <w:szCs w:val="22"/>
        </w:rPr>
        <w:t xml:space="preserve">This unjustified act </w:t>
      </w:r>
      <w:r w:rsidR="00121E07">
        <w:rPr>
          <w:szCs w:val="22"/>
        </w:rPr>
        <w:t>essentially</w:t>
      </w:r>
      <w:r w:rsidR="009D0B40">
        <w:rPr>
          <w:szCs w:val="22"/>
        </w:rPr>
        <w:t xml:space="preserve"> </w:t>
      </w:r>
      <w:r w:rsidR="00F3283B">
        <w:rPr>
          <w:szCs w:val="22"/>
        </w:rPr>
        <w:t>diminished</w:t>
      </w:r>
      <w:r w:rsidR="000B729D">
        <w:rPr>
          <w:szCs w:val="22"/>
        </w:rPr>
        <w:t xml:space="preserve"> the </w:t>
      </w:r>
      <w:r w:rsidR="009003A5">
        <w:rPr>
          <w:szCs w:val="22"/>
        </w:rPr>
        <w:t xml:space="preserve">calculable </w:t>
      </w:r>
      <w:r w:rsidR="000B729D">
        <w:rPr>
          <w:szCs w:val="22"/>
        </w:rPr>
        <w:t xml:space="preserve">2-dose </w:t>
      </w:r>
      <w:r w:rsidR="001B3362">
        <w:rPr>
          <w:szCs w:val="22"/>
        </w:rPr>
        <w:t>negative vaccine effectiveness</w:t>
      </w:r>
      <w:r w:rsidRPr="00423179">
        <w:rPr>
          <w:szCs w:val="22"/>
        </w:rPr>
        <w:t>.</w:t>
      </w:r>
      <w:r w:rsidR="009D0B40">
        <w:rPr>
          <w:szCs w:val="22"/>
        </w:rPr>
        <w:t xml:space="preserve"> </w:t>
      </w:r>
    </w:p>
    <w:p w14:paraId="0C973B05" w14:textId="26DA3F01" w:rsidR="00E176DE" w:rsidRDefault="00F3283B" w:rsidP="00E176DE">
      <w:pPr>
        <w:rPr>
          <w:szCs w:val="22"/>
        </w:rPr>
      </w:pPr>
      <w:r>
        <w:rPr>
          <w:szCs w:val="22"/>
        </w:rPr>
        <w:t>D</w:t>
      </w:r>
      <w:r w:rsidR="00E176DE">
        <w:rPr>
          <w:szCs w:val="22"/>
        </w:rPr>
        <w:t>uring my period of assessment</w:t>
      </w:r>
      <w:r w:rsidR="00E176DE" w:rsidRPr="00423179">
        <w:rPr>
          <w:szCs w:val="22"/>
        </w:rPr>
        <w:t xml:space="preserve"> </w:t>
      </w:r>
      <w:r w:rsidR="00E176DE">
        <w:rPr>
          <w:szCs w:val="22"/>
        </w:rPr>
        <w:t xml:space="preserve">(reports ending 05/11/21-11/02/22) there was a mean population total </w:t>
      </w:r>
      <w:r w:rsidR="009003A5">
        <w:rPr>
          <w:szCs w:val="22"/>
        </w:rPr>
        <w:t xml:space="preserve">of </w:t>
      </w:r>
      <w:r w:rsidR="00E176DE">
        <w:rPr>
          <w:szCs w:val="22"/>
        </w:rPr>
        <w:t xml:space="preserve">5,557,878 (COVID-19 infection tables), 5,442,343 (COVID-19 acute hospitalization tables), and 5,857,333 (COVID-19 death tables), with a minimum-maximum </w:t>
      </w:r>
      <w:r w:rsidR="002A0F02">
        <w:rPr>
          <w:szCs w:val="22"/>
        </w:rPr>
        <w:t xml:space="preserve">total </w:t>
      </w:r>
      <w:r w:rsidR="007D4973">
        <w:rPr>
          <w:szCs w:val="22"/>
        </w:rPr>
        <w:t xml:space="preserve">population </w:t>
      </w:r>
      <w:r w:rsidR="00E176DE">
        <w:rPr>
          <w:szCs w:val="22"/>
        </w:rPr>
        <w:t>difference of 558,948 (infection</w:t>
      </w:r>
      <w:r w:rsidR="002A0F02">
        <w:rPr>
          <w:szCs w:val="22"/>
        </w:rPr>
        <w:t xml:space="preserve"> tables</w:t>
      </w:r>
      <w:r w:rsidR="00E176DE">
        <w:rPr>
          <w:szCs w:val="22"/>
        </w:rPr>
        <w:t>), 848,320 (hospitalization</w:t>
      </w:r>
      <w:r w:rsidR="002A0F02">
        <w:rPr>
          <w:szCs w:val="22"/>
        </w:rPr>
        <w:t xml:space="preserve"> table</w:t>
      </w:r>
      <w:r w:rsidR="00E176DE">
        <w:rPr>
          <w:szCs w:val="22"/>
        </w:rPr>
        <w:t>s), and 20,292 (death</w:t>
      </w:r>
      <w:r w:rsidR="002A0F02">
        <w:rPr>
          <w:szCs w:val="22"/>
        </w:rPr>
        <w:t xml:space="preserve"> table</w:t>
      </w:r>
      <w:r w:rsidR="00E176DE">
        <w:rPr>
          <w:szCs w:val="22"/>
        </w:rPr>
        <w:t>s)</w:t>
      </w:r>
      <w:r w:rsidR="001C6D87">
        <w:rPr>
          <w:szCs w:val="22"/>
        </w:rPr>
        <w:t xml:space="preserve"> within each category</w:t>
      </w:r>
      <w:r w:rsidR="00E176DE">
        <w:rPr>
          <w:szCs w:val="22"/>
        </w:rPr>
        <w:t>, and a minimum-maximum difference of mean</w:t>
      </w:r>
      <w:r w:rsidR="007D4973">
        <w:rPr>
          <w:szCs w:val="22"/>
        </w:rPr>
        <w:t xml:space="preserve"> population </w:t>
      </w:r>
      <w:r w:rsidR="001636AB">
        <w:rPr>
          <w:szCs w:val="22"/>
        </w:rPr>
        <w:t>total</w:t>
      </w:r>
      <w:r w:rsidR="001C6D87">
        <w:rPr>
          <w:szCs w:val="22"/>
        </w:rPr>
        <w:t>s</w:t>
      </w:r>
      <w:r w:rsidR="001636AB">
        <w:rPr>
          <w:szCs w:val="22"/>
        </w:rPr>
        <w:t xml:space="preserve"> </w:t>
      </w:r>
      <w:r w:rsidR="00E176DE">
        <w:rPr>
          <w:szCs w:val="22"/>
        </w:rPr>
        <w:t>between the COVID-19 infection, hospitalization, and death tables of 414,991</w:t>
      </w:r>
      <w:r w:rsidR="0094323C">
        <w:rPr>
          <w:szCs w:val="22"/>
        </w:rPr>
        <w:t xml:space="preserve"> – where there should be no difference</w:t>
      </w:r>
      <w:r w:rsidR="00E176DE">
        <w:rPr>
          <w:szCs w:val="22"/>
        </w:rPr>
        <w:t xml:space="preserve">. Furthermore, </w:t>
      </w:r>
      <w:r>
        <w:rPr>
          <w:szCs w:val="22"/>
        </w:rPr>
        <w:t xml:space="preserve">there was </w:t>
      </w:r>
      <w:r w:rsidR="00E176DE">
        <w:rPr>
          <w:szCs w:val="22"/>
        </w:rPr>
        <w:t xml:space="preserve">a </w:t>
      </w:r>
      <w:r w:rsidR="00E176DE" w:rsidRPr="007B4526">
        <w:rPr>
          <w:b/>
          <w:bCs w:val="0"/>
          <w:szCs w:val="22"/>
        </w:rPr>
        <w:t xml:space="preserve">precipitous </w:t>
      </w:r>
      <w:r w:rsidR="00D80BFC" w:rsidRPr="007B4526">
        <w:rPr>
          <w:b/>
          <w:bCs w:val="0"/>
          <w:szCs w:val="22"/>
        </w:rPr>
        <w:t>decrease</w:t>
      </w:r>
      <w:r w:rsidR="00E176DE">
        <w:rPr>
          <w:szCs w:val="22"/>
        </w:rPr>
        <w:t xml:space="preserve"> in the mean unvaccinated and population totals between the two sub-periods 05/11/21-17/12/21 and 24/12/21-11/02/22, </w:t>
      </w:r>
      <w:r w:rsidRPr="00847CF3">
        <w:rPr>
          <w:b/>
          <w:bCs w:val="0"/>
          <w:szCs w:val="22"/>
        </w:rPr>
        <w:t>devoid of</w:t>
      </w:r>
      <w:r w:rsidR="00E176DE" w:rsidRPr="00847CF3">
        <w:rPr>
          <w:b/>
          <w:bCs w:val="0"/>
          <w:szCs w:val="22"/>
        </w:rPr>
        <w:t xml:space="preserve"> explanation</w:t>
      </w:r>
      <w:r w:rsidR="00E176DE">
        <w:rPr>
          <w:szCs w:val="22"/>
        </w:rPr>
        <w:t xml:space="preserve">. The </w:t>
      </w:r>
      <w:r w:rsidR="007D4973">
        <w:rPr>
          <w:szCs w:val="22"/>
        </w:rPr>
        <w:t xml:space="preserve">mean </w:t>
      </w:r>
      <w:r w:rsidR="00E176DE">
        <w:rPr>
          <w:szCs w:val="22"/>
        </w:rPr>
        <w:t xml:space="preserve">unvaccinated population declined </w:t>
      </w:r>
      <w:r w:rsidR="00F57EDF">
        <w:rPr>
          <w:szCs w:val="22"/>
        </w:rPr>
        <w:t xml:space="preserve">by </w:t>
      </w:r>
      <w:r w:rsidR="00E176DE">
        <w:rPr>
          <w:szCs w:val="22"/>
        </w:rPr>
        <w:t xml:space="preserve">607,949 while the </w:t>
      </w:r>
      <w:r w:rsidR="007D4973">
        <w:rPr>
          <w:szCs w:val="22"/>
        </w:rPr>
        <w:t xml:space="preserve">mean </w:t>
      </w:r>
      <w:r w:rsidR="00E176DE">
        <w:rPr>
          <w:szCs w:val="22"/>
        </w:rPr>
        <w:t>vaccinated population correspondingly increased by only 58,125, resulting in a mean population decline of 549,824 (COVID-19 infection tables). Similarly, t</w:t>
      </w:r>
      <w:r w:rsidR="00E176DE" w:rsidRPr="00AA20FA">
        <w:rPr>
          <w:szCs w:val="22"/>
        </w:rPr>
        <w:t>h</w:t>
      </w:r>
      <w:r w:rsidR="00E176DE">
        <w:rPr>
          <w:szCs w:val="22"/>
        </w:rPr>
        <w:t>ere was a mean decrease in the unvaccinated, vaccinated, and total populations of 717,072, 49,381, and 766,452</w:t>
      </w:r>
      <w:r w:rsidR="00DF2AF0">
        <w:rPr>
          <w:szCs w:val="22"/>
        </w:rPr>
        <w:t>,</w:t>
      </w:r>
      <w:r w:rsidR="00E176DE">
        <w:rPr>
          <w:szCs w:val="22"/>
        </w:rPr>
        <w:t xml:space="preserve"> respectively</w:t>
      </w:r>
      <w:r w:rsidR="00DF2AF0">
        <w:rPr>
          <w:szCs w:val="22"/>
        </w:rPr>
        <w:t>,</w:t>
      </w:r>
      <w:r w:rsidR="00E176DE">
        <w:rPr>
          <w:szCs w:val="22"/>
        </w:rPr>
        <w:t xml:space="preserve"> </w:t>
      </w:r>
      <w:r w:rsidR="007D4973">
        <w:rPr>
          <w:szCs w:val="22"/>
        </w:rPr>
        <w:t xml:space="preserve">between these two sub-periods </w:t>
      </w:r>
      <w:r w:rsidR="00A423E8">
        <w:rPr>
          <w:szCs w:val="22"/>
        </w:rPr>
        <w:t>for</w:t>
      </w:r>
      <w:r w:rsidR="00E176DE">
        <w:rPr>
          <w:szCs w:val="22"/>
        </w:rPr>
        <w:t xml:space="preserve"> the </w:t>
      </w:r>
      <w:r>
        <w:rPr>
          <w:szCs w:val="22"/>
        </w:rPr>
        <w:t xml:space="preserve">COVID-19 </w:t>
      </w:r>
      <w:r w:rsidR="00E176DE">
        <w:rPr>
          <w:szCs w:val="22"/>
        </w:rPr>
        <w:t>acute hospitalization tables. While the mean total population derived from the COVID-19 death tables was 5,857,333</w:t>
      </w:r>
      <w:r w:rsidR="00E176DE" w:rsidRPr="00E176DE">
        <w:rPr>
          <w:szCs w:val="22"/>
        </w:rPr>
        <w:t xml:space="preserve"> </w:t>
      </w:r>
      <w:r w:rsidR="00E176DE">
        <w:rPr>
          <w:szCs w:val="22"/>
        </w:rPr>
        <w:t xml:space="preserve">versus the Scotland mid-2021 census population estimate of </w:t>
      </w:r>
      <w:r w:rsidR="00E176DE" w:rsidRPr="005634CA">
        <w:rPr>
          <w:szCs w:val="22"/>
        </w:rPr>
        <w:t>5,479,900</w:t>
      </w:r>
      <w:r w:rsidR="00E176DE">
        <w:rPr>
          <w:szCs w:val="22"/>
        </w:rPr>
        <w:t xml:space="preserve">, the difference between the two sub-periods was only 11,157. In other </w:t>
      </w:r>
      <w:r w:rsidR="007D4973">
        <w:rPr>
          <w:szCs w:val="22"/>
        </w:rPr>
        <w:t>words,</w:t>
      </w:r>
      <w:r w:rsidR="00E176DE">
        <w:rPr>
          <w:szCs w:val="22"/>
        </w:rPr>
        <w:t xml:space="preserve"> the PHS unvaccinated totals</w:t>
      </w:r>
      <w:r w:rsidR="009003A5">
        <w:rPr>
          <w:szCs w:val="22"/>
        </w:rPr>
        <w:t xml:space="preserve">, </w:t>
      </w:r>
      <w:r>
        <w:rPr>
          <w:szCs w:val="22"/>
        </w:rPr>
        <w:t xml:space="preserve">all </w:t>
      </w:r>
      <w:r w:rsidR="00DF2AF0">
        <w:rPr>
          <w:szCs w:val="22"/>
        </w:rPr>
        <w:t>PHS-provided</w:t>
      </w:r>
      <w:r w:rsidR="00847CF3">
        <w:rPr>
          <w:szCs w:val="22"/>
        </w:rPr>
        <w:t xml:space="preserve"> </w:t>
      </w:r>
      <w:r w:rsidR="00420FCC">
        <w:rPr>
          <w:szCs w:val="22"/>
        </w:rPr>
        <w:t>age-adjusted</w:t>
      </w:r>
      <w:r w:rsidR="00E176DE">
        <w:rPr>
          <w:szCs w:val="22"/>
        </w:rPr>
        <w:t xml:space="preserve"> rates</w:t>
      </w:r>
      <w:r w:rsidR="009003A5">
        <w:rPr>
          <w:szCs w:val="22"/>
        </w:rPr>
        <w:t>, and COVID-19 infection, hospitalization, and death rate narratives</w:t>
      </w:r>
      <w:r w:rsidR="00674B31">
        <w:rPr>
          <w:szCs w:val="22"/>
        </w:rPr>
        <w:t xml:space="preserve"> should be </w:t>
      </w:r>
      <w:r>
        <w:rPr>
          <w:szCs w:val="22"/>
        </w:rPr>
        <w:t>treated</w:t>
      </w:r>
      <w:r w:rsidR="00674B31">
        <w:rPr>
          <w:szCs w:val="22"/>
        </w:rPr>
        <w:t xml:space="preserve"> with </w:t>
      </w:r>
      <w:r w:rsidR="00674B31" w:rsidRPr="00674B31">
        <w:rPr>
          <w:b/>
          <w:bCs w:val="0"/>
          <w:szCs w:val="22"/>
        </w:rPr>
        <w:t>extreme caution</w:t>
      </w:r>
      <w:r w:rsidR="00DF2AF0">
        <w:rPr>
          <w:szCs w:val="22"/>
        </w:rPr>
        <w:t>, in my opinion.</w:t>
      </w:r>
    </w:p>
    <w:p w14:paraId="7CAA4DCD" w14:textId="2C5B13DA" w:rsidR="00E34EC7" w:rsidRPr="007C5DE0" w:rsidRDefault="00E34EC7" w:rsidP="00E34EC7">
      <w:pPr>
        <w:rPr>
          <w:szCs w:val="22"/>
        </w:rPr>
      </w:pPr>
      <w:r w:rsidRPr="007C5DE0">
        <w:rPr>
          <w:szCs w:val="22"/>
        </w:rPr>
        <w:t>Furthe</w:t>
      </w:r>
      <w:r w:rsidR="00F57EDF">
        <w:rPr>
          <w:szCs w:val="22"/>
        </w:rPr>
        <w:t xml:space="preserve">r compounding </w:t>
      </w:r>
      <w:r w:rsidR="00420FCC">
        <w:rPr>
          <w:szCs w:val="22"/>
        </w:rPr>
        <w:t>this</w:t>
      </w:r>
      <w:r w:rsidR="00F57EDF">
        <w:rPr>
          <w:szCs w:val="22"/>
        </w:rPr>
        <w:t xml:space="preserve"> </w:t>
      </w:r>
      <w:r w:rsidR="000A6E22">
        <w:rPr>
          <w:szCs w:val="22"/>
        </w:rPr>
        <w:t xml:space="preserve">extreme denominator </w:t>
      </w:r>
      <w:r w:rsidR="00F57EDF">
        <w:rPr>
          <w:szCs w:val="22"/>
        </w:rPr>
        <w:t>bias</w:t>
      </w:r>
      <w:r w:rsidRPr="007C5DE0">
        <w:rPr>
          <w:szCs w:val="22"/>
        </w:rPr>
        <w:t xml:space="preserve">, </w:t>
      </w:r>
      <w:r w:rsidR="00ED013A" w:rsidRPr="007C5DE0">
        <w:rPr>
          <w:szCs w:val="22"/>
        </w:rPr>
        <w:t xml:space="preserve">the </w:t>
      </w:r>
      <w:r w:rsidRPr="007C5DE0">
        <w:rPr>
          <w:szCs w:val="22"/>
        </w:rPr>
        <w:t xml:space="preserve">PHS age-standardized its </w:t>
      </w:r>
      <w:r w:rsidR="00407A21" w:rsidRPr="007C5DE0">
        <w:rPr>
          <w:szCs w:val="22"/>
        </w:rPr>
        <w:t xml:space="preserve">COVID-19 acute </w:t>
      </w:r>
      <w:r w:rsidR="00407A21" w:rsidRPr="007C5DE0">
        <w:rPr>
          <w:szCs w:val="22"/>
        </w:rPr>
        <w:lastRenderedPageBreak/>
        <w:t xml:space="preserve">hospitalization and death </w:t>
      </w:r>
      <w:r w:rsidRPr="007C5DE0">
        <w:rPr>
          <w:szCs w:val="22"/>
        </w:rPr>
        <w:t>rate</w:t>
      </w:r>
      <w:r w:rsidR="00407A21" w:rsidRPr="007C5DE0">
        <w:rPr>
          <w:szCs w:val="22"/>
        </w:rPr>
        <w:t xml:space="preserve"> data</w:t>
      </w:r>
      <w:r w:rsidR="00ED013A" w:rsidRPr="007C5DE0">
        <w:rPr>
          <w:szCs w:val="22"/>
        </w:rPr>
        <w:t xml:space="preserve"> using the </w:t>
      </w:r>
      <w:r w:rsidR="00F57EDF">
        <w:rPr>
          <w:szCs w:val="22"/>
        </w:rPr>
        <w:t>aged</w:t>
      </w:r>
      <w:r w:rsidR="00ED013A" w:rsidRPr="007C5DE0">
        <w:rPr>
          <w:szCs w:val="22"/>
        </w:rPr>
        <w:t xml:space="preserve"> 2013 European Standard Population </w:t>
      </w:r>
      <w:r w:rsidR="00B94812" w:rsidRPr="007C5DE0">
        <w:rPr>
          <w:szCs w:val="22"/>
        </w:rPr>
        <w:t xml:space="preserve">(ESP) </w:t>
      </w:r>
      <w:r w:rsidR="00ED013A" w:rsidRPr="007C5DE0">
        <w:rPr>
          <w:szCs w:val="22"/>
        </w:rPr>
        <w:t>data</w:t>
      </w:r>
      <w:r w:rsidR="00B94812" w:rsidRPr="007C5DE0">
        <w:rPr>
          <w:szCs w:val="22"/>
        </w:rPr>
        <w:t>.</w:t>
      </w:r>
      <w:r w:rsidR="00420FCC">
        <w:rPr>
          <w:szCs w:val="22"/>
        </w:rPr>
        <w:t xml:space="preserve"> </w:t>
      </w:r>
      <w:r w:rsidR="00B94812" w:rsidRPr="007C5DE0">
        <w:rPr>
          <w:szCs w:val="22"/>
        </w:rPr>
        <w:t xml:space="preserve">Age standardization </w:t>
      </w:r>
      <w:r w:rsidR="00EA159D" w:rsidRPr="007C5DE0">
        <w:rPr>
          <w:szCs w:val="22"/>
        </w:rPr>
        <w:t xml:space="preserve">is typically used </w:t>
      </w:r>
      <w:r w:rsidR="00B94812" w:rsidRPr="007C5DE0">
        <w:rPr>
          <w:szCs w:val="22"/>
        </w:rPr>
        <w:t>to</w:t>
      </w:r>
      <w:r w:rsidR="001B4627" w:rsidRPr="007C5DE0">
        <w:rPr>
          <w:szCs w:val="22"/>
        </w:rPr>
        <w:t xml:space="preserve"> weight incidence and mortality data</w:t>
      </w:r>
      <w:r w:rsidR="00B94812" w:rsidRPr="007C5DE0">
        <w:rPr>
          <w:szCs w:val="22"/>
        </w:rPr>
        <w:t xml:space="preserve"> to ensure comparability between countries and over time to reflect different population age structures.</w:t>
      </w:r>
      <w:r w:rsidR="002A0F02" w:rsidRPr="007C5DE0">
        <w:rPr>
          <w:rStyle w:val="EndnoteReference"/>
          <w:szCs w:val="22"/>
        </w:rPr>
        <w:endnoteReference w:id="36"/>
      </w:r>
      <w:r w:rsidR="00EA159D" w:rsidRPr="007C5DE0">
        <w:rPr>
          <w:szCs w:val="22"/>
        </w:rPr>
        <w:t xml:space="preserve"> The PHS justified its use of age standardization</w:t>
      </w:r>
      <w:r w:rsidR="00A423E8">
        <w:rPr>
          <w:szCs w:val="22"/>
        </w:rPr>
        <w:t xml:space="preserve"> for its weekly data</w:t>
      </w:r>
      <w:r w:rsidR="00EA159D" w:rsidRPr="007C5DE0">
        <w:rPr>
          <w:szCs w:val="22"/>
        </w:rPr>
        <w:t xml:space="preserve"> by </w:t>
      </w:r>
      <w:r w:rsidR="00407A21" w:rsidRPr="007C5DE0">
        <w:rPr>
          <w:szCs w:val="22"/>
        </w:rPr>
        <w:t>claim</w:t>
      </w:r>
      <w:r w:rsidR="00EA159D" w:rsidRPr="007C5DE0">
        <w:rPr>
          <w:szCs w:val="22"/>
        </w:rPr>
        <w:t>ing</w:t>
      </w:r>
      <w:r w:rsidR="00407A21" w:rsidRPr="007C5DE0">
        <w:rPr>
          <w:szCs w:val="22"/>
        </w:rPr>
        <w:t xml:space="preserve"> </w:t>
      </w:r>
      <w:r w:rsidR="00EA159D" w:rsidRPr="007C5DE0">
        <w:rPr>
          <w:szCs w:val="22"/>
        </w:rPr>
        <w:t>the</w:t>
      </w:r>
      <w:r w:rsidR="00407A21" w:rsidRPr="007C5DE0">
        <w:rPr>
          <w:szCs w:val="22"/>
        </w:rPr>
        <w:t xml:space="preserve"> unvaccinated were younger than those receiving two or more COVID-19 vaccine doses and that older individuals were more likely to be hospitalized than younger individuals</w:t>
      </w:r>
      <w:r w:rsidR="006C5F96" w:rsidRPr="007C5DE0">
        <w:rPr>
          <w:szCs w:val="22"/>
        </w:rPr>
        <w:t xml:space="preserve">. </w:t>
      </w:r>
      <w:r w:rsidR="007370EE" w:rsidRPr="007C5DE0">
        <w:rPr>
          <w:szCs w:val="22"/>
        </w:rPr>
        <w:t>While</w:t>
      </w:r>
      <w:r w:rsidR="000C66AD">
        <w:rPr>
          <w:szCs w:val="22"/>
        </w:rPr>
        <w:t xml:space="preserve"> vaccination rates were </w:t>
      </w:r>
      <w:r w:rsidR="00CB7453">
        <w:rPr>
          <w:szCs w:val="22"/>
        </w:rPr>
        <w:t xml:space="preserve">moderately </w:t>
      </w:r>
      <w:r w:rsidR="000C66AD">
        <w:rPr>
          <w:szCs w:val="22"/>
        </w:rPr>
        <w:t xml:space="preserve">lower in </w:t>
      </w:r>
      <w:r w:rsidR="007370EE" w:rsidRPr="007C5DE0">
        <w:rPr>
          <w:szCs w:val="22"/>
        </w:rPr>
        <w:t>those aged &lt;50yrs</w:t>
      </w:r>
      <w:r w:rsidR="00EE0E4D" w:rsidRPr="007C5DE0">
        <w:rPr>
          <w:szCs w:val="22"/>
        </w:rPr>
        <w:t xml:space="preserve"> </w:t>
      </w:r>
      <w:r w:rsidR="00CB7453">
        <w:rPr>
          <w:szCs w:val="22"/>
        </w:rPr>
        <w:t xml:space="preserve">by this stage of the pandemic </w:t>
      </w:r>
      <w:r w:rsidR="00EE0E4D" w:rsidRPr="007C5DE0">
        <w:rPr>
          <w:szCs w:val="22"/>
        </w:rPr>
        <w:t>(pg.35)</w:t>
      </w:r>
      <w:r w:rsidR="00F06DA4" w:rsidRPr="007C5DE0">
        <w:rPr>
          <w:szCs w:val="22"/>
        </w:rPr>
        <w:t>,</w:t>
      </w:r>
      <w:r w:rsidR="007370EE" w:rsidRPr="007C5DE0">
        <w:rPr>
          <w:rStyle w:val="EndnoteReference"/>
          <w:szCs w:val="22"/>
        </w:rPr>
        <w:endnoteReference w:id="37"/>
      </w:r>
      <w:r w:rsidR="00F06DA4" w:rsidRPr="007C5DE0">
        <w:rPr>
          <w:szCs w:val="22"/>
        </w:rPr>
        <w:t xml:space="preserve"> as the UKHSA data demonstrate</w:t>
      </w:r>
      <w:r w:rsidR="00942064" w:rsidRPr="007C5DE0">
        <w:rPr>
          <w:szCs w:val="22"/>
        </w:rPr>
        <w:t xml:space="preserve">d </w:t>
      </w:r>
      <w:r w:rsidR="001B4627" w:rsidRPr="007C5DE0">
        <w:rPr>
          <w:szCs w:val="22"/>
        </w:rPr>
        <w:t xml:space="preserve">it was </w:t>
      </w:r>
      <w:r w:rsidR="00942064" w:rsidRPr="007C5DE0">
        <w:rPr>
          <w:szCs w:val="22"/>
        </w:rPr>
        <w:t xml:space="preserve">the </w:t>
      </w:r>
      <w:r w:rsidR="00C975CA" w:rsidRPr="00C975CA">
        <w:rPr>
          <w:szCs w:val="22"/>
        </w:rPr>
        <w:t>≥</w:t>
      </w:r>
      <w:r w:rsidR="00C975CA">
        <w:rPr>
          <w:szCs w:val="22"/>
        </w:rPr>
        <w:t xml:space="preserve">50-year demographics </w:t>
      </w:r>
      <w:r w:rsidR="001B4627" w:rsidRPr="007C5DE0">
        <w:rPr>
          <w:szCs w:val="22"/>
        </w:rPr>
        <w:t xml:space="preserve">who dominated COVID-19 deaths </w:t>
      </w:r>
      <w:r w:rsidR="00EA159D" w:rsidRPr="007C5DE0">
        <w:rPr>
          <w:szCs w:val="22"/>
        </w:rPr>
        <w:t>(</w:t>
      </w:r>
      <w:r w:rsidR="000C66AD">
        <w:rPr>
          <w:szCs w:val="22"/>
        </w:rPr>
        <w:t xml:space="preserve">i.e., </w:t>
      </w:r>
      <w:r w:rsidR="00C975CA">
        <w:rPr>
          <w:szCs w:val="22"/>
        </w:rPr>
        <w:t>va</w:t>
      </w:r>
      <w:r w:rsidR="000C66AD">
        <w:rPr>
          <w:szCs w:val="22"/>
        </w:rPr>
        <w:t>ccinated</w:t>
      </w:r>
      <w:r w:rsidR="00C975CA">
        <w:rPr>
          <w:szCs w:val="22"/>
        </w:rPr>
        <w:t xml:space="preserve"> 79</w:t>
      </w:r>
      <w:r w:rsidR="00EA159D" w:rsidRPr="007C5DE0">
        <w:rPr>
          <w:szCs w:val="22"/>
        </w:rPr>
        <w:t>%</w:t>
      </w:r>
      <w:r w:rsidR="00C975CA">
        <w:rPr>
          <w:szCs w:val="22"/>
        </w:rPr>
        <w:t xml:space="preserve">, </w:t>
      </w:r>
      <w:r w:rsidR="000C66AD">
        <w:rPr>
          <w:szCs w:val="22"/>
        </w:rPr>
        <w:t>vaccinated/unvaccinated</w:t>
      </w:r>
      <w:r w:rsidR="00C975CA">
        <w:rPr>
          <w:szCs w:val="22"/>
        </w:rPr>
        <w:t xml:space="preserve"> 96%</w:t>
      </w:r>
      <w:r w:rsidR="00EA159D" w:rsidRPr="007C5DE0">
        <w:rPr>
          <w:szCs w:val="22"/>
        </w:rPr>
        <w:t xml:space="preserve">) </w:t>
      </w:r>
      <w:r w:rsidR="001B4627" w:rsidRPr="007C5DE0">
        <w:rPr>
          <w:szCs w:val="22"/>
        </w:rPr>
        <w:t xml:space="preserve">and hospitalizations </w:t>
      </w:r>
      <w:r w:rsidR="00EA159D" w:rsidRPr="007C5DE0">
        <w:rPr>
          <w:szCs w:val="22"/>
        </w:rPr>
        <w:t>(</w:t>
      </w:r>
      <w:r w:rsidR="000C66AD">
        <w:rPr>
          <w:szCs w:val="22"/>
        </w:rPr>
        <w:t xml:space="preserve">i.e., </w:t>
      </w:r>
      <w:r w:rsidR="00C975CA">
        <w:rPr>
          <w:szCs w:val="22"/>
        </w:rPr>
        <w:t>vaccinated 53</w:t>
      </w:r>
      <w:r w:rsidR="00EA159D" w:rsidRPr="007C5DE0">
        <w:rPr>
          <w:szCs w:val="22"/>
        </w:rPr>
        <w:t>%</w:t>
      </w:r>
      <w:r w:rsidR="00C975CA">
        <w:rPr>
          <w:szCs w:val="22"/>
        </w:rPr>
        <w:t xml:space="preserve">, </w:t>
      </w:r>
      <w:r w:rsidR="000C66AD">
        <w:rPr>
          <w:szCs w:val="22"/>
        </w:rPr>
        <w:t xml:space="preserve">vaccinated/unvaccinated </w:t>
      </w:r>
      <w:r w:rsidR="00C975CA">
        <w:rPr>
          <w:szCs w:val="22"/>
        </w:rPr>
        <w:t>65%</w:t>
      </w:r>
      <w:r w:rsidR="00EA159D" w:rsidRPr="007C5DE0">
        <w:rPr>
          <w:szCs w:val="22"/>
        </w:rPr>
        <w:t>)</w:t>
      </w:r>
      <w:r w:rsidR="00C975CA">
        <w:rPr>
          <w:szCs w:val="22"/>
        </w:rPr>
        <w:t xml:space="preserve">, </w:t>
      </w:r>
      <w:r w:rsidR="00A423E8">
        <w:rPr>
          <w:szCs w:val="22"/>
        </w:rPr>
        <w:t>arguably</w:t>
      </w:r>
      <w:r w:rsidR="00E55365" w:rsidRPr="007C5DE0">
        <w:rPr>
          <w:szCs w:val="22"/>
        </w:rPr>
        <w:t xml:space="preserve"> making </w:t>
      </w:r>
      <w:r w:rsidR="00EA3CC2">
        <w:rPr>
          <w:szCs w:val="22"/>
        </w:rPr>
        <w:t xml:space="preserve">the need for </w:t>
      </w:r>
      <w:r w:rsidR="00E55365" w:rsidRPr="007C5DE0">
        <w:rPr>
          <w:szCs w:val="22"/>
        </w:rPr>
        <w:t>age standardization a moot point</w:t>
      </w:r>
      <w:r w:rsidR="001B4627" w:rsidRPr="007C5DE0">
        <w:rPr>
          <w:szCs w:val="22"/>
        </w:rPr>
        <w:t>.</w:t>
      </w:r>
      <w:r w:rsidR="00EA159D" w:rsidRPr="007C5DE0">
        <w:rPr>
          <w:szCs w:val="22"/>
        </w:rPr>
        <w:t xml:space="preserve"> </w:t>
      </w:r>
      <w:r w:rsidR="000A6E22">
        <w:rPr>
          <w:szCs w:val="22"/>
        </w:rPr>
        <w:t xml:space="preserve">Scotland could have provided us demographic-specific data like the UKHSA did, which would have provided greater transparency on its data and conclusions. </w:t>
      </w:r>
      <w:r w:rsidR="00EA159D" w:rsidRPr="00B24046">
        <w:rPr>
          <w:szCs w:val="22"/>
        </w:rPr>
        <w:t xml:space="preserve">In my view, </w:t>
      </w:r>
      <w:r w:rsidR="00E55365" w:rsidRPr="00B24046">
        <w:rPr>
          <w:szCs w:val="22"/>
        </w:rPr>
        <w:t>age standardization</w:t>
      </w:r>
      <w:r w:rsidR="00EA159D" w:rsidRPr="00B24046">
        <w:rPr>
          <w:szCs w:val="22"/>
        </w:rPr>
        <w:t xml:space="preserve"> was </w:t>
      </w:r>
      <w:r w:rsidR="00EA159D" w:rsidRPr="007C5DE0">
        <w:rPr>
          <w:szCs w:val="22"/>
        </w:rPr>
        <w:t xml:space="preserve">another means </w:t>
      </w:r>
      <w:r w:rsidR="00C975CA">
        <w:rPr>
          <w:szCs w:val="22"/>
        </w:rPr>
        <w:t xml:space="preserve">for </w:t>
      </w:r>
      <w:r w:rsidR="00EA159D" w:rsidRPr="007C5DE0">
        <w:rPr>
          <w:szCs w:val="22"/>
        </w:rPr>
        <w:t xml:space="preserve">introducing </w:t>
      </w:r>
      <w:r w:rsidR="002D1A98">
        <w:rPr>
          <w:szCs w:val="22"/>
        </w:rPr>
        <w:t>unspecified</w:t>
      </w:r>
      <w:r w:rsidR="00420FCC">
        <w:rPr>
          <w:szCs w:val="22"/>
        </w:rPr>
        <w:t xml:space="preserve"> </w:t>
      </w:r>
      <w:r w:rsidR="00EA159D" w:rsidRPr="007C5DE0">
        <w:rPr>
          <w:szCs w:val="22"/>
        </w:rPr>
        <w:t>numerator and denominator bias</w:t>
      </w:r>
      <w:r w:rsidR="00E55365" w:rsidRPr="007C5DE0">
        <w:rPr>
          <w:szCs w:val="22"/>
        </w:rPr>
        <w:t xml:space="preserve"> into rate calculations. The PHS stopped providing case</w:t>
      </w:r>
      <w:r w:rsidRPr="007C5DE0">
        <w:rPr>
          <w:szCs w:val="22"/>
        </w:rPr>
        <w:t xml:space="preserve"> data by vaccination status</w:t>
      </w:r>
      <w:r w:rsidR="00E55365" w:rsidRPr="007C5DE0">
        <w:rPr>
          <w:szCs w:val="22"/>
        </w:rPr>
        <w:t xml:space="preserve"> as of 16/02/22</w:t>
      </w:r>
      <w:r w:rsidR="00DF2AF0">
        <w:rPr>
          <w:szCs w:val="22"/>
        </w:rPr>
        <w:t>,</w:t>
      </w:r>
      <w:r w:rsidR="00E55365" w:rsidRPr="007C5DE0">
        <w:rPr>
          <w:szCs w:val="22"/>
        </w:rPr>
        <w:t xml:space="preserve"> </w:t>
      </w:r>
      <w:r w:rsidR="00D05798" w:rsidRPr="00D05798">
        <w:rPr>
          <w:szCs w:val="22"/>
        </w:rPr>
        <w:t xml:space="preserve">making it </w:t>
      </w:r>
      <w:r w:rsidR="00D05798" w:rsidRPr="00D05798">
        <w:rPr>
          <w:b/>
          <w:bCs w:val="0"/>
          <w:iCs/>
          <w:szCs w:val="22"/>
        </w:rPr>
        <w:t>impossible</w:t>
      </w:r>
      <w:r w:rsidR="00D05798" w:rsidRPr="00D05798">
        <w:rPr>
          <w:i/>
          <w:szCs w:val="22"/>
        </w:rPr>
        <w:t xml:space="preserve"> </w:t>
      </w:r>
      <w:r w:rsidR="00D05798" w:rsidRPr="00D05798">
        <w:rPr>
          <w:iCs/>
          <w:szCs w:val="22"/>
        </w:rPr>
        <w:t xml:space="preserve">to monitor for evidence of negative vaccine effectiveness and </w:t>
      </w:r>
      <w:r w:rsidR="00CB7453">
        <w:rPr>
          <w:iCs/>
          <w:szCs w:val="22"/>
        </w:rPr>
        <w:t>thus</w:t>
      </w:r>
      <w:r w:rsidR="00D05798" w:rsidRPr="00D05798">
        <w:rPr>
          <w:iCs/>
          <w:szCs w:val="22"/>
        </w:rPr>
        <w:t xml:space="preserve"> </w:t>
      </w:r>
      <w:r w:rsidR="00D05798" w:rsidRPr="00D05798">
        <w:rPr>
          <w:i/>
          <w:szCs w:val="22"/>
        </w:rPr>
        <w:t>antibody-dependent enhancement of infection</w:t>
      </w:r>
      <w:r w:rsidR="00D05798" w:rsidRPr="00D05798">
        <w:rPr>
          <w:szCs w:val="22"/>
        </w:rPr>
        <w:t>.</w:t>
      </w:r>
    </w:p>
    <w:p w14:paraId="11058141" w14:textId="6CA7FDB5" w:rsidR="00E75BE2" w:rsidRDefault="00E6491B" w:rsidP="00B21E6E">
      <w:pPr>
        <w:rPr>
          <w:szCs w:val="22"/>
          <w:u w:val="single"/>
        </w:rPr>
      </w:pPr>
      <w:r w:rsidRPr="004C6480">
        <w:rPr>
          <w:b/>
          <w:bCs w:val="0"/>
          <w:szCs w:val="22"/>
          <w:u w:val="single"/>
        </w:rPr>
        <w:t>Canada</w:t>
      </w:r>
      <w:r w:rsidRPr="00E61C0B">
        <w:rPr>
          <w:szCs w:val="22"/>
        </w:rPr>
        <w:t xml:space="preserve">: The Public Health Agency of Canada (PHAC) provided cumulative case data since 14 December 2020 (i.e., the start of their vaccination campaign) rather than weekly or monthly </w:t>
      </w:r>
      <w:r>
        <w:rPr>
          <w:szCs w:val="22"/>
        </w:rPr>
        <w:t xml:space="preserve">new case </w:t>
      </w:r>
      <w:r w:rsidRPr="00E61C0B">
        <w:rPr>
          <w:szCs w:val="22"/>
        </w:rPr>
        <w:t>data. Figure 5 in each report (“</w:t>
      </w:r>
      <w:r w:rsidRPr="00420FCC">
        <w:rPr>
          <w:i/>
          <w:iCs/>
          <w:szCs w:val="22"/>
        </w:rPr>
        <w:t>Distribution of confirmed COVID-19 cases reported to PHAC by vaccination status as of</w:t>
      </w:r>
      <w:r w:rsidRPr="00E61C0B">
        <w:rPr>
          <w:szCs w:val="22"/>
        </w:rPr>
        <w:t>,” i.e., May 08, 2022</w:t>
      </w:r>
      <w:r>
        <w:rPr>
          <w:rStyle w:val="EndnoteReference"/>
          <w:szCs w:val="22"/>
        </w:rPr>
        <w:endnoteReference w:id="38"/>
      </w:r>
      <w:r w:rsidRPr="00E61C0B">
        <w:rPr>
          <w:szCs w:val="22"/>
        </w:rPr>
        <w:t xml:space="preserve">) shows the </w:t>
      </w:r>
      <w:r>
        <w:rPr>
          <w:szCs w:val="22"/>
        </w:rPr>
        <w:t xml:space="preserve">cumulative </w:t>
      </w:r>
      <w:r w:rsidRPr="00E61C0B">
        <w:rPr>
          <w:szCs w:val="22"/>
        </w:rPr>
        <w:t>unvaccinated percentage of COVID-19 cases, hospitalizations, and deaths as 45.0%, 55.9%, and 56.7% respectively</w:t>
      </w:r>
      <w:r>
        <w:rPr>
          <w:szCs w:val="22"/>
        </w:rPr>
        <w:t>, along with the vaccinated percentages</w:t>
      </w:r>
      <w:r w:rsidRPr="00E61C0B">
        <w:rPr>
          <w:szCs w:val="22"/>
        </w:rPr>
        <w:t xml:space="preserve">. However, when </w:t>
      </w:r>
      <w:r w:rsidR="009F14BC">
        <w:rPr>
          <w:szCs w:val="22"/>
        </w:rPr>
        <w:t xml:space="preserve">unvaccinated </w:t>
      </w:r>
      <w:r w:rsidRPr="00E61C0B">
        <w:rPr>
          <w:szCs w:val="22"/>
        </w:rPr>
        <w:t xml:space="preserve">percentages </w:t>
      </w:r>
      <w:r w:rsidR="00E75BE2">
        <w:rPr>
          <w:szCs w:val="22"/>
        </w:rPr>
        <w:t>were</w:t>
      </w:r>
      <w:r w:rsidRPr="00E61C0B">
        <w:rPr>
          <w:szCs w:val="22"/>
        </w:rPr>
        <w:t xml:space="preserve"> calculated using the difference between May 08 and April 1</w:t>
      </w:r>
      <w:r w:rsidR="009F14BC">
        <w:rPr>
          <w:szCs w:val="22"/>
        </w:rPr>
        <w:t>1</w:t>
      </w:r>
      <w:r>
        <w:rPr>
          <w:szCs w:val="22"/>
        </w:rPr>
        <w:t xml:space="preserve"> (i.e., new cases in one month)</w:t>
      </w:r>
      <w:r w:rsidRPr="00E61C0B">
        <w:rPr>
          <w:szCs w:val="22"/>
        </w:rPr>
        <w:t xml:space="preserve">, 2022, these percentages become 19.3% (2.3x less), 22.4% (2.5x less), and 30.5% (1.9x less) respectively. </w:t>
      </w:r>
      <w:r w:rsidR="001636AB">
        <w:rPr>
          <w:szCs w:val="22"/>
        </w:rPr>
        <w:t xml:space="preserve">I concluded the use of cumulative data since 14/12/20 </w:t>
      </w:r>
      <w:r w:rsidR="001636AB" w:rsidRPr="00CB7453">
        <w:rPr>
          <w:b/>
          <w:bCs w:val="0"/>
          <w:szCs w:val="22"/>
        </w:rPr>
        <w:t>biased</w:t>
      </w:r>
      <w:r w:rsidR="001636AB">
        <w:rPr>
          <w:szCs w:val="22"/>
        </w:rPr>
        <w:t xml:space="preserve"> </w:t>
      </w:r>
      <w:r w:rsidR="00420FCC">
        <w:rPr>
          <w:szCs w:val="22"/>
        </w:rPr>
        <w:t>higher</w:t>
      </w:r>
      <w:r w:rsidR="003F7082">
        <w:rPr>
          <w:szCs w:val="22"/>
        </w:rPr>
        <w:t xml:space="preserve"> </w:t>
      </w:r>
      <w:r w:rsidR="001636AB">
        <w:rPr>
          <w:szCs w:val="22"/>
        </w:rPr>
        <w:t>unvaccinated percentage</w:t>
      </w:r>
      <w:r w:rsidR="003F7082">
        <w:rPr>
          <w:szCs w:val="22"/>
        </w:rPr>
        <w:t>s</w:t>
      </w:r>
      <w:r w:rsidR="001636AB">
        <w:rPr>
          <w:szCs w:val="22"/>
        </w:rPr>
        <w:t xml:space="preserve"> and rates</w:t>
      </w:r>
      <w:r w:rsidR="00420FCC">
        <w:rPr>
          <w:szCs w:val="22"/>
        </w:rPr>
        <w:t>,</w:t>
      </w:r>
      <w:r w:rsidR="001636AB">
        <w:rPr>
          <w:szCs w:val="22"/>
        </w:rPr>
        <w:t xml:space="preserve"> </w:t>
      </w:r>
      <w:r w:rsidR="00420FCC">
        <w:rPr>
          <w:szCs w:val="22"/>
        </w:rPr>
        <w:t xml:space="preserve">which </w:t>
      </w:r>
      <w:r w:rsidR="00121E07">
        <w:rPr>
          <w:szCs w:val="22"/>
        </w:rPr>
        <w:t>essentially</w:t>
      </w:r>
      <w:r w:rsidR="00420FCC">
        <w:rPr>
          <w:szCs w:val="22"/>
        </w:rPr>
        <w:t xml:space="preserve"> eliminated</w:t>
      </w:r>
      <w:r w:rsidR="001636AB">
        <w:rPr>
          <w:szCs w:val="22"/>
        </w:rPr>
        <w:t xml:space="preserve"> </w:t>
      </w:r>
      <w:r w:rsidR="00121E07">
        <w:rPr>
          <w:szCs w:val="22"/>
        </w:rPr>
        <w:t xml:space="preserve">the </w:t>
      </w:r>
      <w:r w:rsidR="001636AB">
        <w:rPr>
          <w:szCs w:val="22"/>
        </w:rPr>
        <w:t>negative vaccine effectiveness</w:t>
      </w:r>
      <w:r w:rsidR="00121E07">
        <w:rPr>
          <w:szCs w:val="22"/>
        </w:rPr>
        <w:t xml:space="preserve"> harm signal</w:t>
      </w:r>
      <w:r w:rsidR="001636AB">
        <w:rPr>
          <w:szCs w:val="22"/>
        </w:rPr>
        <w:t xml:space="preserve">. </w:t>
      </w:r>
    </w:p>
    <w:p w14:paraId="6634886B" w14:textId="013C4850" w:rsidR="00B21E6E" w:rsidRPr="00E75BE2" w:rsidRDefault="007E3EB0" w:rsidP="00B21E6E">
      <w:pPr>
        <w:rPr>
          <w:szCs w:val="22"/>
          <w:u w:val="single"/>
        </w:rPr>
      </w:pPr>
      <w:r>
        <w:rPr>
          <w:szCs w:val="22"/>
        </w:rPr>
        <w:t>In Table 3 (</w:t>
      </w:r>
      <w:r w:rsidR="00AB2D40">
        <w:rPr>
          <w:szCs w:val="22"/>
        </w:rPr>
        <w:t>“</w:t>
      </w:r>
      <w:r w:rsidRPr="00420FCC">
        <w:rPr>
          <w:i/>
          <w:iCs/>
          <w:szCs w:val="22"/>
        </w:rPr>
        <w:t>Risk of severe outcomes among unvaccinated cases, compared to fully vaccinated cases and cases fully vaccinated with an additional dose, April 11, 2022, to May 08, 2022</w:t>
      </w:r>
      <w:r w:rsidR="00121E07">
        <w:rPr>
          <w:i/>
          <w:iCs/>
          <w:szCs w:val="22"/>
        </w:rPr>
        <w:t>,</w:t>
      </w:r>
      <w:r w:rsidR="00AB2D40">
        <w:rPr>
          <w:szCs w:val="22"/>
        </w:rPr>
        <w:t>”</w:t>
      </w:r>
      <w:r w:rsidR="00E75BE2">
        <w:rPr>
          <w:szCs w:val="22"/>
        </w:rPr>
        <w:t xml:space="preserve"> </w:t>
      </w:r>
      <w:r w:rsidR="0083702C" w:rsidRPr="0083702C">
        <w:rPr>
          <w:szCs w:val="22"/>
        </w:rPr>
        <w:t>≥5</w:t>
      </w:r>
      <w:r w:rsidR="00E75BE2">
        <w:rPr>
          <w:szCs w:val="22"/>
        </w:rPr>
        <w:t>yr of age</w:t>
      </w:r>
      <w:r>
        <w:rPr>
          <w:szCs w:val="22"/>
        </w:rPr>
        <w:t>) PHAC provide</w:t>
      </w:r>
      <w:r w:rsidR="00E75BE2">
        <w:rPr>
          <w:szCs w:val="22"/>
        </w:rPr>
        <w:t>d</w:t>
      </w:r>
      <w:r>
        <w:rPr>
          <w:szCs w:val="22"/>
        </w:rPr>
        <w:t xml:space="preserve"> </w:t>
      </w:r>
      <w:r w:rsidRPr="007E3EB0">
        <w:rPr>
          <w:szCs w:val="22"/>
        </w:rPr>
        <w:t xml:space="preserve">4-week </w:t>
      </w:r>
      <w:r>
        <w:rPr>
          <w:szCs w:val="22"/>
        </w:rPr>
        <w:t>age-standardized</w:t>
      </w:r>
      <w:r w:rsidRPr="007E3EB0">
        <w:rPr>
          <w:szCs w:val="22"/>
        </w:rPr>
        <w:t xml:space="preserve"> </w:t>
      </w:r>
      <w:r w:rsidR="007B6E03" w:rsidRPr="007E3EB0">
        <w:rPr>
          <w:szCs w:val="22"/>
        </w:rPr>
        <w:t>rate</w:t>
      </w:r>
      <w:r w:rsidR="007B6E03">
        <w:rPr>
          <w:szCs w:val="22"/>
        </w:rPr>
        <w:t xml:space="preserve"> </w:t>
      </w:r>
      <w:r w:rsidR="007B6E03" w:rsidRPr="007E3EB0">
        <w:rPr>
          <w:szCs w:val="22"/>
        </w:rPr>
        <w:t>ratio</w:t>
      </w:r>
      <w:r w:rsidR="007B6E03">
        <w:rPr>
          <w:szCs w:val="22"/>
        </w:rPr>
        <w:t xml:space="preserve">s </w:t>
      </w:r>
      <w:r w:rsidR="0085581D">
        <w:rPr>
          <w:szCs w:val="22"/>
        </w:rPr>
        <w:t xml:space="preserve">for COVID-19 hospitalizations for the </w:t>
      </w:r>
      <w:r w:rsidR="00B21E6E">
        <w:rPr>
          <w:szCs w:val="22"/>
        </w:rPr>
        <w:t>2-dose</w:t>
      </w:r>
      <w:r w:rsidR="0085581D">
        <w:rPr>
          <w:szCs w:val="22"/>
        </w:rPr>
        <w:t xml:space="preserve"> (3x) and </w:t>
      </w:r>
      <w:r w:rsidR="00B21E6E">
        <w:rPr>
          <w:szCs w:val="22"/>
        </w:rPr>
        <w:t>3-dose</w:t>
      </w:r>
      <w:r w:rsidR="0085581D">
        <w:rPr>
          <w:szCs w:val="22"/>
        </w:rPr>
        <w:t xml:space="preserve"> (</w:t>
      </w:r>
      <w:r w:rsidR="00FE6ABF">
        <w:rPr>
          <w:szCs w:val="22"/>
        </w:rPr>
        <w:t>5x</w:t>
      </w:r>
      <w:r w:rsidR="007B6E03">
        <w:rPr>
          <w:szCs w:val="22"/>
        </w:rPr>
        <w:t>)</w:t>
      </w:r>
      <w:r w:rsidR="00AB2D40">
        <w:rPr>
          <w:szCs w:val="22"/>
        </w:rPr>
        <w:t>,</w:t>
      </w:r>
      <w:r w:rsidR="00290178">
        <w:rPr>
          <w:szCs w:val="22"/>
        </w:rPr>
        <w:t xml:space="preserve"> and COVID-19 deaths for the </w:t>
      </w:r>
      <w:r w:rsidR="00B21E6E">
        <w:rPr>
          <w:szCs w:val="22"/>
        </w:rPr>
        <w:t>2-dose</w:t>
      </w:r>
      <w:r w:rsidR="00290178">
        <w:rPr>
          <w:szCs w:val="22"/>
        </w:rPr>
        <w:t xml:space="preserve"> (5x) and </w:t>
      </w:r>
      <w:r w:rsidR="00B21E6E">
        <w:rPr>
          <w:szCs w:val="22"/>
        </w:rPr>
        <w:t>3-dose</w:t>
      </w:r>
      <w:r w:rsidR="00290178">
        <w:rPr>
          <w:szCs w:val="22"/>
        </w:rPr>
        <w:t xml:space="preserve"> (7x)</w:t>
      </w:r>
      <w:r w:rsidR="00AB2D40" w:rsidRPr="00AB2D40">
        <w:rPr>
          <w:szCs w:val="22"/>
        </w:rPr>
        <w:t xml:space="preserve"> </w:t>
      </w:r>
      <w:r w:rsidR="00AB2D40">
        <w:rPr>
          <w:szCs w:val="22"/>
        </w:rPr>
        <w:t>(</w:t>
      </w:r>
      <w:r w:rsidR="00B21E6E">
        <w:rPr>
          <w:szCs w:val="22"/>
        </w:rPr>
        <w:t xml:space="preserve">i.e., </w:t>
      </w:r>
      <w:r w:rsidR="00AB2D40" w:rsidRPr="00AB2D40">
        <w:rPr>
          <w:szCs w:val="22"/>
        </w:rPr>
        <w:t>unvaccinated compared to</w:t>
      </w:r>
      <w:r w:rsidR="00AB2D40">
        <w:rPr>
          <w:szCs w:val="22"/>
        </w:rPr>
        <w:t xml:space="preserve"> </w:t>
      </w:r>
      <w:r w:rsidR="00AB2D40" w:rsidRPr="00AB2D40">
        <w:rPr>
          <w:szCs w:val="22"/>
        </w:rPr>
        <w:t>vaccinated</w:t>
      </w:r>
      <w:r w:rsidR="00AB2D40">
        <w:rPr>
          <w:szCs w:val="22"/>
        </w:rPr>
        <w:t>)</w:t>
      </w:r>
      <w:r w:rsidR="00E75BE2">
        <w:rPr>
          <w:szCs w:val="22"/>
        </w:rPr>
        <w:t>. PHAC</w:t>
      </w:r>
      <w:r w:rsidR="00AB2D40">
        <w:rPr>
          <w:szCs w:val="22"/>
        </w:rPr>
        <w:t xml:space="preserve"> </w:t>
      </w:r>
      <w:r w:rsidR="00E75BE2">
        <w:rPr>
          <w:szCs w:val="22"/>
        </w:rPr>
        <w:t>provided</w:t>
      </w:r>
      <w:r w:rsidR="00290178">
        <w:rPr>
          <w:szCs w:val="22"/>
        </w:rPr>
        <w:t xml:space="preserve"> an </w:t>
      </w:r>
      <w:r w:rsidR="00290178" w:rsidRPr="00847CF3">
        <w:rPr>
          <w:b/>
          <w:bCs w:val="0"/>
          <w:szCs w:val="22"/>
        </w:rPr>
        <w:t>associated narrative</w:t>
      </w:r>
      <w:r w:rsidR="00290178">
        <w:rPr>
          <w:szCs w:val="22"/>
        </w:rPr>
        <w:t xml:space="preserve"> stating, “</w:t>
      </w:r>
      <w:r w:rsidR="00AB2D40" w:rsidRPr="00410906">
        <w:rPr>
          <w:i/>
          <w:iCs/>
          <w:szCs w:val="22"/>
        </w:rPr>
        <w:t>From April 11, 2022</w:t>
      </w:r>
      <w:r w:rsidR="00B21E6E" w:rsidRPr="00410906">
        <w:rPr>
          <w:i/>
          <w:iCs/>
          <w:szCs w:val="22"/>
        </w:rPr>
        <w:t>,</w:t>
      </w:r>
      <w:r w:rsidR="00AB2D40" w:rsidRPr="00410906">
        <w:rPr>
          <w:i/>
          <w:iCs/>
          <w:szCs w:val="22"/>
        </w:rPr>
        <w:t xml:space="preserve"> to May 08, 2022, compared to fully vaccinated cases, unvaccinated cases were 3 times more likely to be hospitalized and 5 times more likely to die as a result of their illness. Compared to cases fully vaccinated with an additional dose, unvaccinated cases were 5 times more likely to be hospitalized and 7 times more likely to die </w:t>
      </w:r>
      <w:r w:rsidR="00DF2AF0">
        <w:rPr>
          <w:i/>
          <w:iCs/>
          <w:szCs w:val="22"/>
        </w:rPr>
        <w:t>due to</w:t>
      </w:r>
      <w:r w:rsidR="00AB2D40" w:rsidRPr="00410906">
        <w:rPr>
          <w:i/>
          <w:iCs/>
          <w:szCs w:val="22"/>
        </w:rPr>
        <w:t xml:space="preserve"> their illness, during this same 4-week period (Table 3).</w:t>
      </w:r>
      <w:r w:rsidR="00290178">
        <w:rPr>
          <w:szCs w:val="22"/>
        </w:rPr>
        <w:t>”</w:t>
      </w:r>
      <w:r w:rsidR="002C7088">
        <w:rPr>
          <w:szCs w:val="22"/>
        </w:rPr>
        <w:t xml:space="preserve"> </w:t>
      </w:r>
      <w:r w:rsidR="00B21E6E" w:rsidRPr="00B21E6E">
        <w:rPr>
          <w:b/>
          <w:bCs w:val="0"/>
          <w:szCs w:val="22"/>
        </w:rPr>
        <w:t>However</w:t>
      </w:r>
      <w:r w:rsidR="00B21E6E">
        <w:rPr>
          <w:szCs w:val="22"/>
        </w:rPr>
        <w:t>, a</w:t>
      </w:r>
      <w:r w:rsidR="00E6491B">
        <w:rPr>
          <w:szCs w:val="22"/>
        </w:rPr>
        <w:t>ccording to my</w:t>
      </w:r>
      <w:r w:rsidR="007B6E03">
        <w:rPr>
          <w:szCs w:val="22"/>
        </w:rPr>
        <w:t xml:space="preserve"> </w:t>
      </w:r>
      <w:r w:rsidR="00A423E8">
        <w:rPr>
          <w:szCs w:val="22"/>
        </w:rPr>
        <w:t>analysis</w:t>
      </w:r>
      <w:r w:rsidR="00964CEA">
        <w:rPr>
          <w:szCs w:val="22"/>
        </w:rPr>
        <w:t>,</w:t>
      </w:r>
      <w:r w:rsidR="00AB2D40">
        <w:rPr>
          <w:szCs w:val="22"/>
        </w:rPr>
        <w:t xml:space="preserve"> </w:t>
      </w:r>
      <w:r w:rsidR="00964CEA">
        <w:rPr>
          <w:szCs w:val="22"/>
        </w:rPr>
        <w:t xml:space="preserve">the </w:t>
      </w:r>
      <w:r w:rsidR="00657A60">
        <w:rPr>
          <w:szCs w:val="22"/>
        </w:rPr>
        <w:t xml:space="preserve">only way </w:t>
      </w:r>
      <w:r w:rsidR="00E75BE2">
        <w:rPr>
          <w:szCs w:val="22"/>
        </w:rPr>
        <w:t>one</w:t>
      </w:r>
      <w:r w:rsidR="00657A60">
        <w:rPr>
          <w:szCs w:val="22"/>
        </w:rPr>
        <w:t xml:space="preserve"> can approximate the PHAC narrative associated with Table 3 is to calculate rate ratios using the </w:t>
      </w:r>
      <w:r w:rsidR="00657A60" w:rsidRPr="00C60699">
        <w:rPr>
          <w:b/>
          <w:bCs w:val="0"/>
          <w:szCs w:val="22"/>
        </w:rPr>
        <w:t>cumulative data since 14/12/202</w:t>
      </w:r>
      <w:r w:rsidR="009F14BC" w:rsidRPr="00C60699">
        <w:rPr>
          <w:b/>
          <w:bCs w:val="0"/>
          <w:szCs w:val="22"/>
        </w:rPr>
        <w:t>0</w:t>
      </w:r>
      <w:r w:rsidR="00705910">
        <w:rPr>
          <w:szCs w:val="22"/>
        </w:rPr>
        <w:t xml:space="preserve"> and </w:t>
      </w:r>
      <w:r w:rsidR="00657A60">
        <w:rPr>
          <w:szCs w:val="22"/>
        </w:rPr>
        <w:t xml:space="preserve">not </w:t>
      </w:r>
      <w:r w:rsidR="00AC5322">
        <w:rPr>
          <w:szCs w:val="22"/>
        </w:rPr>
        <w:t xml:space="preserve">new cases </w:t>
      </w:r>
      <w:r w:rsidR="00657A60">
        <w:rPr>
          <w:szCs w:val="22"/>
        </w:rPr>
        <w:t xml:space="preserve">between </w:t>
      </w:r>
      <w:r w:rsidR="00657A60" w:rsidRPr="00657A60">
        <w:rPr>
          <w:szCs w:val="22"/>
        </w:rPr>
        <w:t>April 11</w:t>
      </w:r>
      <w:r w:rsidR="00B21E6E">
        <w:rPr>
          <w:szCs w:val="22"/>
        </w:rPr>
        <w:t xml:space="preserve"> and</w:t>
      </w:r>
      <w:r w:rsidR="00657A60">
        <w:rPr>
          <w:szCs w:val="22"/>
        </w:rPr>
        <w:t xml:space="preserve"> </w:t>
      </w:r>
      <w:r w:rsidR="00657A60" w:rsidRPr="00657A60">
        <w:rPr>
          <w:szCs w:val="22"/>
        </w:rPr>
        <w:t>May 08, 2022</w:t>
      </w:r>
      <w:r w:rsidR="00B21E6E">
        <w:rPr>
          <w:szCs w:val="22"/>
        </w:rPr>
        <w:t>,</w:t>
      </w:r>
      <w:r w:rsidR="00657A60">
        <w:rPr>
          <w:szCs w:val="22"/>
        </w:rPr>
        <w:t xml:space="preserve"> </w:t>
      </w:r>
      <w:r w:rsidR="00657A60" w:rsidRPr="00847CF3">
        <w:rPr>
          <w:b/>
          <w:bCs w:val="0"/>
          <w:szCs w:val="22"/>
        </w:rPr>
        <w:t>as stated in Table 3</w:t>
      </w:r>
      <w:r w:rsidR="00AC5322" w:rsidRPr="00847CF3">
        <w:rPr>
          <w:b/>
          <w:bCs w:val="0"/>
          <w:szCs w:val="22"/>
        </w:rPr>
        <w:t>s</w:t>
      </w:r>
      <w:r w:rsidR="00965ADA" w:rsidRPr="00847CF3">
        <w:rPr>
          <w:b/>
          <w:bCs w:val="0"/>
          <w:szCs w:val="22"/>
        </w:rPr>
        <w:t>’</w:t>
      </w:r>
      <w:r w:rsidR="00657A60" w:rsidRPr="00847CF3">
        <w:rPr>
          <w:b/>
          <w:bCs w:val="0"/>
          <w:szCs w:val="22"/>
        </w:rPr>
        <w:t xml:space="preserve"> legend</w:t>
      </w:r>
      <w:r w:rsidR="00965ADA" w:rsidRPr="00847CF3">
        <w:rPr>
          <w:b/>
          <w:bCs w:val="0"/>
          <w:szCs w:val="22"/>
        </w:rPr>
        <w:t>s</w:t>
      </w:r>
      <w:r w:rsidR="00657A60">
        <w:rPr>
          <w:szCs w:val="22"/>
        </w:rPr>
        <w:t xml:space="preserve">. </w:t>
      </w:r>
    </w:p>
    <w:p w14:paraId="0F85A134" w14:textId="7457FE53" w:rsidR="00426807" w:rsidRPr="002E3C46" w:rsidRDefault="00982F52" w:rsidP="00B21E6E">
      <w:pPr>
        <w:rPr>
          <w:szCs w:val="22"/>
          <w:u w:val="single"/>
        </w:rPr>
      </w:pPr>
      <w:r>
        <w:rPr>
          <w:szCs w:val="22"/>
        </w:rPr>
        <w:lastRenderedPageBreak/>
        <w:t>By u</w:t>
      </w:r>
      <w:r w:rsidR="00657A60">
        <w:rPr>
          <w:szCs w:val="22"/>
        </w:rPr>
        <w:t>sing</w:t>
      </w:r>
      <w:r w:rsidR="00964CEA">
        <w:rPr>
          <w:szCs w:val="22"/>
        </w:rPr>
        <w:t xml:space="preserve"> </w:t>
      </w:r>
      <w:r w:rsidR="00E6491B">
        <w:rPr>
          <w:szCs w:val="22"/>
        </w:rPr>
        <w:t xml:space="preserve">the cumulative </w:t>
      </w:r>
      <w:r w:rsidR="00C83DF6">
        <w:rPr>
          <w:szCs w:val="22"/>
        </w:rPr>
        <w:t xml:space="preserve">raw </w:t>
      </w:r>
      <w:r w:rsidR="00E6491B">
        <w:rPr>
          <w:szCs w:val="22"/>
        </w:rPr>
        <w:t xml:space="preserve">data </w:t>
      </w:r>
      <w:r w:rsidR="00121E07">
        <w:rPr>
          <w:szCs w:val="22"/>
        </w:rPr>
        <w:t xml:space="preserve">since 14/12/2020 </w:t>
      </w:r>
      <w:r w:rsidR="002E3C46">
        <w:rPr>
          <w:szCs w:val="22"/>
        </w:rPr>
        <w:t xml:space="preserve">for rate analysis </w:t>
      </w:r>
      <w:r w:rsidR="00E6491B">
        <w:rPr>
          <w:szCs w:val="22"/>
        </w:rPr>
        <w:t>as of May 08, 2022</w:t>
      </w:r>
      <w:r w:rsidR="00B21E6E">
        <w:rPr>
          <w:szCs w:val="22"/>
        </w:rPr>
        <w:t>,</w:t>
      </w:r>
      <w:r w:rsidR="00E6491B">
        <w:rPr>
          <w:szCs w:val="22"/>
        </w:rPr>
        <w:t xml:space="preserve"> </w:t>
      </w:r>
      <w:r w:rsidR="00964CEA">
        <w:rPr>
          <w:szCs w:val="22"/>
        </w:rPr>
        <w:t>then</w:t>
      </w:r>
      <w:r w:rsidR="0085581D">
        <w:rPr>
          <w:szCs w:val="22"/>
        </w:rPr>
        <w:t xml:space="preserve"> </w:t>
      </w:r>
      <w:r w:rsidR="00B21E6E">
        <w:rPr>
          <w:szCs w:val="22"/>
        </w:rPr>
        <w:t>the</w:t>
      </w:r>
      <w:r w:rsidR="00657A60">
        <w:rPr>
          <w:szCs w:val="22"/>
        </w:rPr>
        <w:t xml:space="preserve"> unvaccinated </w:t>
      </w:r>
      <w:r w:rsidR="00B21E6E">
        <w:rPr>
          <w:szCs w:val="22"/>
        </w:rPr>
        <w:t xml:space="preserve">had a </w:t>
      </w:r>
      <w:r w:rsidR="00657A60">
        <w:rPr>
          <w:szCs w:val="22"/>
        </w:rPr>
        <w:t xml:space="preserve">2.7x </w:t>
      </w:r>
      <w:r w:rsidR="00B21E6E">
        <w:rPr>
          <w:szCs w:val="22"/>
        </w:rPr>
        <w:t xml:space="preserve">and 5.2x </w:t>
      </w:r>
      <w:r w:rsidR="00657A60">
        <w:rPr>
          <w:szCs w:val="22"/>
        </w:rPr>
        <w:t xml:space="preserve">higher </w:t>
      </w:r>
      <w:r w:rsidR="00B21E6E">
        <w:rPr>
          <w:szCs w:val="22"/>
        </w:rPr>
        <w:t xml:space="preserve">rate of </w:t>
      </w:r>
      <w:r w:rsidR="00C83DF6">
        <w:rPr>
          <w:szCs w:val="22"/>
        </w:rPr>
        <w:t xml:space="preserve">COVID-19 </w:t>
      </w:r>
      <w:r w:rsidR="00B21E6E">
        <w:rPr>
          <w:szCs w:val="22"/>
        </w:rPr>
        <w:t>hospitalization</w:t>
      </w:r>
      <w:r w:rsidR="00DF2AF0">
        <w:rPr>
          <w:szCs w:val="22"/>
        </w:rPr>
        <w:t>,</w:t>
      </w:r>
      <w:r w:rsidR="00C83DF6">
        <w:rPr>
          <w:szCs w:val="22"/>
        </w:rPr>
        <w:t xml:space="preserve"> and a 3.1x and 5.2x higher rate of COVID-19 death </w:t>
      </w:r>
      <w:r w:rsidR="00B21E6E">
        <w:rPr>
          <w:szCs w:val="22"/>
        </w:rPr>
        <w:t>than the 2-dose and 3-dose vaccinated respectively</w:t>
      </w:r>
      <w:r>
        <w:rPr>
          <w:szCs w:val="22"/>
        </w:rPr>
        <w:t xml:space="preserve">. </w:t>
      </w:r>
      <w:r w:rsidR="002E3C46">
        <w:rPr>
          <w:szCs w:val="22"/>
        </w:rPr>
        <w:t>My</w:t>
      </w:r>
      <w:r>
        <w:rPr>
          <w:szCs w:val="22"/>
        </w:rPr>
        <w:t xml:space="preserve"> calculated </w:t>
      </w:r>
      <w:r w:rsidR="002E3C46">
        <w:rPr>
          <w:szCs w:val="22"/>
        </w:rPr>
        <w:t xml:space="preserve">cumulative </w:t>
      </w:r>
      <w:r>
        <w:rPr>
          <w:szCs w:val="22"/>
        </w:rPr>
        <w:t>rate</w:t>
      </w:r>
      <w:r w:rsidR="002E3C46">
        <w:rPr>
          <w:szCs w:val="22"/>
        </w:rPr>
        <w:t xml:space="preserve"> ra</w:t>
      </w:r>
      <w:r w:rsidR="00F63F5D">
        <w:rPr>
          <w:szCs w:val="22"/>
        </w:rPr>
        <w:t>t</w:t>
      </w:r>
      <w:r w:rsidR="002E3C46">
        <w:rPr>
          <w:szCs w:val="22"/>
        </w:rPr>
        <w:t>ios</w:t>
      </w:r>
      <w:r>
        <w:rPr>
          <w:szCs w:val="22"/>
        </w:rPr>
        <w:t xml:space="preserve"> were </w:t>
      </w:r>
      <w:r w:rsidR="00C83DF6">
        <w:rPr>
          <w:szCs w:val="22"/>
        </w:rPr>
        <w:t xml:space="preserve">similar </w:t>
      </w:r>
      <w:r w:rsidR="00F63F5D">
        <w:rPr>
          <w:szCs w:val="22"/>
        </w:rPr>
        <w:t xml:space="preserve">in outcome </w:t>
      </w:r>
      <w:r w:rsidR="00C83DF6">
        <w:rPr>
          <w:szCs w:val="22"/>
        </w:rPr>
        <w:t>to PHAC</w:t>
      </w:r>
      <w:r>
        <w:rPr>
          <w:szCs w:val="22"/>
        </w:rPr>
        <w:t>’s</w:t>
      </w:r>
      <w:r w:rsidR="00C83DF6">
        <w:rPr>
          <w:szCs w:val="22"/>
        </w:rPr>
        <w:t xml:space="preserve"> age-standardized COVID-19 hospitalization rate</w:t>
      </w:r>
      <w:r w:rsidR="002E3C46">
        <w:rPr>
          <w:szCs w:val="22"/>
        </w:rPr>
        <w:t xml:space="preserve"> ratios</w:t>
      </w:r>
      <w:r>
        <w:rPr>
          <w:szCs w:val="22"/>
        </w:rPr>
        <w:t xml:space="preserve">, while </w:t>
      </w:r>
      <w:r w:rsidR="009F14BC">
        <w:rPr>
          <w:szCs w:val="22"/>
        </w:rPr>
        <w:t>their</w:t>
      </w:r>
      <w:r>
        <w:rPr>
          <w:szCs w:val="22"/>
        </w:rPr>
        <w:t xml:space="preserve"> age-adjusted </w:t>
      </w:r>
      <w:r w:rsidR="00C83DF6">
        <w:rPr>
          <w:szCs w:val="22"/>
        </w:rPr>
        <w:t>COVID-19 death rate</w:t>
      </w:r>
      <w:r w:rsidR="002E3C46">
        <w:rPr>
          <w:szCs w:val="22"/>
        </w:rPr>
        <w:t xml:space="preserve"> ratios</w:t>
      </w:r>
      <w:r>
        <w:rPr>
          <w:szCs w:val="22"/>
        </w:rPr>
        <w:t xml:space="preserve"> were moderately higher</w:t>
      </w:r>
      <w:r w:rsidR="0057032A">
        <w:rPr>
          <w:szCs w:val="22"/>
        </w:rPr>
        <w:t xml:space="preserve"> (see above)</w:t>
      </w:r>
      <w:r w:rsidR="00E6491B">
        <w:rPr>
          <w:szCs w:val="22"/>
        </w:rPr>
        <w:t xml:space="preserve">. </w:t>
      </w:r>
      <w:r w:rsidR="00C83DF6" w:rsidRPr="00121E07">
        <w:rPr>
          <w:b/>
          <w:bCs w:val="0"/>
          <w:szCs w:val="22"/>
        </w:rPr>
        <w:t>However</w:t>
      </w:r>
      <w:r w:rsidR="00C83DF6">
        <w:rPr>
          <w:szCs w:val="22"/>
        </w:rPr>
        <w:t xml:space="preserve">, when </w:t>
      </w:r>
      <w:r>
        <w:rPr>
          <w:szCs w:val="22"/>
        </w:rPr>
        <w:t xml:space="preserve">the </w:t>
      </w:r>
      <w:r w:rsidR="00C83DF6" w:rsidRPr="0088018C">
        <w:rPr>
          <w:b/>
          <w:bCs w:val="0"/>
          <w:szCs w:val="22"/>
        </w:rPr>
        <w:t>new cases</w:t>
      </w:r>
      <w:r w:rsidR="00C83DF6">
        <w:rPr>
          <w:szCs w:val="22"/>
        </w:rPr>
        <w:t xml:space="preserve"> </w:t>
      </w:r>
      <w:r>
        <w:rPr>
          <w:szCs w:val="22"/>
        </w:rPr>
        <w:t xml:space="preserve">between </w:t>
      </w:r>
      <w:r w:rsidRPr="00AB2D40">
        <w:rPr>
          <w:szCs w:val="22"/>
        </w:rPr>
        <w:t>April 11</w:t>
      </w:r>
      <w:r>
        <w:rPr>
          <w:szCs w:val="22"/>
        </w:rPr>
        <w:t xml:space="preserve"> and</w:t>
      </w:r>
      <w:r w:rsidRPr="00AB2D40">
        <w:rPr>
          <w:szCs w:val="22"/>
        </w:rPr>
        <w:t xml:space="preserve"> May 08, 2022</w:t>
      </w:r>
      <w:r w:rsidR="002E3C46">
        <w:rPr>
          <w:szCs w:val="22"/>
        </w:rPr>
        <w:t xml:space="preserve"> (</w:t>
      </w:r>
      <w:r w:rsidR="00AD711C">
        <w:rPr>
          <w:szCs w:val="22"/>
        </w:rPr>
        <w:t xml:space="preserve">i.e., </w:t>
      </w:r>
      <w:r w:rsidR="002E3C46">
        <w:rPr>
          <w:szCs w:val="22"/>
        </w:rPr>
        <w:t>as stated in the Table 3 legend)</w:t>
      </w:r>
      <w:r>
        <w:rPr>
          <w:szCs w:val="22"/>
        </w:rPr>
        <w:t xml:space="preserve"> were </w:t>
      </w:r>
      <w:r w:rsidR="00C83DF6">
        <w:rPr>
          <w:szCs w:val="22"/>
        </w:rPr>
        <w:t xml:space="preserve">used </w:t>
      </w:r>
      <w:r w:rsidR="00E75BE2">
        <w:rPr>
          <w:szCs w:val="22"/>
        </w:rPr>
        <w:t>to calculate rate</w:t>
      </w:r>
      <w:r w:rsidR="002E3C46">
        <w:rPr>
          <w:szCs w:val="22"/>
        </w:rPr>
        <w:t xml:space="preserve"> ratio</w:t>
      </w:r>
      <w:r w:rsidR="00E75BE2">
        <w:rPr>
          <w:szCs w:val="22"/>
        </w:rPr>
        <w:t>s</w:t>
      </w:r>
      <w:r w:rsidR="00DF2AF0">
        <w:rPr>
          <w:szCs w:val="22"/>
        </w:rPr>
        <w:t>,</w:t>
      </w:r>
      <w:r w:rsidR="00E75BE2">
        <w:rPr>
          <w:szCs w:val="22"/>
        </w:rPr>
        <w:t xml:space="preserve"> then </w:t>
      </w:r>
      <w:r w:rsidR="00C83DF6">
        <w:rPr>
          <w:szCs w:val="22"/>
        </w:rPr>
        <w:t xml:space="preserve">the </w:t>
      </w:r>
      <w:r>
        <w:rPr>
          <w:szCs w:val="22"/>
        </w:rPr>
        <w:t>conclusion</w:t>
      </w:r>
      <w:r w:rsidR="00C83DF6">
        <w:rPr>
          <w:szCs w:val="22"/>
        </w:rPr>
        <w:t xml:space="preserve"> was </w:t>
      </w:r>
      <w:r w:rsidR="00C83DF6" w:rsidRPr="00511573">
        <w:rPr>
          <w:b/>
          <w:bCs w:val="0"/>
          <w:szCs w:val="22"/>
        </w:rPr>
        <w:t>fundamentally different</w:t>
      </w:r>
      <w:r>
        <w:rPr>
          <w:szCs w:val="22"/>
        </w:rPr>
        <w:t xml:space="preserve"> from that </w:t>
      </w:r>
      <w:r w:rsidR="002E3C46">
        <w:rPr>
          <w:szCs w:val="22"/>
        </w:rPr>
        <w:t>provided</w:t>
      </w:r>
      <w:r>
        <w:rPr>
          <w:szCs w:val="22"/>
        </w:rPr>
        <w:t xml:space="preserve"> by PHAC. </w:t>
      </w:r>
      <w:r w:rsidR="002C7088">
        <w:rPr>
          <w:szCs w:val="22"/>
        </w:rPr>
        <w:t xml:space="preserve">That is, the </w:t>
      </w:r>
      <w:r w:rsidR="00426807">
        <w:rPr>
          <w:szCs w:val="22"/>
        </w:rPr>
        <w:t>2-dose and 3-dose vaccinated</w:t>
      </w:r>
      <w:r w:rsidR="0085581D">
        <w:rPr>
          <w:szCs w:val="22"/>
        </w:rPr>
        <w:t xml:space="preserve"> </w:t>
      </w:r>
      <w:r w:rsidR="002C7088">
        <w:rPr>
          <w:szCs w:val="22"/>
        </w:rPr>
        <w:t xml:space="preserve">experienced a </w:t>
      </w:r>
      <w:r w:rsidR="0085581D">
        <w:rPr>
          <w:szCs w:val="22"/>
        </w:rPr>
        <w:t xml:space="preserve">1.1x </w:t>
      </w:r>
      <w:r w:rsidR="00426807">
        <w:rPr>
          <w:szCs w:val="22"/>
        </w:rPr>
        <w:t xml:space="preserve">and 1.7x </w:t>
      </w:r>
      <w:r w:rsidR="00290178">
        <w:rPr>
          <w:szCs w:val="22"/>
        </w:rPr>
        <w:t xml:space="preserve">higher rate </w:t>
      </w:r>
      <w:r w:rsidR="00426807">
        <w:rPr>
          <w:szCs w:val="22"/>
        </w:rPr>
        <w:t xml:space="preserve">of COVID-19 hospitalization </w:t>
      </w:r>
      <w:r w:rsidR="0085581D">
        <w:rPr>
          <w:szCs w:val="22"/>
        </w:rPr>
        <w:t xml:space="preserve">and </w:t>
      </w:r>
      <w:r w:rsidR="00426807">
        <w:rPr>
          <w:szCs w:val="22"/>
        </w:rPr>
        <w:t xml:space="preserve">a 0.8x and 1.0x rate of COVID-19 death than the unvaccinated. In other words, PHAC’s </w:t>
      </w:r>
      <w:r w:rsidR="009F14BC">
        <w:rPr>
          <w:szCs w:val="22"/>
        </w:rPr>
        <w:t xml:space="preserve">age-adjusted rates and associated </w:t>
      </w:r>
      <w:r w:rsidR="00426807">
        <w:rPr>
          <w:szCs w:val="22"/>
        </w:rPr>
        <w:t>narrative</w:t>
      </w:r>
      <w:r w:rsidR="00847CF3">
        <w:rPr>
          <w:szCs w:val="22"/>
        </w:rPr>
        <w:t>,</w:t>
      </w:r>
      <w:r w:rsidR="00AD711C">
        <w:rPr>
          <w:szCs w:val="22"/>
        </w:rPr>
        <w:t xml:space="preserve"> presumably </w:t>
      </w:r>
      <w:r w:rsidR="00AD711C" w:rsidRPr="00847CF3">
        <w:rPr>
          <w:b/>
          <w:bCs w:val="0"/>
          <w:szCs w:val="22"/>
        </w:rPr>
        <w:t>derived using the cumulative data</w:t>
      </w:r>
      <w:r w:rsidR="00AD711C">
        <w:rPr>
          <w:szCs w:val="22"/>
        </w:rPr>
        <w:t xml:space="preserve"> since 14/12/2020,</w:t>
      </w:r>
      <w:r w:rsidR="00426807">
        <w:rPr>
          <w:szCs w:val="22"/>
        </w:rPr>
        <w:t xml:space="preserve"> </w:t>
      </w:r>
      <w:r w:rsidR="00426807" w:rsidRPr="00847CF3">
        <w:rPr>
          <w:b/>
          <w:bCs w:val="0"/>
          <w:szCs w:val="22"/>
        </w:rPr>
        <w:t>obscured the higher rates</w:t>
      </w:r>
      <w:r w:rsidR="00426807">
        <w:rPr>
          <w:szCs w:val="22"/>
        </w:rPr>
        <w:t xml:space="preserve"> of COVID-19 hospitalization in the 2- and 3-dose vaccinated</w:t>
      </w:r>
      <w:r w:rsidR="0057032A">
        <w:rPr>
          <w:szCs w:val="22"/>
        </w:rPr>
        <w:t xml:space="preserve"> and</w:t>
      </w:r>
      <w:r w:rsidR="00426807">
        <w:rPr>
          <w:szCs w:val="22"/>
        </w:rPr>
        <w:t xml:space="preserve"> the 3-dose vaccine failure </w:t>
      </w:r>
      <w:r w:rsidR="0057032A">
        <w:rPr>
          <w:szCs w:val="22"/>
        </w:rPr>
        <w:t xml:space="preserve">in COVID-19 death prevention </w:t>
      </w:r>
      <w:r w:rsidR="00426807">
        <w:rPr>
          <w:szCs w:val="22"/>
        </w:rPr>
        <w:t xml:space="preserve">(i.e., the </w:t>
      </w:r>
      <w:r w:rsidR="002E3C46">
        <w:rPr>
          <w:szCs w:val="22"/>
        </w:rPr>
        <w:t xml:space="preserve">COVID-19 death rate ratio </w:t>
      </w:r>
      <w:r w:rsidR="00AD711C">
        <w:rPr>
          <w:szCs w:val="22"/>
        </w:rPr>
        <w:t xml:space="preserve">was </w:t>
      </w:r>
      <w:r w:rsidR="00426807">
        <w:rPr>
          <w:szCs w:val="22"/>
        </w:rPr>
        <w:t xml:space="preserve">1.0x </w:t>
      </w:r>
      <w:r w:rsidR="002E3C46">
        <w:rPr>
          <w:szCs w:val="22"/>
        </w:rPr>
        <w:t xml:space="preserve">the </w:t>
      </w:r>
      <w:r w:rsidR="00426807">
        <w:rPr>
          <w:szCs w:val="22"/>
        </w:rPr>
        <w:t>unvaccinated)</w:t>
      </w:r>
      <w:r w:rsidR="00AD711C">
        <w:rPr>
          <w:szCs w:val="22"/>
        </w:rPr>
        <w:t xml:space="preserve"> between April 11 and May 08, 2022</w:t>
      </w:r>
      <w:r w:rsidR="0057032A">
        <w:rPr>
          <w:szCs w:val="22"/>
        </w:rPr>
        <w:t xml:space="preserve">. </w:t>
      </w:r>
      <w:r w:rsidR="009F14BC">
        <w:rPr>
          <w:szCs w:val="22"/>
        </w:rPr>
        <w:t>PHAC</w:t>
      </w:r>
      <w:r w:rsidR="00426807">
        <w:rPr>
          <w:szCs w:val="22"/>
        </w:rPr>
        <w:t xml:space="preserve"> </w:t>
      </w:r>
      <w:r w:rsidR="0057032A">
        <w:rPr>
          <w:szCs w:val="22"/>
        </w:rPr>
        <w:t xml:space="preserve">also </w:t>
      </w:r>
      <w:r w:rsidR="00426807">
        <w:rPr>
          <w:szCs w:val="22"/>
        </w:rPr>
        <w:t>failed to communicate the higher rates of COVID-19 infection in the 2- and 3-dose vaccinated (</w:t>
      </w:r>
      <w:r w:rsidR="00E75BE2">
        <w:rPr>
          <w:szCs w:val="22"/>
        </w:rPr>
        <w:t xml:space="preserve">i.e., </w:t>
      </w:r>
      <w:r w:rsidR="00426807">
        <w:rPr>
          <w:szCs w:val="22"/>
        </w:rPr>
        <w:t>1.2</w:t>
      </w:r>
      <w:r w:rsidR="00E75BE2">
        <w:rPr>
          <w:szCs w:val="22"/>
        </w:rPr>
        <w:t>x</w:t>
      </w:r>
      <w:r w:rsidR="00426807">
        <w:rPr>
          <w:szCs w:val="22"/>
        </w:rPr>
        <w:t xml:space="preserve"> and </w:t>
      </w:r>
      <w:r w:rsidR="00E75BE2">
        <w:rPr>
          <w:szCs w:val="22"/>
        </w:rPr>
        <w:t>2.1x the unvaccinated</w:t>
      </w:r>
      <w:r w:rsidR="00DF2AF0">
        <w:rPr>
          <w:szCs w:val="22"/>
        </w:rPr>
        <w:t>,</w:t>
      </w:r>
      <w:r w:rsidR="00E75BE2">
        <w:rPr>
          <w:szCs w:val="22"/>
        </w:rPr>
        <w:t xml:space="preserve"> respectively).</w:t>
      </w:r>
      <w:r w:rsidR="002E3C46">
        <w:rPr>
          <w:szCs w:val="22"/>
        </w:rPr>
        <w:t xml:space="preserve"> This issue was the same for all Table 3s in the PHAC reports used for rate analysis in sections 1.1.2-4 (March 24,</w:t>
      </w:r>
      <w:r w:rsidR="002E3C46">
        <w:rPr>
          <w:rStyle w:val="EndnoteReference"/>
          <w:szCs w:val="22"/>
        </w:rPr>
        <w:endnoteReference w:id="39"/>
      </w:r>
      <w:r w:rsidR="002E3C46">
        <w:rPr>
          <w:szCs w:val="22"/>
        </w:rPr>
        <w:t xml:space="preserve"> April 29,</w:t>
      </w:r>
      <w:r w:rsidR="002E3C46" w:rsidRPr="009A7674">
        <w:rPr>
          <w:rStyle w:val="EndnoteReference"/>
          <w:szCs w:val="22"/>
        </w:rPr>
        <w:t xml:space="preserve"> </w:t>
      </w:r>
      <w:r w:rsidR="002E3C46">
        <w:rPr>
          <w:rStyle w:val="EndnoteReference"/>
          <w:szCs w:val="22"/>
        </w:rPr>
        <w:endnoteReference w:id="40"/>
      </w:r>
      <w:r w:rsidR="002E3C46">
        <w:rPr>
          <w:szCs w:val="22"/>
        </w:rPr>
        <w:t xml:space="preserve"> </w:t>
      </w:r>
      <w:r w:rsidR="002E3C46" w:rsidRPr="00E61C0B">
        <w:rPr>
          <w:szCs w:val="22"/>
        </w:rPr>
        <w:t xml:space="preserve">May </w:t>
      </w:r>
      <w:r w:rsidR="002E3C46">
        <w:rPr>
          <w:szCs w:val="22"/>
        </w:rPr>
        <w:t>27</w:t>
      </w:r>
      <w:r w:rsidR="002E3C46" w:rsidRPr="00E61C0B">
        <w:rPr>
          <w:szCs w:val="22"/>
        </w:rPr>
        <w:t>,</w:t>
      </w:r>
      <w:r w:rsidR="002E3C46">
        <w:rPr>
          <w:rStyle w:val="EndnoteReference"/>
          <w:szCs w:val="22"/>
        </w:rPr>
        <w:endnoteReference w:id="41"/>
      </w:r>
      <w:r w:rsidR="002E3C46">
        <w:rPr>
          <w:szCs w:val="22"/>
        </w:rPr>
        <w:t xml:space="preserve"> </w:t>
      </w:r>
      <w:r w:rsidR="002E3C46" w:rsidRPr="00E61C0B">
        <w:rPr>
          <w:szCs w:val="22"/>
        </w:rPr>
        <w:t>2022</w:t>
      </w:r>
      <w:r w:rsidR="002E3C46">
        <w:rPr>
          <w:szCs w:val="22"/>
        </w:rPr>
        <w:t>).</w:t>
      </w:r>
    </w:p>
    <w:p w14:paraId="562EE69F" w14:textId="27EE52B9" w:rsidR="009B51AE" w:rsidRPr="00FB1CB8" w:rsidRDefault="00B64C94" w:rsidP="00540435">
      <w:pPr>
        <w:rPr>
          <w:szCs w:val="22"/>
        </w:rPr>
      </w:pPr>
      <w:r w:rsidRPr="00FB1CB8">
        <w:rPr>
          <w:b/>
          <w:bCs w:val="0"/>
          <w:szCs w:val="22"/>
          <w:u w:val="single"/>
        </w:rPr>
        <w:t>Case d</w:t>
      </w:r>
      <w:r w:rsidR="005C2BA5" w:rsidRPr="00FB1CB8">
        <w:rPr>
          <w:b/>
          <w:bCs w:val="0"/>
          <w:szCs w:val="22"/>
          <w:u w:val="single"/>
        </w:rPr>
        <w:t>efinition</w:t>
      </w:r>
      <w:r w:rsidR="00416F69" w:rsidRPr="00FB1CB8">
        <w:rPr>
          <w:b/>
          <w:bCs w:val="0"/>
          <w:szCs w:val="22"/>
          <w:u w:val="single"/>
        </w:rPr>
        <w:t xml:space="preserve"> bias</w:t>
      </w:r>
      <w:r w:rsidR="00416F69" w:rsidRPr="00FB1CB8">
        <w:rPr>
          <w:szCs w:val="22"/>
        </w:rPr>
        <w:t xml:space="preserve">: </w:t>
      </w:r>
      <w:r w:rsidR="00416F69" w:rsidRPr="00FB1CB8">
        <w:rPr>
          <w:rFonts w:cs="Times New Roman"/>
        </w:rPr>
        <w:t xml:space="preserve">a crucially important form of </w:t>
      </w:r>
      <w:r w:rsidRPr="00FB1CB8">
        <w:rPr>
          <w:rFonts w:cs="Times New Roman"/>
        </w:rPr>
        <w:t xml:space="preserve">COVID-19 infection </w:t>
      </w:r>
      <w:r w:rsidR="00416F69" w:rsidRPr="00FB1CB8">
        <w:rPr>
          <w:rFonts w:cs="Times New Roman"/>
        </w:rPr>
        <w:t>rate bias relates to the definition of the unvaccinated and vaccinated</w:t>
      </w:r>
      <w:r w:rsidRPr="00FB1CB8">
        <w:rPr>
          <w:rFonts w:cs="Times New Roman"/>
        </w:rPr>
        <w:t xml:space="preserve">, which </w:t>
      </w:r>
      <w:r w:rsidR="007D2BA6" w:rsidRPr="00FB1CB8">
        <w:rPr>
          <w:rFonts w:cs="Times New Roman"/>
        </w:rPr>
        <w:t>failed to</w:t>
      </w:r>
      <w:r w:rsidR="00355226" w:rsidRPr="00FB1CB8">
        <w:rPr>
          <w:rFonts w:cs="Times New Roman"/>
        </w:rPr>
        <w:t xml:space="preserve"> reflect the </w:t>
      </w:r>
      <w:r w:rsidR="00B17E92" w:rsidRPr="00FB1CB8">
        <w:rPr>
          <w:rFonts w:cs="Times New Roman"/>
        </w:rPr>
        <w:t>biology</w:t>
      </w:r>
      <w:r w:rsidR="00355226" w:rsidRPr="00FB1CB8">
        <w:rPr>
          <w:rFonts w:cs="Times New Roman"/>
        </w:rPr>
        <w:t xml:space="preserve"> of </w:t>
      </w:r>
      <w:r w:rsidR="007D2BA6" w:rsidRPr="00FB1CB8">
        <w:rPr>
          <w:rFonts w:cs="Times New Roman"/>
        </w:rPr>
        <w:t xml:space="preserve">ADE and </w:t>
      </w:r>
      <w:r w:rsidRPr="00FB1CB8">
        <w:rPr>
          <w:rFonts w:cs="Times New Roman"/>
        </w:rPr>
        <w:t xml:space="preserve">the </w:t>
      </w:r>
      <w:r w:rsidR="007D2BA6" w:rsidRPr="00FB1CB8">
        <w:rPr>
          <w:rFonts w:cs="Times New Roman"/>
        </w:rPr>
        <w:t xml:space="preserve">infection risk impact of </w:t>
      </w:r>
      <w:r w:rsidRPr="00FB1CB8">
        <w:rPr>
          <w:rFonts w:cs="Times New Roman"/>
        </w:rPr>
        <w:t>low-</w:t>
      </w:r>
      <w:r w:rsidR="00355226" w:rsidRPr="00FB1CB8">
        <w:rPr>
          <w:rFonts w:cs="Times New Roman"/>
        </w:rPr>
        <w:t xml:space="preserve">rising </w:t>
      </w:r>
      <w:r w:rsidR="00F12F35" w:rsidRPr="00FB1CB8">
        <w:rPr>
          <w:rFonts w:cs="Times New Roman"/>
        </w:rPr>
        <w:t xml:space="preserve">and </w:t>
      </w:r>
      <w:r w:rsidRPr="00FB1CB8">
        <w:rPr>
          <w:rFonts w:cs="Times New Roman"/>
        </w:rPr>
        <w:t>low-</w:t>
      </w:r>
      <w:r w:rsidR="00F12F35" w:rsidRPr="00FB1CB8">
        <w:rPr>
          <w:rFonts w:cs="Times New Roman"/>
        </w:rPr>
        <w:t xml:space="preserve">waning </w:t>
      </w:r>
      <w:r w:rsidR="00355226" w:rsidRPr="00FB1CB8">
        <w:rPr>
          <w:rFonts w:cs="Times New Roman"/>
        </w:rPr>
        <w:t xml:space="preserve">levels of </w:t>
      </w:r>
      <w:r w:rsidR="00F12F35" w:rsidRPr="00FB1CB8">
        <w:rPr>
          <w:rFonts w:cs="Times New Roman"/>
        </w:rPr>
        <w:t>antibody immunity</w:t>
      </w:r>
      <w:r w:rsidR="00C60699" w:rsidRPr="00FB1CB8">
        <w:rPr>
          <w:rFonts w:cs="Times New Roman"/>
        </w:rPr>
        <w:t xml:space="preserve"> (section</w:t>
      </w:r>
      <w:r w:rsidR="00FB1CB8" w:rsidRPr="00FB1CB8">
        <w:rPr>
          <w:rFonts w:cs="Times New Roman"/>
        </w:rPr>
        <w:t>s</w:t>
      </w:r>
      <w:r w:rsidR="00C60699" w:rsidRPr="00FB1CB8">
        <w:rPr>
          <w:rFonts w:cs="Times New Roman"/>
        </w:rPr>
        <w:t xml:space="preserve"> </w:t>
      </w:r>
      <w:r w:rsidR="00FB1CB8" w:rsidRPr="00FB1CB8">
        <w:rPr>
          <w:rFonts w:cs="Times New Roman"/>
        </w:rPr>
        <w:t>1.1.6.2 and 1.1.7</w:t>
      </w:r>
      <w:r w:rsidR="00C60699" w:rsidRPr="00FB1CB8">
        <w:rPr>
          <w:rFonts w:cs="Times New Roman"/>
        </w:rPr>
        <w:t>)</w:t>
      </w:r>
      <w:r w:rsidR="00F12F35" w:rsidRPr="00FB1CB8">
        <w:rPr>
          <w:rFonts w:cs="Times New Roman"/>
        </w:rPr>
        <w:t>.</w:t>
      </w:r>
      <w:r w:rsidRPr="00FB1CB8">
        <w:rPr>
          <w:rFonts w:cs="Times New Roman"/>
        </w:rPr>
        <w:t xml:space="preserve"> </w:t>
      </w:r>
      <w:r w:rsidR="0006384C" w:rsidRPr="00FB1CB8">
        <w:rPr>
          <w:szCs w:val="22"/>
        </w:rPr>
        <w:t>The UKHSA</w:t>
      </w:r>
      <w:r w:rsidR="00540435" w:rsidRPr="00FB1CB8">
        <w:rPr>
          <w:szCs w:val="22"/>
        </w:rPr>
        <w:t xml:space="preserve">, </w:t>
      </w:r>
      <w:r w:rsidR="0006384C" w:rsidRPr="00FB1CB8">
        <w:rPr>
          <w:szCs w:val="22"/>
        </w:rPr>
        <w:t>PHS</w:t>
      </w:r>
      <w:r w:rsidR="00540435" w:rsidRPr="00FB1CB8">
        <w:rPr>
          <w:szCs w:val="22"/>
        </w:rPr>
        <w:t xml:space="preserve">, and </w:t>
      </w:r>
      <w:r w:rsidR="0006384C" w:rsidRPr="00FB1CB8">
        <w:rPr>
          <w:szCs w:val="22"/>
        </w:rPr>
        <w:t>PHAC</w:t>
      </w:r>
      <w:r w:rsidR="00540435" w:rsidRPr="00FB1CB8">
        <w:rPr>
          <w:szCs w:val="22"/>
        </w:rPr>
        <w:t xml:space="preserve"> </w:t>
      </w:r>
      <w:r w:rsidR="009B51AE" w:rsidRPr="00FB1CB8">
        <w:rPr>
          <w:szCs w:val="22"/>
        </w:rPr>
        <w:t>defined</w:t>
      </w:r>
      <w:r w:rsidR="00540435" w:rsidRPr="00FB1CB8">
        <w:rPr>
          <w:szCs w:val="22"/>
        </w:rPr>
        <w:t xml:space="preserve"> the vaccinated </w:t>
      </w:r>
      <w:r w:rsidR="009B51AE" w:rsidRPr="00FB1CB8">
        <w:rPr>
          <w:szCs w:val="22"/>
        </w:rPr>
        <w:t xml:space="preserve">(2-doses) </w:t>
      </w:r>
      <w:r w:rsidR="00540435" w:rsidRPr="00FB1CB8">
        <w:rPr>
          <w:szCs w:val="22"/>
        </w:rPr>
        <w:t xml:space="preserve">and boosted </w:t>
      </w:r>
      <w:r w:rsidR="009B51AE" w:rsidRPr="00FB1CB8">
        <w:rPr>
          <w:szCs w:val="22"/>
        </w:rPr>
        <w:t xml:space="preserve">(≥3-doses) </w:t>
      </w:r>
      <w:r w:rsidR="0006384C" w:rsidRPr="00FB1CB8">
        <w:rPr>
          <w:szCs w:val="22"/>
        </w:rPr>
        <w:t xml:space="preserve">as </w:t>
      </w:r>
      <w:r w:rsidR="009B51AE" w:rsidRPr="00FB1CB8">
        <w:rPr>
          <w:rFonts w:cs="Times New Roman"/>
          <w:szCs w:val="22"/>
        </w:rPr>
        <w:t>those</w:t>
      </w:r>
      <w:r w:rsidR="00540435" w:rsidRPr="00FB1CB8">
        <w:rPr>
          <w:szCs w:val="22"/>
        </w:rPr>
        <w:t xml:space="preserve"> </w:t>
      </w:r>
      <w:r w:rsidR="00540435" w:rsidRPr="00FB1CB8">
        <w:rPr>
          <w:rFonts w:cs="Times New Roman"/>
          <w:szCs w:val="22"/>
        </w:rPr>
        <w:t>≥</w:t>
      </w:r>
      <w:r w:rsidR="00540435" w:rsidRPr="00FB1CB8">
        <w:rPr>
          <w:szCs w:val="22"/>
        </w:rPr>
        <w:t>14 days</w:t>
      </w:r>
      <w:r w:rsidR="0006384C" w:rsidRPr="00FB1CB8">
        <w:rPr>
          <w:szCs w:val="22"/>
        </w:rPr>
        <w:t xml:space="preserve"> after their second or third/fourth vaccinations</w:t>
      </w:r>
      <w:r w:rsidR="00DF2AF0">
        <w:rPr>
          <w:szCs w:val="22"/>
        </w:rPr>
        <w:t>,</w:t>
      </w:r>
      <w:r w:rsidR="00540435" w:rsidRPr="00FB1CB8">
        <w:rPr>
          <w:szCs w:val="22"/>
        </w:rPr>
        <w:t xml:space="preserve"> respectively</w:t>
      </w:r>
      <w:r w:rsidR="00DF2AF0">
        <w:rPr>
          <w:szCs w:val="22"/>
        </w:rPr>
        <w:t>,</w:t>
      </w:r>
      <w:r w:rsidR="00540435" w:rsidRPr="00FB1CB8">
        <w:rPr>
          <w:szCs w:val="22"/>
        </w:rPr>
        <w:t xml:space="preserve"> while </w:t>
      </w:r>
      <w:r w:rsidR="00540435" w:rsidRPr="00FB1CB8">
        <w:rPr>
          <w:b/>
          <w:bCs w:val="0"/>
          <w:szCs w:val="22"/>
        </w:rPr>
        <w:t>transferring</w:t>
      </w:r>
      <w:r w:rsidR="00540435" w:rsidRPr="00FB1CB8">
        <w:rPr>
          <w:szCs w:val="22"/>
        </w:rPr>
        <w:t xml:space="preserve"> </w:t>
      </w:r>
      <w:r w:rsidR="009B51AE" w:rsidRPr="00FB1CB8">
        <w:rPr>
          <w:szCs w:val="22"/>
        </w:rPr>
        <w:t>the</w:t>
      </w:r>
      <w:r w:rsidR="00540435" w:rsidRPr="00FB1CB8">
        <w:rPr>
          <w:szCs w:val="22"/>
        </w:rPr>
        <w:t xml:space="preserve"> &lt;14-day case risk to the previous vaccinated or unvaccinated group. The UKHSA</w:t>
      </w:r>
      <w:r w:rsidR="0006384C" w:rsidRPr="00FB1CB8">
        <w:rPr>
          <w:szCs w:val="22"/>
        </w:rPr>
        <w:t xml:space="preserve"> and</w:t>
      </w:r>
      <w:r w:rsidR="00540435" w:rsidRPr="00FB1CB8">
        <w:rPr>
          <w:szCs w:val="22"/>
        </w:rPr>
        <w:t xml:space="preserve"> PHS </w:t>
      </w:r>
      <w:r w:rsidR="0006384C" w:rsidRPr="00FB1CB8">
        <w:rPr>
          <w:szCs w:val="22"/>
        </w:rPr>
        <w:t xml:space="preserve">defined the first dose as those who received one dose ≥21 days </w:t>
      </w:r>
      <w:r w:rsidR="009B51AE" w:rsidRPr="00FB1CB8">
        <w:rPr>
          <w:szCs w:val="22"/>
        </w:rPr>
        <w:t>before the specimen date (PHAC ≥14 days)</w:t>
      </w:r>
      <w:r w:rsidR="00CE6BB2" w:rsidRPr="00FB1CB8">
        <w:rPr>
          <w:szCs w:val="22"/>
        </w:rPr>
        <w:t>.</w:t>
      </w:r>
      <w:r w:rsidR="0006384C" w:rsidRPr="00FB1CB8">
        <w:rPr>
          <w:szCs w:val="22"/>
        </w:rPr>
        <w:t xml:space="preserve"> </w:t>
      </w:r>
      <w:r w:rsidR="00CE6BB2" w:rsidRPr="00FB1CB8">
        <w:rPr>
          <w:szCs w:val="22"/>
        </w:rPr>
        <w:t>T</w:t>
      </w:r>
      <w:r w:rsidR="0006384C" w:rsidRPr="00FB1CB8">
        <w:rPr>
          <w:szCs w:val="22"/>
        </w:rPr>
        <w:t xml:space="preserve">he partially vaccinated </w:t>
      </w:r>
      <w:r w:rsidRPr="00FB1CB8">
        <w:rPr>
          <w:szCs w:val="22"/>
        </w:rPr>
        <w:t>were</w:t>
      </w:r>
      <w:r w:rsidR="0006384C" w:rsidRPr="00FB1CB8">
        <w:rPr>
          <w:szCs w:val="22"/>
        </w:rPr>
        <w:t xml:space="preserve"> those who received one dose before the specimen date</w:t>
      </w:r>
      <w:r w:rsidR="009B51AE" w:rsidRPr="00FB1CB8">
        <w:rPr>
          <w:szCs w:val="22"/>
        </w:rPr>
        <w:t xml:space="preserve"> (</w:t>
      </w:r>
      <w:r w:rsidR="00CE6BB2" w:rsidRPr="00FB1CB8">
        <w:rPr>
          <w:szCs w:val="22"/>
        </w:rPr>
        <w:t xml:space="preserve">UKHSA &lt;20 days, </w:t>
      </w:r>
      <w:r w:rsidR="009B51AE" w:rsidRPr="00FB1CB8">
        <w:rPr>
          <w:szCs w:val="22"/>
        </w:rPr>
        <w:t>PHAC &lt;14 days)</w:t>
      </w:r>
      <w:r w:rsidR="00CE6BB2" w:rsidRPr="00FB1CB8">
        <w:rPr>
          <w:szCs w:val="22"/>
        </w:rPr>
        <w:t>, while the PHS call</w:t>
      </w:r>
      <w:r w:rsidR="002D56F8" w:rsidRPr="00FB1CB8">
        <w:rPr>
          <w:szCs w:val="22"/>
        </w:rPr>
        <w:t>ed</w:t>
      </w:r>
      <w:r w:rsidR="00CE6BB2" w:rsidRPr="00FB1CB8">
        <w:rPr>
          <w:szCs w:val="22"/>
        </w:rPr>
        <w:t xml:space="preserve"> these </w:t>
      </w:r>
      <w:r w:rsidR="00CE6BB2" w:rsidRPr="00FB1CB8">
        <w:rPr>
          <w:b/>
          <w:bCs w:val="0"/>
          <w:szCs w:val="22"/>
        </w:rPr>
        <w:t>unvaccinated</w:t>
      </w:r>
      <w:r w:rsidR="0006384C" w:rsidRPr="00FB1CB8">
        <w:rPr>
          <w:szCs w:val="22"/>
        </w:rPr>
        <w:t>.</w:t>
      </w:r>
      <w:r w:rsidR="008F3F29" w:rsidRPr="00FB1CB8">
        <w:rPr>
          <w:szCs w:val="22"/>
        </w:rPr>
        <w:t xml:space="preserve"> </w:t>
      </w:r>
      <w:r w:rsidR="00DD509F">
        <w:rPr>
          <w:szCs w:val="22"/>
        </w:rPr>
        <w:t>T</w:t>
      </w:r>
      <w:r w:rsidR="00FB1CB8">
        <w:rPr>
          <w:szCs w:val="22"/>
        </w:rPr>
        <w:t xml:space="preserve">he MoH definitions were less clear. </w:t>
      </w:r>
      <w:r w:rsidR="00DD509F">
        <w:rPr>
          <w:szCs w:val="22"/>
        </w:rPr>
        <w:t>In general, t</w:t>
      </w:r>
      <w:r w:rsidR="008F3F29" w:rsidRPr="00FB1CB8">
        <w:rPr>
          <w:szCs w:val="22"/>
        </w:rPr>
        <w:t xml:space="preserve">hese definitions ignore the biology of antibody-dependent enhancement </w:t>
      </w:r>
      <w:r w:rsidR="003E27D8" w:rsidRPr="00FB1CB8">
        <w:rPr>
          <w:szCs w:val="22"/>
        </w:rPr>
        <w:t xml:space="preserve">(ADE) </w:t>
      </w:r>
      <w:r w:rsidR="008F3F29" w:rsidRPr="00FB1CB8">
        <w:rPr>
          <w:szCs w:val="22"/>
        </w:rPr>
        <w:t>of virus infection</w:t>
      </w:r>
      <w:r w:rsidR="009B51AE" w:rsidRPr="00FB1CB8">
        <w:rPr>
          <w:szCs w:val="22"/>
        </w:rPr>
        <w:t xml:space="preserve"> </w:t>
      </w:r>
      <w:r w:rsidR="00971D6F" w:rsidRPr="00FB1CB8">
        <w:rPr>
          <w:szCs w:val="22"/>
        </w:rPr>
        <w:t xml:space="preserve">in which ADE is observed in the presence of low concentrations of </w:t>
      </w:r>
      <w:r w:rsidR="003E27D8" w:rsidRPr="00FB1CB8">
        <w:rPr>
          <w:szCs w:val="22"/>
        </w:rPr>
        <w:t xml:space="preserve">non-neutralizing and/or </w:t>
      </w:r>
      <w:r w:rsidR="00CE6BB2" w:rsidRPr="00FB1CB8">
        <w:rPr>
          <w:szCs w:val="22"/>
        </w:rPr>
        <w:t>infectivity-enhancing</w:t>
      </w:r>
      <w:r w:rsidR="003E27D8" w:rsidRPr="00FB1CB8">
        <w:rPr>
          <w:szCs w:val="22"/>
        </w:rPr>
        <w:t xml:space="preserve"> </w:t>
      </w:r>
      <w:r w:rsidR="00971D6F" w:rsidRPr="00FB1CB8">
        <w:rPr>
          <w:szCs w:val="22"/>
        </w:rPr>
        <w:t xml:space="preserve">antibodies </w:t>
      </w:r>
      <w:r w:rsidR="009E7A8D" w:rsidRPr="00FB1CB8">
        <w:rPr>
          <w:szCs w:val="22"/>
        </w:rPr>
        <w:t xml:space="preserve">that </w:t>
      </w:r>
      <w:r w:rsidR="00971D6F" w:rsidRPr="00FB1CB8">
        <w:rPr>
          <w:szCs w:val="22"/>
        </w:rPr>
        <w:t xml:space="preserve">one would </w:t>
      </w:r>
      <w:r w:rsidR="0026556D" w:rsidRPr="00FB1CB8">
        <w:rPr>
          <w:szCs w:val="22"/>
        </w:rPr>
        <w:t xml:space="preserve">putatively </w:t>
      </w:r>
      <w:r w:rsidR="00971D6F" w:rsidRPr="00FB1CB8">
        <w:rPr>
          <w:szCs w:val="22"/>
        </w:rPr>
        <w:t>observe with</w:t>
      </w:r>
      <w:r w:rsidR="009B51AE" w:rsidRPr="00FB1CB8">
        <w:rPr>
          <w:szCs w:val="22"/>
        </w:rPr>
        <w:t xml:space="preserve"> rising immunity </w:t>
      </w:r>
      <w:r w:rsidR="00C60699" w:rsidRPr="00FB1CB8">
        <w:rPr>
          <w:szCs w:val="22"/>
        </w:rPr>
        <w:t xml:space="preserve">shortly </w:t>
      </w:r>
      <w:r w:rsidR="009E7A8D" w:rsidRPr="00FB1CB8">
        <w:rPr>
          <w:szCs w:val="22"/>
        </w:rPr>
        <w:t>after the first vaccine dose</w:t>
      </w:r>
      <w:r w:rsidR="009B51AE" w:rsidRPr="00FB1CB8">
        <w:rPr>
          <w:szCs w:val="22"/>
        </w:rPr>
        <w:t>.</w:t>
      </w:r>
      <w:r w:rsidR="00971D6F" w:rsidRPr="00FB1CB8">
        <w:rPr>
          <w:szCs w:val="22"/>
        </w:rPr>
        <w:t xml:space="preserve"> </w:t>
      </w:r>
      <w:r w:rsidR="009E7A8D" w:rsidRPr="00FB1CB8">
        <w:rPr>
          <w:szCs w:val="22"/>
        </w:rPr>
        <w:t xml:space="preserve">All countries assessed showed evidence of higher crude rates of COVID-19 infection in the </w:t>
      </w:r>
      <w:r w:rsidR="00971D6F" w:rsidRPr="00FB1CB8">
        <w:rPr>
          <w:szCs w:val="22"/>
        </w:rPr>
        <w:t>1-dose</w:t>
      </w:r>
      <w:r w:rsidR="009E7A8D" w:rsidRPr="00FB1CB8">
        <w:rPr>
          <w:szCs w:val="22"/>
        </w:rPr>
        <w:t xml:space="preserve"> vaccinated than the unvaccinated (i.e., England 1.4x, Scotland 1.3x, </w:t>
      </w:r>
      <w:r w:rsidR="00971D6F" w:rsidRPr="00FB1CB8">
        <w:rPr>
          <w:szCs w:val="22"/>
        </w:rPr>
        <w:t>Canada</w:t>
      </w:r>
      <w:r w:rsidR="009E7A8D" w:rsidRPr="00FB1CB8">
        <w:rPr>
          <w:szCs w:val="22"/>
        </w:rPr>
        <w:t xml:space="preserve"> </w:t>
      </w:r>
      <w:r w:rsidR="00971D6F" w:rsidRPr="00FB1CB8">
        <w:rPr>
          <w:szCs w:val="22"/>
        </w:rPr>
        <w:t>1.4</w:t>
      </w:r>
      <w:r w:rsidR="009E7A8D" w:rsidRPr="00FB1CB8">
        <w:rPr>
          <w:szCs w:val="22"/>
        </w:rPr>
        <w:t>x, and New Zealand 1.5x)</w:t>
      </w:r>
      <w:r w:rsidR="00B17E92" w:rsidRPr="00FB1CB8">
        <w:rPr>
          <w:szCs w:val="22"/>
        </w:rPr>
        <w:t>. This</w:t>
      </w:r>
      <w:r w:rsidR="009E7A8D" w:rsidRPr="00FB1CB8">
        <w:rPr>
          <w:szCs w:val="22"/>
        </w:rPr>
        <w:t xml:space="preserve"> suggest</w:t>
      </w:r>
      <w:r w:rsidR="00B17E92" w:rsidRPr="00FB1CB8">
        <w:rPr>
          <w:szCs w:val="22"/>
        </w:rPr>
        <w:t>s</w:t>
      </w:r>
      <w:r w:rsidR="009E7A8D" w:rsidRPr="00FB1CB8">
        <w:rPr>
          <w:szCs w:val="22"/>
        </w:rPr>
        <w:t xml:space="preserve"> </w:t>
      </w:r>
      <w:r w:rsidR="00965ADA" w:rsidRPr="00FB1CB8">
        <w:rPr>
          <w:szCs w:val="22"/>
        </w:rPr>
        <w:t xml:space="preserve">these </w:t>
      </w:r>
      <w:r w:rsidR="00B91638" w:rsidRPr="00FB1CB8">
        <w:rPr>
          <w:szCs w:val="22"/>
        </w:rPr>
        <w:t>governments’</w:t>
      </w:r>
      <w:r w:rsidR="009E7A8D" w:rsidRPr="00FB1CB8">
        <w:rPr>
          <w:szCs w:val="22"/>
        </w:rPr>
        <w:t xml:space="preserve"> </w:t>
      </w:r>
      <w:r w:rsidR="00B17E92" w:rsidRPr="00FB1CB8">
        <w:rPr>
          <w:szCs w:val="22"/>
        </w:rPr>
        <w:t>definition</w:t>
      </w:r>
      <w:r w:rsidR="009E7A8D" w:rsidRPr="00FB1CB8">
        <w:rPr>
          <w:szCs w:val="22"/>
        </w:rPr>
        <w:t xml:space="preserve"> </w:t>
      </w:r>
      <w:r w:rsidR="00B17E92" w:rsidRPr="00FB1CB8">
        <w:rPr>
          <w:szCs w:val="22"/>
        </w:rPr>
        <w:t>of</w:t>
      </w:r>
      <w:r w:rsidR="007D2BA6" w:rsidRPr="00FB1CB8">
        <w:rPr>
          <w:szCs w:val="22"/>
        </w:rPr>
        <w:t xml:space="preserve"> </w:t>
      </w:r>
      <w:r w:rsidRPr="00FB1CB8">
        <w:rPr>
          <w:szCs w:val="22"/>
        </w:rPr>
        <w:t xml:space="preserve">the </w:t>
      </w:r>
      <w:r w:rsidR="007D2BA6" w:rsidRPr="00FB1CB8">
        <w:rPr>
          <w:szCs w:val="22"/>
        </w:rPr>
        <w:t>vaccinated</w:t>
      </w:r>
      <w:r w:rsidR="00C60699" w:rsidRPr="00FB1CB8">
        <w:rPr>
          <w:szCs w:val="22"/>
        </w:rPr>
        <w:t xml:space="preserve"> wa</w:t>
      </w:r>
      <w:r w:rsidR="009E7A8D" w:rsidRPr="00FB1CB8">
        <w:rPr>
          <w:szCs w:val="22"/>
        </w:rPr>
        <w:t xml:space="preserve">s inappropriate for capturing the </w:t>
      </w:r>
      <w:r w:rsidR="007F15F0" w:rsidRPr="00FB1CB8">
        <w:rPr>
          <w:szCs w:val="22"/>
        </w:rPr>
        <w:t xml:space="preserve">gamut of </w:t>
      </w:r>
      <w:r w:rsidR="00B17E92" w:rsidRPr="00FB1CB8">
        <w:rPr>
          <w:szCs w:val="22"/>
        </w:rPr>
        <w:t>risks</w:t>
      </w:r>
      <w:r w:rsidR="009E7A8D" w:rsidRPr="00FB1CB8">
        <w:rPr>
          <w:szCs w:val="22"/>
        </w:rPr>
        <w:t xml:space="preserve"> </w:t>
      </w:r>
      <w:r w:rsidR="007F15F0" w:rsidRPr="00FB1CB8">
        <w:rPr>
          <w:szCs w:val="22"/>
        </w:rPr>
        <w:t>against</w:t>
      </w:r>
      <w:r w:rsidR="009E7A8D" w:rsidRPr="00FB1CB8">
        <w:rPr>
          <w:szCs w:val="22"/>
        </w:rPr>
        <w:t xml:space="preserve"> </w:t>
      </w:r>
      <w:r w:rsidR="003E27D8" w:rsidRPr="00FB1CB8">
        <w:rPr>
          <w:szCs w:val="22"/>
        </w:rPr>
        <w:t xml:space="preserve">COVID-19 </w:t>
      </w:r>
      <w:r w:rsidR="009E7A8D" w:rsidRPr="00FB1CB8">
        <w:rPr>
          <w:szCs w:val="22"/>
        </w:rPr>
        <w:t>infection</w:t>
      </w:r>
      <w:r w:rsidR="007D2BA6" w:rsidRPr="00FB1CB8">
        <w:rPr>
          <w:szCs w:val="22"/>
        </w:rPr>
        <w:t xml:space="preserve"> in the face of </w:t>
      </w:r>
      <w:r w:rsidR="00965ADA" w:rsidRPr="00FB1CB8">
        <w:rPr>
          <w:b/>
          <w:bCs w:val="0"/>
          <w:szCs w:val="22"/>
        </w:rPr>
        <w:t xml:space="preserve">predictable </w:t>
      </w:r>
      <w:r w:rsidR="007D2BA6" w:rsidRPr="00FB1CB8">
        <w:rPr>
          <w:b/>
          <w:bCs w:val="0"/>
          <w:szCs w:val="22"/>
        </w:rPr>
        <w:t>ADE</w:t>
      </w:r>
      <w:r w:rsidR="009E7A8D" w:rsidRPr="00FB1CB8">
        <w:rPr>
          <w:szCs w:val="22"/>
        </w:rPr>
        <w:t xml:space="preserve">. </w:t>
      </w:r>
    </w:p>
    <w:p w14:paraId="178B2021" w14:textId="1C21B937" w:rsidR="00655A4D" w:rsidRPr="00965ADA" w:rsidRDefault="00655A4D" w:rsidP="00540435">
      <w:pPr>
        <w:rPr>
          <w:szCs w:val="22"/>
        </w:rPr>
      </w:pPr>
      <w:r w:rsidRPr="00965ADA">
        <w:rPr>
          <w:szCs w:val="22"/>
        </w:rPr>
        <w:t xml:space="preserve">Furthermore, as a general comment in all nations assessed, the case definitions for COVID-19 death and acute hospitalization fail to reflect an all-cause morbidity and mortality definition. Instead, healthcare </w:t>
      </w:r>
      <w:r w:rsidRPr="00965ADA">
        <w:rPr>
          <w:szCs w:val="22"/>
        </w:rPr>
        <w:lastRenderedPageBreak/>
        <w:t>agencies have isolated a very narrow 28-day window</w:t>
      </w:r>
      <w:r w:rsidR="001078A8">
        <w:rPr>
          <w:szCs w:val="22"/>
        </w:rPr>
        <w:t>,</w:t>
      </w:r>
      <w:r w:rsidRPr="00965ADA">
        <w:rPr>
          <w:szCs w:val="22"/>
        </w:rPr>
        <w:t xml:space="preserve"> </w:t>
      </w:r>
      <w:r w:rsidR="001078A8">
        <w:rPr>
          <w:szCs w:val="22"/>
        </w:rPr>
        <w:t xml:space="preserve">which is inconsistent relative to their booster date, </w:t>
      </w:r>
      <w:r w:rsidR="00CB3540" w:rsidRPr="00965ADA">
        <w:rPr>
          <w:szCs w:val="22"/>
        </w:rPr>
        <w:t>to assess serious disease outcomes</w:t>
      </w:r>
      <w:r w:rsidR="001078A8">
        <w:rPr>
          <w:szCs w:val="22"/>
        </w:rPr>
        <w:t>. This assessment window avoided</w:t>
      </w:r>
      <w:r w:rsidRPr="00965ADA">
        <w:rPr>
          <w:szCs w:val="22"/>
        </w:rPr>
        <w:t xml:space="preserve"> the majority of vaccine-induced toxicity and harm </w:t>
      </w:r>
      <w:r w:rsidR="001078A8">
        <w:rPr>
          <w:szCs w:val="22"/>
        </w:rPr>
        <w:t xml:space="preserve">that </w:t>
      </w:r>
      <w:r w:rsidRPr="00965ADA">
        <w:rPr>
          <w:szCs w:val="22"/>
        </w:rPr>
        <w:t>ha</w:t>
      </w:r>
      <w:r w:rsidR="00DF2AF0">
        <w:rPr>
          <w:szCs w:val="22"/>
        </w:rPr>
        <w:t>d</w:t>
      </w:r>
      <w:r w:rsidRPr="00965ADA">
        <w:rPr>
          <w:szCs w:val="22"/>
        </w:rPr>
        <w:t xml:space="preserve"> </w:t>
      </w:r>
      <w:r w:rsidR="00AB6CB7" w:rsidRPr="00965ADA">
        <w:rPr>
          <w:szCs w:val="22"/>
        </w:rPr>
        <w:t xml:space="preserve">already </w:t>
      </w:r>
      <w:r w:rsidRPr="00965ADA">
        <w:rPr>
          <w:szCs w:val="22"/>
        </w:rPr>
        <w:t>occurred</w:t>
      </w:r>
      <w:r w:rsidR="00FB1CB8">
        <w:rPr>
          <w:szCs w:val="22"/>
        </w:rPr>
        <w:t xml:space="preserve"> (i.e., </w:t>
      </w:r>
      <w:r w:rsidR="00FB1CB8" w:rsidRPr="00DD509F">
        <w:rPr>
          <w:i/>
          <w:iCs/>
          <w:szCs w:val="22"/>
        </w:rPr>
        <w:t>c.50% within two weeks of vaccination, via my VAERS reconnaissance analysis to November 2021</w:t>
      </w:r>
      <w:r w:rsidR="00FB1CB8">
        <w:rPr>
          <w:szCs w:val="22"/>
        </w:rPr>
        <w:t>)</w:t>
      </w:r>
      <w:r w:rsidRPr="00965ADA">
        <w:rPr>
          <w:szCs w:val="22"/>
        </w:rPr>
        <w:t xml:space="preserve">. </w:t>
      </w:r>
      <w:r w:rsidR="00410906">
        <w:rPr>
          <w:szCs w:val="22"/>
        </w:rPr>
        <w:t>In my view</w:t>
      </w:r>
      <w:r w:rsidRPr="00965ADA">
        <w:rPr>
          <w:szCs w:val="22"/>
        </w:rPr>
        <w:t xml:space="preserve">, any government narrative based on this </w:t>
      </w:r>
      <w:r w:rsidR="00410906">
        <w:rPr>
          <w:szCs w:val="22"/>
        </w:rPr>
        <w:t>narrow window</w:t>
      </w:r>
      <w:r w:rsidRPr="00965ADA">
        <w:rPr>
          <w:szCs w:val="22"/>
        </w:rPr>
        <w:t xml:space="preserve"> is a </w:t>
      </w:r>
      <w:r w:rsidRPr="00FB1CB8">
        <w:rPr>
          <w:b/>
          <w:bCs w:val="0"/>
          <w:szCs w:val="22"/>
        </w:rPr>
        <w:t>best-case</w:t>
      </w:r>
      <w:r w:rsidR="001078A8">
        <w:rPr>
          <w:b/>
          <w:bCs w:val="0"/>
          <w:szCs w:val="22"/>
        </w:rPr>
        <w:t xml:space="preserve"> contrivance</w:t>
      </w:r>
      <w:r w:rsidRPr="00965ADA">
        <w:rPr>
          <w:szCs w:val="22"/>
        </w:rPr>
        <w:t xml:space="preserve">, which </w:t>
      </w:r>
      <w:r w:rsidR="00CB3540" w:rsidRPr="00965ADA">
        <w:rPr>
          <w:szCs w:val="22"/>
        </w:rPr>
        <w:t xml:space="preserve">excludes </w:t>
      </w:r>
      <w:r w:rsidRPr="00965ADA">
        <w:rPr>
          <w:szCs w:val="22"/>
        </w:rPr>
        <w:t xml:space="preserve">the </w:t>
      </w:r>
      <w:r w:rsidR="00410906">
        <w:rPr>
          <w:szCs w:val="22"/>
        </w:rPr>
        <w:t xml:space="preserve">serious-severe vaccine adverse events and the </w:t>
      </w:r>
      <w:r w:rsidR="00560A16">
        <w:rPr>
          <w:szCs w:val="22"/>
        </w:rPr>
        <w:t>21</w:t>
      </w:r>
      <w:r w:rsidR="00560A16" w:rsidRPr="00FB1CB8">
        <w:rPr>
          <w:szCs w:val="22"/>
        </w:rPr>
        <w:t>-</w:t>
      </w:r>
      <w:r w:rsidR="00560A16">
        <w:rPr>
          <w:szCs w:val="22"/>
        </w:rPr>
        <w:t>14-day</w:t>
      </w:r>
      <w:r w:rsidR="00410906">
        <w:rPr>
          <w:szCs w:val="22"/>
        </w:rPr>
        <w:t xml:space="preserve"> period</w:t>
      </w:r>
      <w:r w:rsidR="00A85CC6">
        <w:rPr>
          <w:szCs w:val="22"/>
        </w:rPr>
        <w:t>s</w:t>
      </w:r>
      <w:r w:rsidR="00410906" w:rsidRPr="00965ADA">
        <w:rPr>
          <w:szCs w:val="22"/>
        </w:rPr>
        <w:t xml:space="preserve"> </w:t>
      </w:r>
      <w:r w:rsidR="00410906">
        <w:rPr>
          <w:szCs w:val="22"/>
        </w:rPr>
        <w:t xml:space="preserve">after </w:t>
      </w:r>
      <w:r w:rsidRPr="00965ADA">
        <w:rPr>
          <w:szCs w:val="22"/>
        </w:rPr>
        <w:t xml:space="preserve">primary </w:t>
      </w:r>
      <w:r w:rsidR="00410906">
        <w:rPr>
          <w:szCs w:val="22"/>
        </w:rPr>
        <w:t xml:space="preserve">and </w:t>
      </w:r>
      <w:r w:rsidR="00410906" w:rsidRPr="00965ADA">
        <w:rPr>
          <w:szCs w:val="22"/>
        </w:rPr>
        <w:t xml:space="preserve">booster </w:t>
      </w:r>
      <w:r w:rsidRPr="00965ADA">
        <w:rPr>
          <w:szCs w:val="22"/>
        </w:rPr>
        <w:t>immunizatio</w:t>
      </w:r>
      <w:r w:rsidR="00410906">
        <w:rPr>
          <w:szCs w:val="22"/>
        </w:rPr>
        <w:t>n</w:t>
      </w:r>
      <w:r w:rsidR="00A85CC6">
        <w:rPr>
          <w:szCs w:val="22"/>
        </w:rPr>
        <w:t>s</w:t>
      </w:r>
      <w:r w:rsidR="001078A8">
        <w:rPr>
          <w:szCs w:val="22"/>
        </w:rPr>
        <w:t>, respectively,</w:t>
      </w:r>
      <w:r w:rsidR="00410906">
        <w:rPr>
          <w:szCs w:val="22"/>
        </w:rPr>
        <w:t xml:space="preserve"> when ADE could arise</w:t>
      </w:r>
      <w:r w:rsidRPr="00965ADA">
        <w:rPr>
          <w:szCs w:val="22"/>
        </w:rPr>
        <w:t xml:space="preserve">, </w:t>
      </w:r>
      <w:r w:rsidR="00410906">
        <w:rPr>
          <w:szCs w:val="22"/>
        </w:rPr>
        <w:t>and</w:t>
      </w:r>
      <w:r w:rsidRPr="00965ADA">
        <w:rPr>
          <w:szCs w:val="22"/>
        </w:rPr>
        <w:t xml:space="preserve"> the longer inter-booster period when </w:t>
      </w:r>
      <w:r w:rsidR="00447B2B" w:rsidRPr="00965ADA">
        <w:rPr>
          <w:szCs w:val="22"/>
        </w:rPr>
        <w:t>protective</w:t>
      </w:r>
      <w:r w:rsidRPr="00965ADA">
        <w:rPr>
          <w:szCs w:val="22"/>
        </w:rPr>
        <w:t xml:space="preserve"> immunity has waned. </w:t>
      </w:r>
    </w:p>
    <w:p w14:paraId="60769650" w14:textId="20A32564" w:rsidR="00355226" w:rsidRPr="00355226" w:rsidRDefault="00FB757C" w:rsidP="00F12F35">
      <w:pPr>
        <w:pStyle w:val="Heading4"/>
      </w:pPr>
      <w:r>
        <w:t xml:space="preserve">Healthcare Agencies’ Argument Buttressing </w:t>
      </w:r>
      <w:r w:rsidR="00DB4153">
        <w:t>to</w:t>
      </w:r>
      <w:r>
        <w:t xml:space="preserve"> </w:t>
      </w:r>
      <w:r w:rsidR="00DB4153">
        <w:t>Invalidate</w:t>
      </w:r>
      <w:r>
        <w:t xml:space="preserve"> Negative Vaccine Efficacy</w:t>
      </w:r>
    </w:p>
    <w:p w14:paraId="6B80CC8A" w14:textId="730A0D9B" w:rsidR="00D37CE8" w:rsidRDefault="00EE6F61" w:rsidP="00416F69">
      <w:pPr>
        <w:rPr>
          <w:rFonts w:cs="Times New Roman"/>
        </w:rPr>
      </w:pPr>
      <w:r>
        <w:rPr>
          <w:rFonts w:cs="Times New Roman"/>
        </w:rPr>
        <w:t xml:space="preserve">The UKHSA </w:t>
      </w:r>
      <w:r w:rsidR="00B17E92">
        <w:rPr>
          <w:rFonts w:cs="Times New Roman"/>
        </w:rPr>
        <w:t>and PHS inform us the</w:t>
      </w:r>
      <w:r w:rsidRPr="00EE6F61">
        <w:rPr>
          <w:rFonts w:cs="Times New Roman"/>
        </w:rPr>
        <w:t xml:space="preserve"> vaccination status of cases, </w:t>
      </w:r>
      <w:r w:rsidR="005D013B">
        <w:rPr>
          <w:rFonts w:cs="Times New Roman"/>
        </w:rPr>
        <w:t xml:space="preserve">hospital </w:t>
      </w:r>
      <w:r w:rsidRPr="00EE6F61">
        <w:rPr>
          <w:rFonts w:cs="Times New Roman"/>
        </w:rPr>
        <w:t xml:space="preserve">inpatients and deaths should not be used to assess vaccine effectiveness because of </w:t>
      </w:r>
      <w:r w:rsidR="00D37CE8">
        <w:rPr>
          <w:rFonts w:cs="Times New Roman"/>
        </w:rPr>
        <w:t>inherent biases</w:t>
      </w:r>
      <w:r w:rsidR="00D37CE8" w:rsidRPr="00C72C61">
        <w:rPr>
          <w:rFonts w:cs="Times New Roman"/>
        </w:rPr>
        <w:t xml:space="preserve"> </w:t>
      </w:r>
      <w:r w:rsidR="00D37CE8">
        <w:rPr>
          <w:rFonts w:cs="Times New Roman"/>
        </w:rPr>
        <w:t xml:space="preserve">consequent to vaccinated and unvaccinated </w:t>
      </w:r>
      <w:r w:rsidR="00590516">
        <w:rPr>
          <w:rFonts w:cs="Times New Roman"/>
        </w:rPr>
        <w:t>population</w:t>
      </w:r>
      <w:r w:rsidR="00D37CE8">
        <w:rPr>
          <w:rFonts w:cs="Times New Roman"/>
        </w:rPr>
        <w:t xml:space="preserve"> differences</w:t>
      </w:r>
      <w:r w:rsidR="005F08B8">
        <w:rPr>
          <w:rFonts w:cs="Times New Roman"/>
        </w:rPr>
        <w:t xml:space="preserve"> </w:t>
      </w:r>
      <w:r w:rsidR="00D37CE8">
        <w:rPr>
          <w:rFonts w:cs="Times New Roman"/>
        </w:rPr>
        <w:t xml:space="preserve">(i.e., </w:t>
      </w:r>
      <w:r w:rsidR="00B251DA" w:rsidRPr="00EA6556">
        <w:rPr>
          <w:rFonts w:cs="Times New Roman"/>
          <w:i/>
          <w:iCs/>
        </w:rPr>
        <w:t xml:space="preserve">social </w:t>
      </w:r>
      <w:r w:rsidR="00B251DA">
        <w:rPr>
          <w:rFonts w:cs="Times New Roman"/>
          <w:i/>
          <w:iCs/>
        </w:rPr>
        <w:t xml:space="preserve">behavioral </w:t>
      </w:r>
      <w:r w:rsidR="00B251DA" w:rsidRPr="00EA6556">
        <w:rPr>
          <w:rFonts w:cs="Times New Roman"/>
          <w:i/>
          <w:iCs/>
        </w:rPr>
        <w:t xml:space="preserve">interactions, </w:t>
      </w:r>
      <w:r w:rsidR="00D37CE8" w:rsidRPr="00EA6556">
        <w:rPr>
          <w:rFonts w:cs="Times New Roman"/>
          <w:i/>
          <w:iCs/>
        </w:rPr>
        <w:t xml:space="preserve">testing behaviors, vaccination prioritization, </w:t>
      </w:r>
      <w:r w:rsidR="00D37CE8">
        <w:rPr>
          <w:rFonts w:cs="Times New Roman"/>
          <w:i/>
          <w:iCs/>
        </w:rPr>
        <w:t xml:space="preserve">and </w:t>
      </w:r>
      <w:r w:rsidR="00D37CE8" w:rsidRPr="00EA6556">
        <w:rPr>
          <w:rFonts w:cs="Times New Roman"/>
          <w:i/>
          <w:iCs/>
        </w:rPr>
        <w:t>natural immunity</w:t>
      </w:r>
      <w:r w:rsidR="00D37CE8">
        <w:rPr>
          <w:rFonts w:cs="Times New Roman"/>
        </w:rPr>
        <w:t>).</w:t>
      </w:r>
      <w:r w:rsidR="005F08B8">
        <w:rPr>
          <w:rStyle w:val="EndnoteReference"/>
          <w:rFonts w:cs="Times New Roman"/>
        </w:rPr>
        <w:endnoteReference w:id="42"/>
      </w:r>
      <w:r w:rsidR="00D37CE8">
        <w:rPr>
          <w:rFonts w:cs="Times New Roman"/>
        </w:rPr>
        <w:t xml:space="preserve"> How this innate bias compares with </w:t>
      </w:r>
      <w:r w:rsidR="00590516">
        <w:rPr>
          <w:rFonts w:cs="Times New Roman"/>
        </w:rPr>
        <w:t xml:space="preserve">the </w:t>
      </w:r>
      <w:r w:rsidR="00D37CE8">
        <w:rPr>
          <w:rFonts w:cs="Times New Roman"/>
        </w:rPr>
        <w:t>denominator and numerator bias</w:t>
      </w:r>
      <w:r w:rsidR="00590516">
        <w:rPr>
          <w:rFonts w:cs="Times New Roman"/>
        </w:rPr>
        <w:t xml:space="preserve"> </w:t>
      </w:r>
      <w:r w:rsidR="00A85CC6">
        <w:rPr>
          <w:rFonts w:cs="Times New Roman"/>
        </w:rPr>
        <w:t>evident in government surveillance data or</w:t>
      </w:r>
      <w:r w:rsidR="00D37CE8">
        <w:rPr>
          <w:rFonts w:cs="Times New Roman"/>
        </w:rPr>
        <w:t xml:space="preserve"> </w:t>
      </w:r>
      <w:r w:rsidR="00A85CC6">
        <w:rPr>
          <w:rFonts w:cs="Times New Roman"/>
        </w:rPr>
        <w:t xml:space="preserve">the </w:t>
      </w:r>
      <w:r w:rsidR="00590516">
        <w:rPr>
          <w:rFonts w:cs="Times New Roman"/>
        </w:rPr>
        <w:t>use of</w:t>
      </w:r>
      <w:r w:rsidR="00B251DA">
        <w:rPr>
          <w:rFonts w:cs="Times New Roman"/>
        </w:rPr>
        <w:t xml:space="preserve"> </w:t>
      </w:r>
      <w:r w:rsidR="0088018C">
        <w:rPr>
          <w:rFonts w:cs="Times New Roman"/>
        </w:rPr>
        <w:t>supposedly “</w:t>
      </w:r>
      <w:r w:rsidR="00B251DA">
        <w:rPr>
          <w:rFonts w:cs="Times New Roman"/>
        </w:rPr>
        <w:t>unadjusted</w:t>
      </w:r>
      <w:r w:rsidR="0088018C">
        <w:rPr>
          <w:rFonts w:cs="Times New Roman"/>
        </w:rPr>
        <w:t>”</w:t>
      </w:r>
      <w:r w:rsidR="00B251DA">
        <w:rPr>
          <w:rFonts w:cs="Times New Roman"/>
        </w:rPr>
        <w:t xml:space="preserve"> rates</w:t>
      </w:r>
      <w:r w:rsidR="00590516">
        <w:rPr>
          <w:rFonts w:cs="Times New Roman"/>
        </w:rPr>
        <w:t xml:space="preserve"> can’t be assessed from their quantitatively unsubstantiated statement</w:t>
      </w:r>
      <w:r w:rsidR="00FB1CB8">
        <w:rPr>
          <w:rFonts w:cs="Times New Roman"/>
        </w:rPr>
        <w:t>s</w:t>
      </w:r>
      <w:r w:rsidR="00590516">
        <w:rPr>
          <w:rFonts w:cs="Times New Roman"/>
        </w:rPr>
        <w:t xml:space="preserve"> of opinion</w:t>
      </w:r>
      <w:r w:rsidR="00D37CE8">
        <w:rPr>
          <w:rFonts w:cs="Times New Roman"/>
        </w:rPr>
        <w:t>. This section</w:t>
      </w:r>
      <w:r w:rsidR="00590516">
        <w:rPr>
          <w:rFonts w:cs="Times New Roman"/>
        </w:rPr>
        <w:t xml:space="preserve"> </w:t>
      </w:r>
      <w:r w:rsidR="00D37CE8" w:rsidRPr="00B251DA">
        <w:rPr>
          <w:rFonts w:cs="Times New Roman"/>
          <w:b/>
          <w:bCs w:val="0"/>
        </w:rPr>
        <w:t>teases inherent bias apart</w:t>
      </w:r>
      <w:r w:rsidR="00D37CE8">
        <w:rPr>
          <w:rFonts w:cs="Times New Roman"/>
        </w:rPr>
        <w:t xml:space="preserve"> </w:t>
      </w:r>
      <w:r w:rsidR="00590516">
        <w:rPr>
          <w:rFonts w:cs="Times New Roman"/>
        </w:rPr>
        <w:t xml:space="preserve">focused </w:t>
      </w:r>
      <w:r w:rsidR="00F95681">
        <w:rPr>
          <w:rFonts w:cs="Times New Roman"/>
        </w:rPr>
        <w:t>on</w:t>
      </w:r>
      <w:r w:rsidR="00D37CE8">
        <w:rPr>
          <w:rFonts w:cs="Times New Roman"/>
        </w:rPr>
        <w:t xml:space="preserve"> the formula</w:t>
      </w:r>
      <w:r w:rsidR="00590516">
        <w:rPr>
          <w:rFonts w:cs="Times New Roman"/>
        </w:rPr>
        <w:t>s:</w:t>
      </w:r>
      <w:r w:rsidR="00D37CE8">
        <w:rPr>
          <w:rFonts w:cs="Times New Roman"/>
        </w:rPr>
        <w:t xml:space="preserve"> absolute risk reduction </w:t>
      </w:r>
      <w:r w:rsidR="005F08B8">
        <w:rPr>
          <w:rFonts w:cs="Times New Roman"/>
        </w:rPr>
        <w:t xml:space="preserve">(ARR) </w:t>
      </w:r>
      <w:r w:rsidR="00D37CE8">
        <w:rPr>
          <w:rFonts w:cs="Times New Roman"/>
        </w:rPr>
        <w:t xml:space="preserve">= unvaccinated </w:t>
      </w:r>
      <w:r w:rsidR="00590516">
        <w:rPr>
          <w:rFonts w:cs="Times New Roman"/>
        </w:rPr>
        <w:t>rate</w:t>
      </w:r>
      <w:r w:rsidR="00D37CE8">
        <w:rPr>
          <w:rFonts w:cs="Times New Roman"/>
        </w:rPr>
        <w:t xml:space="preserve"> – vaccinated </w:t>
      </w:r>
      <w:r w:rsidR="00590516">
        <w:rPr>
          <w:rFonts w:cs="Times New Roman"/>
        </w:rPr>
        <w:t>rate</w:t>
      </w:r>
      <w:r w:rsidR="00D37CE8">
        <w:rPr>
          <w:rFonts w:cs="Times New Roman"/>
        </w:rPr>
        <w:t>,</w:t>
      </w:r>
      <w:r w:rsidR="00590516">
        <w:rPr>
          <w:rFonts w:cs="Times New Roman"/>
        </w:rPr>
        <w:t xml:space="preserve"> and</w:t>
      </w:r>
      <w:r w:rsidR="00D37CE8">
        <w:rPr>
          <w:rFonts w:cs="Times New Roman"/>
        </w:rPr>
        <w:t xml:space="preserve"> </w:t>
      </w:r>
      <w:r w:rsidR="00590516">
        <w:rPr>
          <w:rFonts w:cs="Times New Roman"/>
        </w:rPr>
        <w:t>rate ratio (RR) = vaccinated rate / unvaccinated rate. A</w:t>
      </w:r>
      <w:r w:rsidR="00447B2B">
        <w:rPr>
          <w:rFonts w:cs="Times New Roman"/>
        </w:rPr>
        <w:t xml:space="preserve"> </w:t>
      </w:r>
      <w:r w:rsidR="005F08B8">
        <w:rPr>
          <w:rFonts w:cs="Times New Roman"/>
        </w:rPr>
        <w:t xml:space="preserve">negative vaccine effectiveness </w:t>
      </w:r>
      <w:r w:rsidR="00E3228F">
        <w:rPr>
          <w:rFonts w:cs="Times New Roman"/>
        </w:rPr>
        <w:t>would be</w:t>
      </w:r>
      <w:r w:rsidR="005F08B8">
        <w:rPr>
          <w:rFonts w:cs="Times New Roman"/>
        </w:rPr>
        <w:t xml:space="preserve"> indicated by a negative ARR</w:t>
      </w:r>
      <w:r w:rsidR="00590516">
        <w:rPr>
          <w:rFonts w:cs="Times New Roman"/>
        </w:rPr>
        <w:t xml:space="preserve"> or </w:t>
      </w:r>
      <w:r w:rsidR="00F95681">
        <w:rPr>
          <w:rFonts w:cs="Times New Roman"/>
        </w:rPr>
        <w:t xml:space="preserve">a </w:t>
      </w:r>
      <w:r w:rsidR="00590516">
        <w:rPr>
          <w:rFonts w:cs="Times New Roman"/>
        </w:rPr>
        <w:t>RR&gt;1.0</w:t>
      </w:r>
      <w:r w:rsidR="00D37CE8">
        <w:rPr>
          <w:rFonts w:cs="Times New Roman"/>
        </w:rPr>
        <w:t>.</w:t>
      </w:r>
    </w:p>
    <w:p w14:paraId="4D3757B9" w14:textId="4BB10FD0" w:rsidR="00416F69" w:rsidRPr="00B251DA" w:rsidRDefault="00EA6556" w:rsidP="00416F69">
      <w:pPr>
        <w:rPr>
          <w:szCs w:val="22"/>
        </w:rPr>
      </w:pPr>
      <w:r w:rsidRPr="00B251DA">
        <w:rPr>
          <w:b/>
          <w:bCs w:val="0"/>
          <w:szCs w:val="22"/>
          <w:u w:val="single"/>
        </w:rPr>
        <w:t>Social b</w:t>
      </w:r>
      <w:r w:rsidR="00416F69" w:rsidRPr="00B251DA">
        <w:rPr>
          <w:b/>
          <w:bCs w:val="0"/>
          <w:szCs w:val="22"/>
          <w:u w:val="single"/>
        </w:rPr>
        <w:t>ehavior bias</w:t>
      </w:r>
      <w:r w:rsidR="00416F69" w:rsidRPr="00B251DA">
        <w:rPr>
          <w:szCs w:val="22"/>
        </w:rPr>
        <w:t xml:space="preserve">: </w:t>
      </w:r>
      <w:r w:rsidR="00416F69" w:rsidRPr="00B251DA">
        <w:rPr>
          <w:rFonts w:cs="Times New Roman"/>
        </w:rPr>
        <w:t xml:space="preserve">Any negative vaccine efficacy </w:t>
      </w:r>
      <w:r w:rsidR="003037F6">
        <w:rPr>
          <w:rFonts w:cs="Times New Roman"/>
        </w:rPr>
        <w:t xml:space="preserve">artifact </w:t>
      </w:r>
      <w:r w:rsidR="00416F69" w:rsidRPr="00B251DA">
        <w:rPr>
          <w:rFonts w:cs="Times New Roman"/>
        </w:rPr>
        <w:t>would suggest the unvaccinated engaged in behaviors that lowered their case rates</w:t>
      </w:r>
      <w:r w:rsidR="00E3228F" w:rsidRPr="00B251DA">
        <w:rPr>
          <w:rFonts w:cs="Times New Roman"/>
        </w:rPr>
        <w:t xml:space="preserve"> to less than</w:t>
      </w:r>
      <w:r w:rsidR="00E3228F" w:rsidRPr="00B251DA">
        <w:rPr>
          <w:rFonts w:cs="Times New Roman"/>
          <w:b/>
          <w:bCs w:val="0"/>
        </w:rPr>
        <w:t xml:space="preserve"> </w:t>
      </w:r>
      <w:r w:rsidR="00416F69" w:rsidRPr="00B251DA">
        <w:rPr>
          <w:rFonts w:cs="Times New Roman"/>
        </w:rPr>
        <w:t>the vaccinated</w:t>
      </w:r>
      <w:r w:rsidR="002D56F8">
        <w:rPr>
          <w:rFonts w:cs="Times New Roman"/>
        </w:rPr>
        <w:t>, and</w:t>
      </w:r>
      <w:r w:rsidR="00590516">
        <w:rPr>
          <w:rFonts w:cs="Times New Roman"/>
        </w:rPr>
        <w:t>/or</w:t>
      </w:r>
      <w:r w:rsidR="002D56F8">
        <w:rPr>
          <w:rFonts w:cs="Times New Roman"/>
        </w:rPr>
        <w:t xml:space="preserve"> </w:t>
      </w:r>
      <w:r w:rsidR="00590516">
        <w:rPr>
          <w:rFonts w:cs="Times New Roman"/>
        </w:rPr>
        <w:t xml:space="preserve">the vaccinated </w:t>
      </w:r>
      <w:r w:rsidR="00590516" w:rsidRPr="00B251DA">
        <w:rPr>
          <w:rFonts w:cs="Times New Roman"/>
        </w:rPr>
        <w:t xml:space="preserve">engaged in behaviors that </w:t>
      </w:r>
      <w:r w:rsidR="00590516">
        <w:rPr>
          <w:rFonts w:cs="Times New Roman"/>
        </w:rPr>
        <w:t>increased</w:t>
      </w:r>
      <w:r w:rsidR="00590516" w:rsidRPr="00B251DA">
        <w:rPr>
          <w:rFonts w:cs="Times New Roman"/>
        </w:rPr>
        <w:t xml:space="preserve"> their case rates</w:t>
      </w:r>
      <w:r w:rsidR="004F3426" w:rsidRPr="00B251DA">
        <w:rPr>
          <w:rFonts w:cs="Times New Roman"/>
        </w:rPr>
        <w:t>. This would imply the unvaccinated</w:t>
      </w:r>
      <w:r w:rsidR="00416F69" w:rsidRPr="00B251DA">
        <w:rPr>
          <w:rFonts w:cs="Times New Roman"/>
        </w:rPr>
        <w:t xml:space="preserve"> </w:t>
      </w:r>
      <w:r w:rsidR="00E3228F" w:rsidRPr="00B251DA">
        <w:rPr>
          <w:rFonts w:cs="Times New Roman"/>
        </w:rPr>
        <w:t xml:space="preserve">maintained social distancing </w:t>
      </w:r>
      <w:r w:rsidR="0088018C">
        <w:rPr>
          <w:rFonts w:cs="Times New Roman"/>
        </w:rPr>
        <w:t>and wore masks more frequently</w:t>
      </w:r>
      <w:r w:rsidR="00F95681">
        <w:rPr>
          <w:rFonts w:cs="Times New Roman"/>
        </w:rPr>
        <w:t>,</w:t>
      </w:r>
      <w:r w:rsidR="0088018C">
        <w:rPr>
          <w:rFonts w:cs="Times New Roman"/>
        </w:rPr>
        <w:t xml:space="preserve"> </w:t>
      </w:r>
      <w:r w:rsidR="00E3228F" w:rsidRPr="00B251DA">
        <w:rPr>
          <w:rFonts w:cs="Times New Roman"/>
        </w:rPr>
        <w:t xml:space="preserve">and </w:t>
      </w:r>
      <w:r w:rsidR="00416F69" w:rsidRPr="00B251DA">
        <w:rPr>
          <w:rStyle w:val="Emphasis"/>
          <w:rFonts w:cs="Times New Roman"/>
          <w:i w:val="0"/>
          <w:iCs w:val="0"/>
        </w:rPr>
        <w:t>stayed away from people, public transportation, public events, dense populations, and work</w:t>
      </w:r>
      <w:r w:rsidR="00416F69" w:rsidRPr="00B251DA">
        <w:rPr>
          <w:rFonts w:cs="Times New Roman"/>
          <w:i/>
          <w:iCs/>
        </w:rPr>
        <w:t>.</w:t>
      </w:r>
      <w:r w:rsidR="00416F69" w:rsidRPr="00B251DA">
        <w:rPr>
          <w:rFonts w:cs="Times New Roman"/>
        </w:rPr>
        <w:t xml:space="preserve"> </w:t>
      </w:r>
      <w:r w:rsidR="00590516">
        <w:rPr>
          <w:rFonts w:cs="Times New Roman"/>
        </w:rPr>
        <w:t>This</w:t>
      </w:r>
      <w:r w:rsidR="00416F69" w:rsidRPr="00B251DA">
        <w:rPr>
          <w:rFonts w:cs="Times New Roman"/>
        </w:rPr>
        <w:t xml:space="preserve"> would also imply </w:t>
      </w:r>
      <w:r w:rsidR="00F95681">
        <w:rPr>
          <w:rFonts w:cs="Times New Roman"/>
        </w:rPr>
        <w:t xml:space="preserve">that </w:t>
      </w:r>
      <w:r w:rsidR="00416F69" w:rsidRPr="00B251DA">
        <w:rPr>
          <w:rFonts w:cs="Times New Roman"/>
        </w:rPr>
        <w:t>the vaccinated may have believed or trusted the</w:t>
      </w:r>
      <w:r w:rsidR="00571346" w:rsidRPr="00B251DA">
        <w:rPr>
          <w:rFonts w:cs="Times New Roman"/>
        </w:rPr>
        <w:t>ir</w:t>
      </w:r>
      <w:r w:rsidR="00416F69" w:rsidRPr="00B251DA">
        <w:rPr>
          <w:rFonts w:cs="Times New Roman"/>
        </w:rPr>
        <w:t xml:space="preserve"> government</w:t>
      </w:r>
      <w:r w:rsidR="00571346" w:rsidRPr="00B251DA">
        <w:rPr>
          <w:rFonts w:cs="Times New Roman"/>
        </w:rPr>
        <w:t>’s</w:t>
      </w:r>
      <w:r w:rsidR="00416F69" w:rsidRPr="00B251DA">
        <w:rPr>
          <w:rFonts w:cs="Times New Roman"/>
        </w:rPr>
        <w:t xml:space="preserve"> narrative that they were protected and thus engaged in risky behaviors that increased their infection rates </w:t>
      </w:r>
      <w:r w:rsidR="00571346" w:rsidRPr="00B251DA">
        <w:rPr>
          <w:rFonts w:cs="Times New Roman"/>
        </w:rPr>
        <w:t xml:space="preserve">above the unvaccinated. This would imply they were less stringent in maintaining their social distancing and wearing masks, </w:t>
      </w:r>
      <w:r w:rsidR="00416F69" w:rsidRPr="00B251DA">
        <w:rPr>
          <w:rStyle w:val="Emphasis"/>
          <w:rFonts w:cs="Times New Roman"/>
          <w:i w:val="0"/>
          <w:iCs w:val="0"/>
        </w:rPr>
        <w:t xml:space="preserve">increased </w:t>
      </w:r>
      <w:r w:rsidR="00571346" w:rsidRPr="00B251DA">
        <w:rPr>
          <w:rStyle w:val="Emphasis"/>
          <w:rFonts w:cs="Times New Roman"/>
          <w:i w:val="0"/>
          <w:iCs w:val="0"/>
        </w:rPr>
        <w:t xml:space="preserve">their </w:t>
      </w:r>
      <w:r w:rsidR="00416F69" w:rsidRPr="00B251DA">
        <w:rPr>
          <w:rStyle w:val="Emphasis"/>
          <w:rFonts w:cs="Times New Roman"/>
          <w:i w:val="0"/>
          <w:iCs w:val="0"/>
        </w:rPr>
        <w:t>socialization</w:t>
      </w:r>
      <w:r w:rsidR="00571346" w:rsidRPr="00B251DA">
        <w:rPr>
          <w:rStyle w:val="Emphasis"/>
          <w:rFonts w:cs="Times New Roman"/>
          <w:i w:val="0"/>
          <w:iCs w:val="0"/>
        </w:rPr>
        <w:t xml:space="preserve"> rates</w:t>
      </w:r>
      <w:r w:rsidR="00416F69" w:rsidRPr="00B251DA">
        <w:rPr>
          <w:rStyle w:val="Emphasis"/>
          <w:rFonts w:cs="Times New Roman"/>
          <w:i w:val="0"/>
          <w:iCs w:val="0"/>
        </w:rPr>
        <w:t xml:space="preserve">, </w:t>
      </w:r>
      <w:r w:rsidR="00571346" w:rsidRPr="00B251DA">
        <w:rPr>
          <w:rStyle w:val="Emphasis"/>
          <w:rFonts w:cs="Times New Roman"/>
          <w:i w:val="0"/>
          <w:iCs w:val="0"/>
        </w:rPr>
        <w:t xml:space="preserve">increased their use rates of </w:t>
      </w:r>
      <w:r w:rsidR="00416F69" w:rsidRPr="00B251DA">
        <w:rPr>
          <w:rStyle w:val="Emphasis"/>
          <w:rFonts w:cs="Times New Roman"/>
          <w:i w:val="0"/>
          <w:iCs w:val="0"/>
        </w:rPr>
        <w:t>public transport</w:t>
      </w:r>
      <w:r w:rsidR="00571346" w:rsidRPr="00B251DA">
        <w:rPr>
          <w:rStyle w:val="Emphasis"/>
          <w:rFonts w:cs="Times New Roman"/>
          <w:i w:val="0"/>
          <w:iCs w:val="0"/>
        </w:rPr>
        <w:t xml:space="preserve">, and more frequently </w:t>
      </w:r>
      <w:r w:rsidR="00416F69" w:rsidRPr="00B251DA">
        <w:rPr>
          <w:rStyle w:val="Emphasis"/>
          <w:rFonts w:cs="Times New Roman"/>
          <w:i w:val="0"/>
          <w:iCs w:val="0"/>
        </w:rPr>
        <w:t>visit</w:t>
      </w:r>
      <w:r w:rsidR="00571346" w:rsidRPr="00B251DA">
        <w:rPr>
          <w:rStyle w:val="Emphasis"/>
          <w:rFonts w:cs="Times New Roman"/>
          <w:i w:val="0"/>
          <w:iCs w:val="0"/>
        </w:rPr>
        <w:t>ed</w:t>
      </w:r>
      <w:r w:rsidR="00416F69" w:rsidRPr="00B251DA">
        <w:rPr>
          <w:rStyle w:val="Emphasis"/>
          <w:rFonts w:cs="Times New Roman"/>
          <w:i w:val="0"/>
          <w:iCs w:val="0"/>
        </w:rPr>
        <w:t xml:space="preserve"> public superspreader events</w:t>
      </w:r>
      <w:r w:rsidR="00416F69" w:rsidRPr="00B251DA">
        <w:rPr>
          <w:i/>
          <w:iCs/>
          <w:szCs w:val="22"/>
        </w:rPr>
        <w:t xml:space="preserve">. </w:t>
      </w:r>
      <w:r w:rsidR="00B251DA" w:rsidRPr="00FB1CB8">
        <w:rPr>
          <w:b/>
          <w:bCs w:val="0"/>
          <w:szCs w:val="22"/>
        </w:rPr>
        <w:t>Does this sound right?</w:t>
      </w:r>
    </w:p>
    <w:p w14:paraId="5F2D33AA" w14:textId="76972184" w:rsidR="00416F69" w:rsidRPr="00FF0B10" w:rsidRDefault="00416F69" w:rsidP="00416F69">
      <w:pPr>
        <w:rPr>
          <w:szCs w:val="22"/>
        </w:rPr>
      </w:pPr>
      <w:r w:rsidRPr="00EA6556">
        <w:rPr>
          <w:b/>
          <w:bCs w:val="0"/>
          <w:szCs w:val="22"/>
          <w:u w:val="single"/>
        </w:rPr>
        <w:t>Natural infection bias</w:t>
      </w:r>
      <w:r w:rsidRPr="00B407DA">
        <w:rPr>
          <w:szCs w:val="22"/>
        </w:rPr>
        <w:t xml:space="preserve">: </w:t>
      </w:r>
      <w:r w:rsidRPr="00B407DA">
        <w:rPr>
          <w:rFonts w:cs="Times New Roman"/>
        </w:rPr>
        <w:t xml:space="preserve">The </w:t>
      </w:r>
      <w:r w:rsidR="00571346">
        <w:rPr>
          <w:rFonts w:cs="Times New Roman"/>
        </w:rPr>
        <w:t xml:space="preserve">UKHSA and </w:t>
      </w:r>
      <w:r w:rsidRPr="00B407DA">
        <w:rPr>
          <w:rFonts w:cs="Times New Roman"/>
        </w:rPr>
        <w:t>PHS suggested prior infection could have increased background rates of naturally acquired immunity</w:t>
      </w:r>
      <w:r w:rsidR="00B251DA">
        <w:rPr>
          <w:rFonts w:cs="Times New Roman"/>
        </w:rPr>
        <w:t xml:space="preserve"> in the unvaccinated</w:t>
      </w:r>
      <w:r w:rsidRPr="00B407DA">
        <w:rPr>
          <w:rFonts w:cs="Times New Roman"/>
        </w:rPr>
        <w:t xml:space="preserve">, thus lowering unvaccinated case rates to create negative vaccine efficacy. This argument </w:t>
      </w:r>
      <w:r w:rsidR="00FB1CB8">
        <w:rPr>
          <w:rFonts w:cs="Times New Roman"/>
          <w:b/>
          <w:bCs w:val="0"/>
          <w:iCs/>
        </w:rPr>
        <w:t>topples</w:t>
      </w:r>
      <w:r w:rsidRPr="00B56059">
        <w:rPr>
          <w:rFonts w:cs="Times New Roman"/>
          <w:b/>
          <w:bCs w:val="0"/>
          <w:iCs/>
        </w:rPr>
        <w:t xml:space="preserve"> in New Zealand</w:t>
      </w:r>
      <w:r w:rsidRPr="00B407DA">
        <w:rPr>
          <w:rFonts w:cs="Times New Roman"/>
        </w:rPr>
        <w:t xml:space="preserve"> because our population </w:t>
      </w:r>
      <w:r w:rsidR="00750228" w:rsidRPr="00B407DA">
        <w:rPr>
          <w:rFonts w:cs="Times New Roman"/>
        </w:rPr>
        <w:t>wa</w:t>
      </w:r>
      <w:r w:rsidRPr="00B407DA">
        <w:rPr>
          <w:rFonts w:cs="Times New Roman"/>
        </w:rPr>
        <w:t>s still experiencing its first true pandemic wave of community transmission (i.e., not previously infected)</w:t>
      </w:r>
      <w:r w:rsidR="00F95681">
        <w:rPr>
          <w:rFonts w:cs="Times New Roman"/>
        </w:rPr>
        <w:t>. Yet,</w:t>
      </w:r>
      <w:r w:rsidRPr="00B407DA">
        <w:rPr>
          <w:rFonts w:cs="Times New Roman"/>
        </w:rPr>
        <w:t xml:space="preserve"> </w:t>
      </w:r>
      <w:r w:rsidR="0088018C">
        <w:rPr>
          <w:rFonts w:cs="Times New Roman"/>
        </w:rPr>
        <w:t>according to my calculations</w:t>
      </w:r>
      <w:r w:rsidR="00F95681">
        <w:rPr>
          <w:rFonts w:cs="Times New Roman"/>
        </w:rPr>
        <w:t>,</w:t>
      </w:r>
      <w:r w:rsidR="0088018C" w:rsidRPr="00B407DA">
        <w:rPr>
          <w:rFonts w:cs="Times New Roman"/>
        </w:rPr>
        <w:t xml:space="preserve"> </w:t>
      </w:r>
      <w:r w:rsidRPr="00B407DA">
        <w:rPr>
          <w:rFonts w:cs="Times New Roman"/>
        </w:rPr>
        <w:t xml:space="preserve">negative vaccine efficacy </w:t>
      </w:r>
      <w:r w:rsidR="00750228" w:rsidRPr="00B407DA">
        <w:rPr>
          <w:rFonts w:cs="Times New Roman"/>
        </w:rPr>
        <w:t>was already evident</w:t>
      </w:r>
      <w:r w:rsidR="00DE615B" w:rsidRPr="00B407DA">
        <w:rPr>
          <w:rFonts w:cs="Times New Roman"/>
        </w:rPr>
        <w:t xml:space="preserve"> during the initial Omicron wave</w:t>
      </w:r>
      <w:r w:rsidRPr="00B407DA">
        <w:rPr>
          <w:rFonts w:cs="Times New Roman"/>
        </w:rPr>
        <w:t>. In the Northern Hemisphere, nucleoprotein antibody seroprevalence indicative of natural infection confirm</w:t>
      </w:r>
      <w:r w:rsidR="008B18CD" w:rsidRPr="00B407DA">
        <w:rPr>
          <w:rFonts w:cs="Times New Roman"/>
        </w:rPr>
        <w:t>ed</w:t>
      </w:r>
      <w:r w:rsidRPr="00B407DA">
        <w:rPr>
          <w:rFonts w:cs="Times New Roman"/>
        </w:rPr>
        <w:t xml:space="preserve"> rates increased from 18.1% (UKHSA Report 36, August 2021) to 36% (UKHSA, Report 12, </w:t>
      </w:r>
      <w:r w:rsidRPr="00B407DA">
        <w:rPr>
          <w:rFonts w:cs="Times New Roman"/>
        </w:rPr>
        <w:lastRenderedPageBreak/>
        <w:t>February 2022)</w:t>
      </w:r>
      <w:r w:rsidR="00F95681">
        <w:rPr>
          <w:rFonts w:cs="Times New Roman"/>
        </w:rPr>
        <w:t>. Yet, the</w:t>
      </w:r>
      <w:r w:rsidRPr="00B407DA">
        <w:rPr>
          <w:rFonts w:cs="Times New Roman"/>
        </w:rPr>
        <w:t xml:space="preserve"> </w:t>
      </w:r>
      <w:r w:rsidR="00DE615B" w:rsidRPr="00FF0B10">
        <w:rPr>
          <w:rFonts w:cs="Times New Roman"/>
        </w:rPr>
        <w:t xml:space="preserve">statistically significant </w:t>
      </w:r>
      <w:r w:rsidRPr="00FF0B10">
        <w:rPr>
          <w:rFonts w:cs="Times New Roman"/>
        </w:rPr>
        <w:t xml:space="preserve">negative vaccine efficacy was </w:t>
      </w:r>
      <w:r w:rsidR="00750228" w:rsidRPr="00FF0B10">
        <w:rPr>
          <w:rFonts w:cs="Times New Roman"/>
        </w:rPr>
        <w:t>already</w:t>
      </w:r>
      <w:r w:rsidRPr="00FF0B10">
        <w:rPr>
          <w:rFonts w:cs="Times New Roman"/>
        </w:rPr>
        <w:t xml:space="preserve"> evident </w:t>
      </w:r>
      <w:r w:rsidR="005371F5">
        <w:rPr>
          <w:rFonts w:cs="Times New Roman"/>
        </w:rPr>
        <w:t>in</w:t>
      </w:r>
      <w:r w:rsidRPr="00FF0B10">
        <w:rPr>
          <w:rFonts w:cs="Times New Roman"/>
        </w:rPr>
        <w:t xml:space="preserve"> August 2021</w:t>
      </w:r>
      <w:r w:rsidR="002617E9" w:rsidRPr="00FF0B10">
        <w:rPr>
          <w:rFonts w:cs="Times New Roman"/>
        </w:rPr>
        <w:t xml:space="preserve"> </w:t>
      </w:r>
      <w:r w:rsidR="005371F5">
        <w:rPr>
          <w:rFonts w:cs="Times New Roman"/>
        </w:rPr>
        <w:t>(</w:t>
      </w:r>
      <w:r w:rsidR="0088018C" w:rsidRPr="00FF0B10">
        <w:rPr>
          <w:rFonts w:cs="Times New Roman"/>
        </w:rPr>
        <w:t xml:space="preserve">UKHSA </w:t>
      </w:r>
      <w:r w:rsidRPr="00FF0B10">
        <w:rPr>
          <w:rFonts w:cs="Times New Roman"/>
        </w:rPr>
        <w:t>report</w:t>
      </w:r>
      <w:r w:rsidR="005371F5">
        <w:rPr>
          <w:rFonts w:cs="Times New Roman"/>
        </w:rPr>
        <w:t xml:space="preserve"> 36) and all subsequent reports </w:t>
      </w:r>
      <w:r w:rsidR="00B91638" w:rsidRPr="00FF0B10">
        <w:rPr>
          <w:rFonts w:cs="Times New Roman"/>
        </w:rPr>
        <w:t>that</w:t>
      </w:r>
      <w:r w:rsidRPr="00FF0B10">
        <w:rPr>
          <w:rFonts w:cs="Times New Roman"/>
        </w:rPr>
        <w:t xml:space="preserve"> disclose</w:t>
      </w:r>
      <w:r w:rsidR="00FF0B10" w:rsidRPr="00FF0B10">
        <w:rPr>
          <w:rFonts w:cs="Times New Roman"/>
        </w:rPr>
        <w:t>d</w:t>
      </w:r>
      <w:r w:rsidRPr="00FF0B10">
        <w:rPr>
          <w:rFonts w:cs="Times New Roman"/>
        </w:rPr>
        <w:t xml:space="preserve"> case rates by vaccination status</w:t>
      </w:r>
      <w:r w:rsidR="0067213E">
        <w:rPr>
          <w:rFonts w:cs="Times New Roman"/>
        </w:rPr>
        <w:t>.</w:t>
      </w:r>
      <w:r w:rsidR="00590516">
        <w:rPr>
          <w:rFonts w:cs="Times New Roman"/>
        </w:rPr>
        <w:t xml:space="preserve"> </w:t>
      </w:r>
      <w:r w:rsidR="009C6C1E">
        <w:rPr>
          <w:rFonts w:cs="Times New Roman"/>
        </w:rPr>
        <w:t xml:space="preserve">It </w:t>
      </w:r>
      <w:r w:rsidR="009C6C1E" w:rsidRPr="00FB1CB8">
        <w:rPr>
          <w:rFonts w:cs="Times New Roman"/>
          <w:b/>
          <w:bCs w:val="0"/>
        </w:rPr>
        <w:t>should be noted</w:t>
      </w:r>
      <w:r w:rsidR="009C6C1E">
        <w:rPr>
          <w:rFonts w:cs="Times New Roman"/>
        </w:rPr>
        <w:t xml:space="preserve"> t</w:t>
      </w:r>
      <w:r w:rsidR="005371F5">
        <w:rPr>
          <w:rFonts w:cs="Times New Roman"/>
        </w:rPr>
        <w:t>hese reports were</w:t>
      </w:r>
      <w:r w:rsidR="00590516">
        <w:rPr>
          <w:rFonts w:cs="Times New Roman"/>
        </w:rPr>
        <w:t xml:space="preserve"> available to </w:t>
      </w:r>
      <w:r w:rsidR="005371F5">
        <w:rPr>
          <w:rFonts w:cs="Times New Roman"/>
        </w:rPr>
        <w:t>the</w:t>
      </w:r>
      <w:r w:rsidR="00590516">
        <w:rPr>
          <w:rFonts w:cs="Times New Roman"/>
        </w:rPr>
        <w:t xml:space="preserve"> </w:t>
      </w:r>
      <w:r w:rsidR="005371F5">
        <w:rPr>
          <w:rFonts w:cs="Times New Roman"/>
        </w:rPr>
        <w:t xml:space="preserve">Ministry of </w:t>
      </w:r>
      <w:r w:rsidR="00590516">
        <w:rPr>
          <w:rFonts w:cs="Times New Roman"/>
        </w:rPr>
        <w:t>Health just after Auckland’s August 2021 lockdown</w:t>
      </w:r>
      <w:r w:rsidR="005371F5">
        <w:rPr>
          <w:rFonts w:cs="Times New Roman"/>
        </w:rPr>
        <w:t xml:space="preserve"> and the ensuing mandated and induced national vaccination campaign</w:t>
      </w:r>
      <w:r w:rsidR="00590516">
        <w:rPr>
          <w:rFonts w:cs="Times New Roman"/>
        </w:rPr>
        <w:t>.</w:t>
      </w:r>
    </w:p>
    <w:p w14:paraId="622E5513" w14:textId="1489C021" w:rsidR="005920F8" w:rsidRDefault="00416F69" w:rsidP="00416F69">
      <w:pPr>
        <w:rPr>
          <w:szCs w:val="22"/>
        </w:rPr>
      </w:pPr>
      <w:r w:rsidRPr="00EA6556">
        <w:rPr>
          <w:b/>
          <w:bCs w:val="0"/>
          <w:szCs w:val="22"/>
          <w:u w:val="single"/>
        </w:rPr>
        <w:t>Testing bias</w:t>
      </w:r>
      <w:r w:rsidRPr="005562AC">
        <w:rPr>
          <w:szCs w:val="22"/>
        </w:rPr>
        <w:t xml:space="preserve">: </w:t>
      </w:r>
      <w:r>
        <w:rPr>
          <w:rFonts w:cs="Times New Roman"/>
        </w:rPr>
        <w:t xml:space="preserve">This would imply the unvaccinated were less likely, and/or the vaccinated more likely to be tested </w:t>
      </w:r>
      <w:r w:rsidR="00FB1CB8">
        <w:rPr>
          <w:rFonts w:cs="Times New Roman"/>
        </w:rPr>
        <w:t xml:space="preserve">(i.e., </w:t>
      </w:r>
      <w:r w:rsidR="00FB1CB8" w:rsidRPr="00FB1CB8">
        <w:rPr>
          <w:rFonts w:cs="Times New Roman"/>
          <w:i/>
          <w:iCs/>
        </w:rPr>
        <w:t>even though they were vaccinated and supposedly protected</w:t>
      </w:r>
      <w:r w:rsidR="00FB1CB8">
        <w:rPr>
          <w:rFonts w:cs="Times New Roman"/>
        </w:rPr>
        <w:t xml:space="preserve">) </w:t>
      </w:r>
      <w:r>
        <w:rPr>
          <w:rFonts w:cs="Times New Roman"/>
        </w:rPr>
        <w:t xml:space="preserve">while potentially being impacted </w:t>
      </w:r>
      <w:r w:rsidR="007E2DFD">
        <w:rPr>
          <w:rFonts w:cs="Times New Roman"/>
        </w:rPr>
        <w:t xml:space="preserve">by their government’s </w:t>
      </w:r>
      <w:r w:rsidR="00D73FE4">
        <w:rPr>
          <w:rFonts w:cs="Times New Roman"/>
        </w:rPr>
        <w:t>us</w:t>
      </w:r>
      <w:r w:rsidR="007E2DFD">
        <w:rPr>
          <w:rFonts w:cs="Times New Roman"/>
        </w:rPr>
        <w:t>e of</w:t>
      </w:r>
      <w:r>
        <w:rPr>
          <w:rFonts w:cs="Times New Roman"/>
        </w:rPr>
        <w:t xml:space="preserve"> high false-positive PCR diagnostic methods </w:t>
      </w:r>
      <w:r w:rsidR="00982EF5">
        <w:rPr>
          <w:rFonts w:cs="Times New Roman"/>
        </w:rPr>
        <w:t xml:space="preserve">using cycle thresholds &gt;35 </w:t>
      </w:r>
      <w:r>
        <w:rPr>
          <w:rFonts w:cs="Times New Roman"/>
        </w:rPr>
        <w:t xml:space="preserve">(see section </w:t>
      </w:r>
      <w:r w:rsidRPr="00443195">
        <w:rPr>
          <w:rFonts w:cs="Times New Roman"/>
        </w:rPr>
        <w:t>1.</w:t>
      </w:r>
      <w:r w:rsidR="00443195" w:rsidRPr="00443195">
        <w:rPr>
          <w:rFonts w:cs="Times New Roman"/>
        </w:rPr>
        <w:t>7</w:t>
      </w:r>
      <w:r w:rsidRPr="00443195">
        <w:rPr>
          <w:rFonts w:cs="Times New Roman"/>
        </w:rPr>
        <w:t>.2</w:t>
      </w:r>
      <w:r w:rsidR="000A70CC">
        <w:rPr>
          <w:rFonts w:cs="Times New Roman"/>
        </w:rPr>
        <w:t>, i.e., bogus case generator</w:t>
      </w:r>
      <w:r w:rsidRPr="00443195">
        <w:rPr>
          <w:rFonts w:cs="Times New Roman"/>
        </w:rPr>
        <w:t>)</w:t>
      </w:r>
      <w:r w:rsidR="00FB1CB8">
        <w:rPr>
          <w:rFonts w:cs="Times New Roman"/>
        </w:rPr>
        <w:t xml:space="preserve">. </w:t>
      </w:r>
      <w:r>
        <w:rPr>
          <w:rFonts w:cs="Times New Roman"/>
        </w:rPr>
        <w:t xml:space="preserve">To </w:t>
      </w:r>
      <w:r w:rsidR="005371F5">
        <w:rPr>
          <w:rFonts w:cs="Times New Roman"/>
        </w:rPr>
        <w:t>convert a 2-dose negative vaccine efficacy (-ARR%, RR &gt;1.0) to a vaccine failure (ARR = 0, RR = 1.0)</w:t>
      </w:r>
      <w:r w:rsidR="00DF2AF0">
        <w:rPr>
          <w:rFonts w:cs="Times New Roman"/>
        </w:rPr>
        <w:t>,</w:t>
      </w:r>
      <w:r w:rsidR="005371F5">
        <w:rPr>
          <w:rFonts w:cs="Times New Roman"/>
        </w:rPr>
        <w:t xml:space="preserve"> </w:t>
      </w:r>
      <w:r>
        <w:rPr>
          <w:rFonts w:cs="Times New Roman"/>
        </w:rPr>
        <w:t xml:space="preserve">one would need to increase the unvaccinated </w:t>
      </w:r>
      <w:r w:rsidR="00572563">
        <w:rPr>
          <w:rFonts w:cs="Times New Roman"/>
        </w:rPr>
        <w:t>COVID-19</w:t>
      </w:r>
      <w:r>
        <w:rPr>
          <w:rFonts w:cs="Times New Roman"/>
        </w:rPr>
        <w:t xml:space="preserve"> case</w:t>
      </w:r>
      <w:r w:rsidR="00982EF5">
        <w:rPr>
          <w:rFonts w:cs="Times New Roman"/>
        </w:rPr>
        <w:t xml:space="preserve"> rates</w:t>
      </w:r>
      <w:r>
        <w:rPr>
          <w:rFonts w:cs="Times New Roman"/>
        </w:rPr>
        <w:t xml:space="preserve"> by </w:t>
      </w:r>
      <w:r w:rsidR="00982EF5">
        <w:rPr>
          <w:rFonts w:cs="Times New Roman"/>
        </w:rPr>
        <w:t>2.4</w:t>
      </w:r>
      <w:r>
        <w:rPr>
          <w:rFonts w:cs="Times New Roman"/>
        </w:rPr>
        <w:t>x (England), 1.</w:t>
      </w:r>
      <w:r w:rsidR="00982EF5">
        <w:rPr>
          <w:rFonts w:cs="Times New Roman"/>
        </w:rPr>
        <w:t>7</w:t>
      </w:r>
      <w:r>
        <w:rPr>
          <w:rFonts w:cs="Times New Roman"/>
        </w:rPr>
        <w:t xml:space="preserve">x (Scotland), </w:t>
      </w:r>
      <w:r w:rsidR="00982EF5">
        <w:rPr>
          <w:rFonts w:cs="Times New Roman"/>
        </w:rPr>
        <w:t>2.2</w:t>
      </w:r>
      <w:r>
        <w:rPr>
          <w:rFonts w:cs="Times New Roman"/>
        </w:rPr>
        <w:t>x (Canada)</w:t>
      </w:r>
      <w:r w:rsidR="00982EF5">
        <w:rPr>
          <w:rFonts w:cs="Times New Roman"/>
        </w:rPr>
        <w:t xml:space="preserve">, and 2.0x (New Zealand), meaning testing rates would need to increase significantly more than these </w:t>
      </w:r>
      <w:r w:rsidR="00B251DA">
        <w:rPr>
          <w:rFonts w:cs="Times New Roman"/>
        </w:rPr>
        <w:t xml:space="preserve">case </w:t>
      </w:r>
      <w:r w:rsidR="00982EF5">
        <w:rPr>
          <w:rFonts w:cs="Times New Roman"/>
        </w:rPr>
        <w:t>rate multiples</w:t>
      </w:r>
      <w:r>
        <w:rPr>
          <w:rFonts w:cs="Times New Roman"/>
        </w:rPr>
        <w:t>. In this scenario, there would have been no benefit to vaccination</w:t>
      </w:r>
      <w:r w:rsidR="005371F5">
        <w:rPr>
          <w:rFonts w:cs="Times New Roman"/>
        </w:rPr>
        <w:t xml:space="preserve">, </w:t>
      </w:r>
      <w:r w:rsidR="005371F5" w:rsidRPr="00FB1CB8">
        <w:rPr>
          <w:rFonts w:cs="Times New Roman"/>
          <w:b/>
          <w:bCs w:val="0"/>
        </w:rPr>
        <w:t>only harm</w:t>
      </w:r>
      <w:r>
        <w:rPr>
          <w:rFonts w:cs="Times New Roman"/>
        </w:rPr>
        <w:t>. Testing bias would also assume the unvaccinated were able to avo</w:t>
      </w:r>
      <w:r w:rsidR="00FA5A16">
        <w:rPr>
          <w:rFonts w:cs="Times New Roman"/>
        </w:rPr>
        <w:t xml:space="preserve">id </w:t>
      </w:r>
      <w:r w:rsidR="00572563">
        <w:rPr>
          <w:rFonts w:cs="Times New Roman"/>
        </w:rPr>
        <w:t>COVID-19</w:t>
      </w:r>
      <w:r w:rsidR="00FA5A16">
        <w:rPr>
          <w:rFonts w:cs="Times New Roman"/>
        </w:rPr>
        <w:t xml:space="preserve"> testing (i.e., for work</w:t>
      </w:r>
      <w:r>
        <w:rPr>
          <w:rFonts w:cs="Times New Roman"/>
        </w:rPr>
        <w:t xml:space="preserve">, </w:t>
      </w:r>
      <w:r w:rsidR="009C6C1E">
        <w:rPr>
          <w:rFonts w:cs="Times New Roman"/>
        </w:rPr>
        <w:t xml:space="preserve">school, public gatherings, </w:t>
      </w:r>
      <w:r>
        <w:rPr>
          <w:rFonts w:cs="Times New Roman"/>
        </w:rPr>
        <w:t>crossing county</w:t>
      </w:r>
      <w:r w:rsidR="00DF2AF0">
        <w:rPr>
          <w:rFonts w:cs="Times New Roman"/>
        </w:rPr>
        <w:t>,</w:t>
      </w:r>
      <w:r>
        <w:rPr>
          <w:rFonts w:cs="Times New Roman"/>
        </w:rPr>
        <w:t xml:space="preserve"> </w:t>
      </w:r>
      <w:r w:rsidR="009C6C1E">
        <w:rPr>
          <w:rFonts w:cs="Times New Roman"/>
        </w:rPr>
        <w:t xml:space="preserve">and country </w:t>
      </w:r>
      <w:r>
        <w:rPr>
          <w:rFonts w:cs="Times New Roman"/>
        </w:rPr>
        <w:t>borders, etc.)</w:t>
      </w:r>
      <w:r w:rsidR="00554F7D" w:rsidRPr="005562AC">
        <w:rPr>
          <w:szCs w:val="22"/>
        </w:rPr>
        <w:t xml:space="preserve">. </w:t>
      </w:r>
      <w:r w:rsidR="00FB1CB8">
        <w:rPr>
          <w:rFonts w:cs="Times New Roman"/>
        </w:rPr>
        <w:t xml:space="preserve">While I have no verifiable evidence, claims arose on social media from May 2021 that at least one government healthcare agency not detailed in this </w:t>
      </w:r>
      <w:r w:rsidR="00DF2AF0">
        <w:rPr>
          <w:rFonts w:cs="Times New Roman"/>
        </w:rPr>
        <w:t xml:space="preserve">specific </w:t>
      </w:r>
      <w:r w:rsidR="00FB1CB8">
        <w:rPr>
          <w:rFonts w:cs="Times New Roman"/>
        </w:rPr>
        <w:t>analysis was using different PCR cycle thresholds between the vaccinated and unvaccinated with vaccinated reinfections</w:t>
      </w:r>
      <w:r w:rsidR="00FB1CB8" w:rsidRPr="00443195">
        <w:rPr>
          <w:rFonts w:cs="Times New Roman"/>
        </w:rPr>
        <w:t>.</w:t>
      </w:r>
      <w:r w:rsidR="00DF2AF0">
        <w:rPr>
          <w:rFonts w:cs="Times New Roman"/>
        </w:rPr>
        <w:t xml:space="preserve"> In the fullness of time, it will be important to understand if </w:t>
      </w:r>
      <w:r w:rsidR="003037F6">
        <w:rPr>
          <w:rFonts w:cs="Times New Roman"/>
        </w:rPr>
        <w:t xml:space="preserve">the </w:t>
      </w:r>
      <w:r w:rsidR="00DF2AF0">
        <w:rPr>
          <w:rFonts w:cs="Times New Roman"/>
        </w:rPr>
        <w:t>us</w:t>
      </w:r>
      <w:r w:rsidR="003037F6">
        <w:rPr>
          <w:rFonts w:cs="Times New Roman"/>
        </w:rPr>
        <w:t>e of</w:t>
      </w:r>
      <w:r w:rsidR="00DF2AF0">
        <w:rPr>
          <w:rFonts w:cs="Times New Roman"/>
        </w:rPr>
        <w:t xml:space="preserve"> different PCR cycle thresholds impacted case rates more widely.</w:t>
      </w:r>
    </w:p>
    <w:p w14:paraId="23F987FD" w14:textId="06B16AC7" w:rsidR="00787E1D" w:rsidRPr="00AA4E64" w:rsidRDefault="00C461BB" w:rsidP="004C5C79">
      <w:pPr>
        <w:pStyle w:val="Heading3"/>
      </w:pPr>
      <w:bookmarkStart w:id="43" w:name="_Toc509513495"/>
      <w:bookmarkStart w:id="44" w:name="_Toc510678503"/>
      <w:bookmarkStart w:id="45" w:name="_Toc510880007"/>
      <w:bookmarkStart w:id="46" w:name="_Toc512275136"/>
      <w:bookmarkStart w:id="47" w:name="_Toc512360352"/>
      <w:bookmarkStart w:id="48" w:name="_Toc516645038"/>
      <w:bookmarkStart w:id="49" w:name="_Toc111367996"/>
      <w:bookmarkStart w:id="50" w:name="_Toc121035123"/>
      <w:r>
        <w:t>A B</w:t>
      </w:r>
      <w:r w:rsidR="00754551">
        <w:t>iological Explanation for</w:t>
      </w:r>
      <w:r w:rsidR="002B7A05">
        <w:t xml:space="preserve"> Negative Vaccine Effectiveness </w:t>
      </w:r>
      <w:r w:rsidR="00FB4721">
        <w:t>and</w:t>
      </w:r>
      <w:r w:rsidR="002B7A05">
        <w:t xml:space="preserve"> Vaccine Failure</w:t>
      </w:r>
      <w:bookmarkEnd w:id="43"/>
      <w:bookmarkEnd w:id="44"/>
      <w:bookmarkEnd w:id="45"/>
      <w:bookmarkEnd w:id="46"/>
      <w:bookmarkEnd w:id="47"/>
      <w:bookmarkEnd w:id="48"/>
      <w:bookmarkEnd w:id="49"/>
      <w:r>
        <w:t xml:space="preserve"> Rooted in a Multi-Decade Base of </w:t>
      </w:r>
      <w:r w:rsidR="00383A1A">
        <w:t>Coronavirus and Vaccine</w:t>
      </w:r>
      <w:r>
        <w:t xml:space="preserve"> </w:t>
      </w:r>
      <w:r w:rsidR="00060D0E">
        <w:t>Science</w:t>
      </w:r>
      <w:bookmarkEnd w:id="50"/>
      <w:r w:rsidR="003F00FA">
        <w:tab/>
      </w:r>
    </w:p>
    <w:p w14:paraId="3B83534F" w14:textId="680FAEDD" w:rsidR="00A85CC6" w:rsidRPr="002649CE" w:rsidRDefault="00DB4153" w:rsidP="00A85CC6">
      <w:pPr>
        <w:rPr>
          <w:rFonts w:cs="Times New Roman"/>
          <w:szCs w:val="22"/>
        </w:rPr>
      </w:pPr>
      <w:r w:rsidRPr="00DB4153">
        <w:rPr>
          <w:rFonts w:cs="Times New Roman"/>
          <w:b/>
          <w:bCs w:val="0"/>
          <w:szCs w:val="22"/>
          <w:u w:val="single"/>
        </w:rPr>
        <w:t>Definitions</w:t>
      </w:r>
      <w:r>
        <w:rPr>
          <w:rFonts w:cs="Times New Roman"/>
          <w:szCs w:val="22"/>
        </w:rPr>
        <w:t xml:space="preserve">: </w:t>
      </w:r>
      <w:r w:rsidR="00A85CC6" w:rsidRPr="002649CE">
        <w:rPr>
          <w:rFonts w:cs="Times New Roman"/>
          <w:szCs w:val="22"/>
        </w:rPr>
        <w:t>Antibody-dependent enhancement of virus infection</w:t>
      </w:r>
      <w:r w:rsidR="00A85CC6">
        <w:rPr>
          <w:rFonts w:cs="Times New Roman"/>
          <w:szCs w:val="22"/>
        </w:rPr>
        <w:t xml:space="preserve"> </w:t>
      </w:r>
      <w:r w:rsidR="00A85CC6" w:rsidRPr="002649CE">
        <w:rPr>
          <w:rFonts w:cs="Times New Roman"/>
          <w:szCs w:val="22"/>
        </w:rPr>
        <w:t>is a well-described phenomenon associated with coronavirus vaccines targeting the spike protein</w:t>
      </w:r>
      <w:r w:rsidR="00F95681">
        <w:rPr>
          <w:rFonts w:cs="Times New Roman"/>
          <w:szCs w:val="22"/>
        </w:rPr>
        <w:t>. In this situation,</w:t>
      </w:r>
      <w:r w:rsidR="00A85CC6" w:rsidRPr="002649CE">
        <w:rPr>
          <w:rFonts w:cs="Times New Roman"/>
          <w:szCs w:val="22"/>
        </w:rPr>
        <w:t xml:space="preserve"> viral infection is enhanced after vaccination with one strain and upon (re)infection with a different strain. </w:t>
      </w:r>
      <w:r w:rsidR="00A85CC6">
        <w:rPr>
          <w:rFonts w:cs="Times New Roman"/>
          <w:szCs w:val="22"/>
        </w:rPr>
        <w:t xml:space="preserve">Thus, </w:t>
      </w:r>
      <w:r w:rsidR="00A85CC6" w:rsidRPr="002649CE">
        <w:rPr>
          <w:rFonts w:cs="Times New Roman"/>
          <w:szCs w:val="22"/>
        </w:rPr>
        <w:t xml:space="preserve">ADE represents an alternative antibody-specific mechanism of virus infection of cells. </w:t>
      </w:r>
      <w:r w:rsidR="00A85CC6">
        <w:rPr>
          <w:rFonts w:cs="Times New Roman"/>
          <w:szCs w:val="22"/>
        </w:rPr>
        <w:t>A highly focused definition for v</w:t>
      </w:r>
      <w:r w:rsidR="00A85CC6" w:rsidRPr="002649CE">
        <w:rPr>
          <w:rFonts w:cs="Times New Roman"/>
          <w:szCs w:val="22"/>
        </w:rPr>
        <w:t xml:space="preserve">accine-associated enhanced disease (VAED) </w:t>
      </w:r>
      <w:r w:rsidR="00A85CC6">
        <w:rPr>
          <w:rFonts w:cs="Times New Roman"/>
          <w:szCs w:val="22"/>
        </w:rPr>
        <w:t>would involve the</w:t>
      </w:r>
      <w:r w:rsidR="00A85CC6" w:rsidRPr="002649CE">
        <w:rPr>
          <w:rFonts w:cs="Times New Roman"/>
          <w:szCs w:val="22"/>
        </w:rPr>
        <w:t xml:space="preserve"> modified clinical presentation of infections affecting people vaccinated with one strain (i.e., Wuhan) and exposed to a different strain (i.e., Delta, Omicron, etc.),</w:t>
      </w:r>
      <w:r w:rsidR="00A85CC6" w:rsidRPr="002649CE">
        <w:rPr>
          <w:rStyle w:val="EndnoteReference"/>
          <w:rFonts w:cs="Times New Roman"/>
          <w:szCs w:val="22"/>
          <w:lang w:eastAsia="en-US"/>
        </w:rPr>
        <w:endnoteReference w:id="43"/>
      </w:r>
      <w:r w:rsidR="00A85CC6" w:rsidRPr="002649CE">
        <w:rPr>
          <w:rFonts w:cs="Times New Roman"/>
          <w:szCs w:val="22"/>
        </w:rPr>
        <w:t xml:space="preserve"> which can </w:t>
      </w:r>
      <w:r w:rsidR="00A85CC6">
        <w:rPr>
          <w:rFonts w:cs="Times New Roman"/>
          <w:szCs w:val="22"/>
        </w:rPr>
        <w:t>enhance</w:t>
      </w:r>
      <w:r w:rsidR="00A85CC6" w:rsidRPr="002649CE">
        <w:rPr>
          <w:rFonts w:cs="Times New Roman"/>
          <w:szCs w:val="22"/>
        </w:rPr>
        <w:t xml:space="preserve"> pathogenicity by intensifying the immuno-inflammatory response.</w:t>
      </w:r>
      <w:r w:rsidR="00A85CC6">
        <w:rPr>
          <w:rFonts w:cs="Times New Roman"/>
          <w:szCs w:val="22"/>
        </w:rPr>
        <w:t xml:space="preserve"> </w:t>
      </w:r>
      <w:r w:rsidR="00A85CC6">
        <w:t>However, a broader VAED definition</w:t>
      </w:r>
      <w:r w:rsidR="00414C38">
        <w:t>,</w:t>
      </w:r>
      <w:r w:rsidR="00A85CC6">
        <w:t xml:space="preserve"> and one I subscribe to, is that implied by Pfizer’s listed array of diseases, organs and tissues, and symptoms under VAED as detailed in Table 5 </w:t>
      </w:r>
      <w:r w:rsidR="00A85CC6" w:rsidRPr="005B48A9">
        <w:rPr>
          <w:b/>
          <w:bCs w:val="0"/>
        </w:rPr>
        <w:t>footnote a</w:t>
      </w:r>
      <w:r w:rsidR="00A85CC6">
        <w:t>) (pg.11),</w:t>
      </w:r>
      <w:r w:rsidR="00A85CC6">
        <w:rPr>
          <w:rStyle w:val="EndnoteReference"/>
        </w:rPr>
        <w:endnoteReference w:id="44"/>
      </w:r>
      <w:r w:rsidR="00A85CC6">
        <w:t xml:space="preserve"> which can be summarized as </w:t>
      </w:r>
      <w:r w:rsidR="00A85CC6" w:rsidRPr="008972D8">
        <w:rPr>
          <w:b/>
          <w:bCs w:val="0"/>
        </w:rPr>
        <w:t>vaccine-associated pathologies and symptoms</w:t>
      </w:r>
      <w:r w:rsidR="00A85CC6">
        <w:t xml:space="preserve"> linked to specific organs and tissues including vascular endothelium-related, blood clotting-related, and heart, respiratory, brain, kidney, and gastrointestinal organs, for reasons that will become clear in section 1.3.</w:t>
      </w:r>
    </w:p>
    <w:p w14:paraId="1B338A18" w14:textId="377C7B2F" w:rsidR="00A85CC6" w:rsidRDefault="006870EC" w:rsidP="00A85CC6">
      <w:pPr>
        <w:rPr>
          <w:rFonts w:cs="Times New Roman"/>
        </w:rPr>
      </w:pPr>
      <w:r w:rsidRPr="00D92D1A">
        <w:rPr>
          <w:rFonts w:cs="Times New Roman"/>
          <w:b/>
          <w:bCs w:val="0"/>
          <w:u w:val="single"/>
        </w:rPr>
        <w:t>Differential diagnos</w:t>
      </w:r>
      <w:r w:rsidR="00D92D1A">
        <w:rPr>
          <w:rFonts w:cs="Times New Roman"/>
          <w:b/>
          <w:bCs w:val="0"/>
          <w:u w:val="single"/>
        </w:rPr>
        <w:t>e</w:t>
      </w:r>
      <w:r w:rsidRPr="00D92D1A">
        <w:rPr>
          <w:rFonts w:cs="Times New Roman"/>
          <w:b/>
          <w:bCs w:val="0"/>
          <w:u w:val="single"/>
        </w:rPr>
        <w:t>s</w:t>
      </w:r>
      <w:r w:rsidRPr="00D92D1A">
        <w:rPr>
          <w:rFonts w:cs="Times New Roman"/>
          <w:b/>
          <w:bCs w:val="0"/>
        </w:rPr>
        <w:t>:</w:t>
      </w:r>
      <w:r>
        <w:rPr>
          <w:rFonts w:cs="Times New Roman"/>
        </w:rPr>
        <w:t xml:space="preserve"> It is my view that genuine </w:t>
      </w:r>
      <w:r w:rsidRPr="003C5EA6">
        <w:rPr>
          <w:rFonts w:cs="Times New Roman"/>
          <w:b/>
          <w:bCs w:val="0"/>
        </w:rPr>
        <w:t>negative vaccine efficacy</w:t>
      </w:r>
      <w:r>
        <w:rPr>
          <w:rFonts w:cs="Times New Roman"/>
        </w:rPr>
        <w:t xml:space="preserve"> or vaccine-induced enhanced rates of COVID-19 infection would imply the population’s immune response facilitated viral infection (i.e., </w:t>
      </w:r>
      <w:r>
        <w:rPr>
          <w:rFonts w:cs="Times New Roman"/>
          <w:szCs w:val="22"/>
        </w:rPr>
        <w:lastRenderedPageBreak/>
        <w:t xml:space="preserve">antibody-dependent enhancement of virus infection or </w:t>
      </w:r>
      <w:r>
        <w:rPr>
          <w:rFonts w:cs="Times New Roman"/>
        </w:rPr>
        <w:t xml:space="preserve">ADE) or the COVID-19 </w:t>
      </w:r>
      <w:r w:rsidR="00F95681">
        <w:rPr>
          <w:rFonts w:cs="Times New Roman"/>
        </w:rPr>
        <w:t>vaccine</w:t>
      </w:r>
      <w:r>
        <w:rPr>
          <w:rFonts w:cs="Times New Roman"/>
        </w:rPr>
        <w:t xml:space="preserve"> damaged</w:t>
      </w:r>
      <w:r w:rsidR="00C60699">
        <w:rPr>
          <w:rFonts w:cs="Times New Roman"/>
        </w:rPr>
        <w:t>-corrupted</w:t>
      </w:r>
      <w:r>
        <w:rPr>
          <w:rFonts w:cs="Times New Roman"/>
        </w:rPr>
        <w:t xml:space="preserve"> the population's immune system</w:t>
      </w:r>
      <w:r w:rsidR="00961B25">
        <w:rPr>
          <w:rFonts w:cs="Times New Roman"/>
        </w:rPr>
        <w:t xml:space="preserve"> or response</w:t>
      </w:r>
      <w:r>
        <w:rPr>
          <w:rFonts w:cs="Times New Roman"/>
        </w:rPr>
        <w:t xml:space="preserve"> </w:t>
      </w:r>
      <w:r w:rsidR="005B44CA">
        <w:rPr>
          <w:rFonts w:cs="Times New Roman"/>
        </w:rPr>
        <w:t xml:space="preserve">thus </w:t>
      </w:r>
      <w:r>
        <w:rPr>
          <w:rFonts w:cs="Times New Roman"/>
        </w:rPr>
        <w:t xml:space="preserve">making people more susceptible to infection (i.e., a type of vaccine-induced AIDS). </w:t>
      </w:r>
      <w:r w:rsidR="00414C38">
        <w:rPr>
          <w:rFonts w:cs="Times New Roman"/>
        </w:rPr>
        <w:t>With</w:t>
      </w:r>
      <w:r>
        <w:rPr>
          <w:rFonts w:cs="Times New Roman"/>
        </w:rPr>
        <w:t xml:space="preserve"> immunization for a mutation-prone RNA virus using </w:t>
      </w:r>
      <w:r w:rsidR="00D92D1A">
        <w:rPr>
          <w:rFonts w:cs="Times New Roman"/>
        </w:rPr>
        <w:t>surface glycoprotein antigens</w:t>
      </w:r>
      <w:r w:rsidR="00414C38">
        <w:rPr>
          <w:rFonts w:cs="Times New Roman"/>
        </w:rPr>
        <w:t>,</w:t>
      </w:r>
      <w:r>
        <w:rPr>
          <w:rFonts w:cs="Times New Roman"/>
        </w:rPr>
        <w:t xml:space="preserve"> </w:t>
      </w:r>
      <w:r w:rsidRPr="00A85CC6">
        <w:rPr>
          <w:rFonts w:cs="Times New Roman"/>
          <w:b/>
          <w:bCs w:val="0"/>
        </w:rPr>
        <w:t>vaccine failure</w:t>
      </w:r>
      <w:r>
        <w:rPr>
          <w:rFonts w:cs="Times New Roman"/>
        </w:rPr>
        <w:t xml:space="preserve"> would be expected to result from </w:t>
      </w:r>
      <w:r w:rsidR="00D92D1A">
        <w:rPr>
          <w:rFonts w:cs="Times New Roman"/>
        </w:rPr>
        <w:t xml:space="preserve">the </w:t>
      </w:r>
      <w:r w:rsidR="00D92D1A" w:rsidRPr="00C60699">
        <w:rPr>
          <w:rFonts w:cs="Times New Roman"/>
          <w:b/>
          <w:bCs w:val="0"/>
        </w:rPr>
        <w:t>combination</w:t>
      </w:r>
      <w:r w:rsidR="00C60699" w:rsidRPr="00C60699">
        <w:rPr>
          <w:rFonts w:cs="Times New Roman"/>
          <w:b/>
          <w:bCs w:val="0"/>
        </w:rPr>
        <w:t xml:space="preserve"> and concurrency</w:t>
      </w:r>
      <w:r w:rsidR="00D92D1A">
        <w:rPr>
          <w:rFonts w:cs="Times New Roman"/>
        </w:rPr>
        <w:t xml:space="preserve"> of </w:t>
      </w:r>
      <w:r>
        <w:rPr>
          <w:rFonts w:cs="Times New Roman"/>
        </w:rPr>
        <w:t xml:space="preserve">antigenic </w:t>
      </w:r>
      <w:r w:rsidRPr="003C5EA6">
        <w:rPr>
          <w:rFonts w:cs="Times New Roman"/>
        </w:rPr>
        <w:t xml:space="preserve">imprinting (section 1.4.2) and immune escape </w:t>
      </w:r>
      <w:r>
        <w:rPr>
          <w:rFonts w:cs="Times New Roman"/>
        </w:rPr>
        <w:t>by a</w:t>
      </w:r>
      <w:r w:rsidR="00C60699">
        <w:rPr>
          <w:rFonts w:cs="Times New Roman"/>
        </w:rPr>
        <w:t xml:space="preserve">n antigenically distinct </w:t>
      </w:r>
      <w:r w:rsidR="00A85CC6">
        <w:rPr>
          <w:rFonts w:cs="Times New Roman"/>
        </w:rPr>
        <w:t>strain</w:t>
      </w:r>
      <w:r w:rsidR="005B48A9">
        <w:rPr>
          <w:rFonts w:cs="Times New Roman"/>
        </w:rPr>
        <w:t xml:space="preserve"> (i.e., Omicron)</w:t>
      </w:r>
      <w:r>
        <w:rPr>
          <w:rFonts w:cs="Times New Roman"/>
        </w:rPr>
        <w:t xml:space="preserve">. With </w:t>
      </w:r>
      <w:r w:rsidRPr="003C5EA6">
        <w:rPr>
          <w:rFonts w:cs="Times New Roman"/>
          <w:b/>
          <w:bCs w:val="0"/>
        </w:rPr>
        <w:t>vaccine failure</w:t>
      </w:r>
      <w:r w:rsidR="00414C38">
        <w:rPr>
          <w:rFonts w:cs="Times New Roman"/>
          <w:b/>
          <w:bCs w:val="0"/>
        </w:rPr>
        <w:t>,</w:t>
      </w:r>
      <w:r w:rsidRPr="003C5EA6">
        <w:rPr>
          <w:rFonts w:cs="Times New Roman"/>
          <w:b/>
          <w:bCs w:val="0"/>
        </w:rPr>
        <w:t xml:space="preserve"> efficacy would </w:t>
      </w:r>
      <w:r w:rsidR="003A1C78">
        <w:rPr>
          <w:rFonts w:cs="Times New Roman"/>
          <w:b/>
          <w:bCs w:val="0"/>
        </w:rPr>
        <w:t>t</w:t>
      </w:r>
      <w:r w:rsidR="00414C38">
        <w:rPr>
          <w:rFonts w:cs="Times New Roman"/>
          <w:b/>
          <w:bCs w:val="0"/>
        </w:rPr>
        <w:t>r</w:t>
      </w:r>
      <w:r w:rsidR="003A1C78">
        <w:rPr>
          <w:rFonts w:cs="Times New Roman"/>
          <w:b/>
          <w:bCs w:val="0"/>
        </w:rPr>
        <w:t>end</w:t>
      </w:r>
      <w:r w:rsidRPr="003C5EA6">
        <w:rPr>
          <w:rFonts w:cs="Times New Roman"/>
          <w:b/>
          <w:bCs w:val="0"/>
        </w:rPr>
        <w:t xml:space="preserve"> to </w:t>
      </w:r>
      <w:r w:rsidR="003A1C78" w:rsidRPr="003C5EA6">
        <w:rPr>
          <w:rFonts w:cs="Times New Roman"/>
          <w:b/>
          <w:bCs w:val="0"/>
        </w:rPr>
        <w:t>zero</w:t>
      </w:r>
      <w:r>
        <w:rPr>
          <w:rFonts w:cs="Times New Roman"/>
        </w:rPr>
        <w:t xml:space="preserve"> but </w:t>
      </w:r>
      <w:r w:rsidR="00A85CC6">
        <w:rPr>
          <w:rFonts w:cs="Times New Roman"/>
        </w:rPr>
        <w:t xml:space="preserve">would </w:t>
      </w:r>
      <w:r w:rsidR="00DD509F">
        <w:rPr>
          <w:rFonts w:cs="Times New Roman"/>
        </w:rPr>
        <w:t xml:space="preserve">not </w:t>
      </w:r>
      <w:r w:rsidR="00A85CC6">
        <w:rPr>
          <w:rFonts w:cs="Times New Roman"/>
        </w:rPr>
        <w:t xml:space="preserve">be </w:t>
      </w:r>
      <w:r w:rsidR="00DD509F">
        <w:rPr>
          <w:rFonts w:cs="Times New Roman"/>
        </w:rPr>
        <w:t>less than zero</w:t>
      </w:r>
      <w:r>
        <w:rPr>
          <w:rFonts w:cs="Times New Roman"/>
        </w:rPr>
        <w:t>.</w:t>
      </w:r>
      <w:r w:rsidR="00223D84">
        <w:rPr>
          <w:rFonts w:cs="Times New Roman"/>
        </w:rPr>
        <w:t xml:space="preserve"> </w:t>
      </w:r>
    </w:p>
    <w:p w14:paraId="0C461961" w14:textId="63591ACD" w:rsidR="006870EC" w:rsidRDefault="00897757" w:rsidP="00A85CC6">
      <w:pPr>
        <w:rPr>
          <w:rFonts w:cs="Times New Roman"/>
        </w:rPr>
      </w:pPr>
      <w:r>
        <w:rPr>
          <w:rFonts w:cs="Times New Roman"/>
        </w:rPr>
        <w:t>Importantly</w:t>
      </w:r>
      <w:r w:rsidR="00F95681">
        <w:rPr>
          <w:rFonts w:cs="Times New Roman"/>
        </w:rPr>
        <w:t>,</w:t>
      </w:r>
      <w:r w:rsidR="00DD509F">
        <w:rPr>
          <w:rFonts w:cs="Times New Roman"/>
        </w:rPr>
        <w:t xml:space="preserve"> </w:t>
      </w:r>
      <w:r w:rsidR="00A85CC6">
        <w:rPr>
          <w:rFonts w:cs="Times New Roman"/>
        </w:rPr>
        <w:t xml:space="preserve">the </w:t>
      </w:r>
      <w:r w:rsidR="00DD509F">
        <w:rPr>
          <w:rFonts w:cs="Times New Roman"/>
        </w:rPr>
        <w:t xml:space="preserve">significant </w:t>
      </w:r>
      <w:r w:rsidR="00A85CC6">
        <w:rPr>
          <w:rFonts w:cs="Times New Roman"/>
        </w:rPr>
        <w:t xml:space="preserve">bias evident in </w:t>
      </w:r>
      <w:r w:rsidR="00DD509F">
        <w:rPr>
          <w:rFonts w:cs="Times New Roman"/>
        </w:rPr>
        <w:t xml:space="preserve">calculable </w:t>
      </w:r>
      <w:r w:rsidR="00A85CC6">
        <w:rPr>
          <w:rFonts w:cs="Times New Roman"/>
        </w:rPr>
        <w:t xml:space="preserve">COVID-19 case </w:t>
      </w:r>
      <w:r w:rsidR="00DD509F">
        <w:rPr>
          <w:rFonts w:cs="Times New Roman"/>
        </w:rPr>
        <w:t xml:space="preserve">rates </w:t>
      </w:r>
      <w:r w:rsidR="00A85CC6">
        <w:rPr>
          <w:rFonts w:cs="Times New Roman"/>
        </w:rPr>
        <w:t>resulted in</w:t>
      </w:r>
      <w:r w:rsidR="00DD509F">
        <w:rPr>
          <w:rFonts w:cs="Times New Roman"/>
        </w:rPr>
        <w:t xml:space="preserve"> </w:t>
      </w:r>
      <w:r w:rsidR="005B44CA">
        <w:rPr>
          <w:rFonts w:cs="Times New Roman"/>
        </w:rPr>
        <w:t xml:space="preserve">negative vaccine effectiveness </w:t>
      </w:r>
      <w:r w:rsidR="00A85CC6">
        <w:rPr>
          <w:rFonts w:cs="Times New Roman"/>
        </w:rPr>
        <w:t>being</w:t>
      </w:r>
      <w:r w:rsidR="00DD509F">
        <w:rPr>
          <w:rFonts w:cs="Times New Roman"/>
        </w:rPr>
        <w:t xml:space="preserve"> </w:t>
      </w:r>
      <w:r w:rsidR="00DD509F" w:rsidRPr="00A85CC6">
        <w:rPr>
          <w:rFonts w:cs="Times New Roman"/>
          <w:b/>
          <w:bCs w:val="0"/>
        </w:rPr>
        <w:t>converted</w:t>
      </w:r>
      <w:r w:rsidR="00DD509F">
        <w:rPr>
          <w:rFonts w:cs="Times New Roman"/>
        </w:rPr>
        <w:t xml:space="preserve"> </w:t>
      </w:r>
      <w:r w:rsidR="005B44CA">
        <w:rPr>
          <w:rFonts w:cs="Times New Roman"/>
        </w:rPr>
        <w:t xml:space="preserve">into vaccine failure </w:t>
      </w:r>
      <w:r w:rsidR="00DD509F">
        <w:rPr>
          <w:rFonts w:cs="Times New Roman"/>
        </w:rPr>
        <w:t>or positive effectiveness</w:t>
      </w:r>
      <w:r w:rsidR="00A85CC6">
        <w:rPr>
          <w:rFonts w:cs="Times New Roman"/>
        </w:rPr>
        <w:t xml:space="preserve">. </w:t>
      </w:r>
      <w:r>
        <w:rPr>
          <w:rFonts w:cs="Times New Roman"/>
        </w:rPr>
        <w:t>All this rate hiding effort, and yet h</w:t>
      </w:r>
      <w:r w:rsidR="00A85CC6">
        <w:rPr>
          <w:rFonts w:cs="Times New Roman"/>
        </w:rPr>
        <w:t xml:space="preserve">ow many clinical </w:t>
      </w:r>
      <w:r w:rsidR="00A85CC6" w:rsidRPr="00897757">
        <w:rPr>
          <w:rFonts w:cs="Times New Roman"/>
          <w:b/>
          <w:bCs w:val="0"/>
        </w:rPr>
        <w:t>research projects</w:t>
      </w:r>
      <w:r w:rsidR="00A85CC6">
        <w:rPr>
          <w:rFonts w:cs="Times New Roman"/>
        </w:rPr>
        <w:t xml:space="preserve"> were funded in New Zealand, England, Scotland, and Canada to study ADE</w:t>
      </w:r>
      <w:r>
        <w:rPr>
          <w:rFonts w:cs="Times New Roman"/>
        </w:rPr>
        <w:t xml:space="preserve">, VAED, and antigenic imprinting </w:t>
      </w:r>
      <w:r w:rsidR="00A85CC6">
        <w:rPr>
          <w:rFonts w:cs="Times New Roman"/>
        </w:rPr>
        <w:t xml:space="preserve">during the Omicron wave? </w:t>
      </w:r>
      <w:r w:rsidR="005B44CA">
        <w:rPr>
          <w:rFonts w:cs="Times New Roman"/>
        </w:rPr>
        <w:t xml:space="preserve">A note of caution is </w:t>
      </w:r>
      <w:r w:rsidR="00DB4153">
        <w:rPr>
          <w:rFonts w:cs="Times New Roman"/>
        </w:rPr>
        <w:t xml:space="preserve">also </w:t>
      </w:r>
      <w:r w:rsidR="005B44CA">
        <w:rPr>
          <w:rFonts w:cs="Times New Roman"/>
        </w:rPr>
        <w:t>merited: w</w:t>
      </w:r>
      <w:r w:rsidR="00223D84">
        <w:rPr>
          <w:rFonts w:cs="Times New Roman"/>
        </w:rPr>
        <w:t xml:space="preserve">hen reading </w:t>
      </w:r>
      <w:r w:rsidR="00A85CC6">
        <w:rPr>
          <w:rFonts w:cs="Times New Roman"/>
        </w:rPr>
        <w:t xml:space="preserve">vaccine efficacy and </w:t>
      </w:r>
      <w:r w:rsidR="007217EC">
        <w:rPr>
          <w:rFonts w:cs="Times New Roman"/>
        </w:rPr>
        <w:t>antigenic imprinting</w:t>
      </w:r>
      <w:r w:rsidR="00223D84">
        <w:rPr>
          <w:rFonts w:cs="Times New Roman"/>
        </w:rPr>
        <w:t xml:space="preserve"> publications </w:t>
      </w:r>
      <w:r w:rsidR="00A85CC6">
        <w:rPr>
          <w:rFonts w:cs="Times New Roman"/>
        </w:rPr>
        <w:t>that use</w:t>
      </w:r>
      <w:r w:rsidR="00223D84">
        <w:rPr>
          <w:rFonts w:cs="Times New Roman"/>
        </w:rPr>
        <w:t xml:space="preserve"> the term breakthrough infections</w:t>
      </w:r>
      <w:r>
        <w:rPr>
          <w:rFonts w:cs="Times New Roman"/>
        </w:rPr>
        <w:t xml:space="preserve"> or vaccine failure</w:t>
      </w:r>
      <w:r w:rsidR="00F95681">
        <w:rPr>
          <w:rFonts w:cs="Times New Roman"/>
        </w:rPr>
        <w:t>,</w:t>
      </w:r>
      <w:r w:rsidR="00223D84">
        <w:rPr>
          <w:rFonts w:cs="Times New Roman"/>
        </w:rPr>
        <w:t xml:space="preserve"> </w:t>
      </w:r>
      <w:r w:rsidR="007217EC">
        <w:rPr>
          <w:rFonts w:cs="Times New Roman"/>
        </w:rPr>
        <w:t xml:space="preserve">it is </w:t>
      </w:r>
      <w:r w:rsidR="00F95681">
        <w:rPr>
          <w:rFonts w:cs="Times New Roman"/>
        </w:rPr>
        <w:t>essential</w:t>
      </w:r>
      <w:r w:rsidR="007217EC">
        <w:rPr>
          <w:rFonts w:cs="Times New Roman"/>
        </w:rPr>
        <w:t xml:space="preserve"> to understand </w:t>
      </w:r>
      <w:r w:rsidR="00223D84">
        <w:rPr>
          <w:rFonts w:cs="Times New Roman"/>
        </w:rPr>
        <w:t xml:space="preserve">if this </w:t>
      </w:r>
      <w:r w:rsidR="00B72860" w:rsidRPr="005B48A9">
        <w:rPr>
          <w:rFonts w:cs="Times New Roman"/>
        </w:rPr>
        <w:t xml:space="preserve">was </w:t>
      </w:r>
      <w:r w:rsidR="00B72860" w:rsidRPr="005B48A9">
        <w:rPr>
          <w:rFonts w:cs="Times New Roman"/>
          <w:b/>
          <w:bCs w:val="0"/>
        </w:rPr>
        <w:t>assumed</w:t>
      </w:r>
      <w:r w:rsidR="00223D84" w:rsidRPr="005B48A9">
        <w:rPr>
          <w:rFonts w:cs="Times New Roman"/>
        </w:rPr>
        <w:t>,</w:t>
      </w:r>
      <w:r w:rsidR="00F608C1" w:rsidRPr="005B48A9">
        <w:rPr>
          <w:rStyle w:val="EndnoteReference"/>
        </w:rPr>
        <w:endnoteReference w:id="45"/>
      </w:r>
      <w:r w:rsidR="00223D84" w:rsidRPr="005B48A9">
        <w:rPr>
          <w:rFonts w:cs="Times New Roman"/>
        </w:rPr>
        <w:t xml:space="preserve"> </w:t>
      </w:r>
      <w:r w:rsidR="00A85CC6">
        <w:rPr>
          <w:rFonts w:cs="Times New Roman"/>
        </w:rPr>
        <w:t xml:space="preserve">or that ADE had been assessed and </w:t>
      </w:r>
      <w:r w:rsidR="00DB4153">
        <w:rPr>
          <w:rFonts w:cs="Times New Roman"/>
        </w:rPr>
        <w:t>eliminated from involvement in those infections</w:t>
      </w:r>
      <w:r w:rsidR="00223D84">
        <w:rPr>
          <w:rFonts w:cs="Times New Roman"/>
        </w:rPr>
        <w:t xml:space="preserve">. </w:t>
      </w:r>
    </w:p>
    <w:p w14:paraId="50B1D98F" w14:textId="00A72FC0" w:rsidR="00D60EDF" w:rsidRDefault="00D60EDF" w:rsidP="00D60EDF">
      <w:pPr>
        <w:pStyle w:val="Heading4"/>
      </w:pPr>
      <w:r>
        <w:t xml:space="preserve">The </w:t>
      </w:r>
      <w:r w:rsidR="00655FE7">
        <w:t xml:space="preserve">Majority of </w:t>
      </w:r>
      <w:r w:rsidR="00787E1D" w:rsidRPr="009E0CAE">
        <w:t xml:space="preserve">Pre-COVID-19 </w:t>
      </w:r>
      <w:r w:rsidR="00655FE7">
        <w:t xml:space="preserve">Coronavirus Spike Protein Vaccine Prototype </w:t>
      </w:r>
      <w:r>
        <w:t xml:space="preserve">Publications </w:t>
      </w:r>
      <w:r w:rsidR="00B56059">
        <w:t xml:space="preserve">Over 3-Decades </w:t>
      </w:r>
      <w:r>
        <w:t>Warn</w:t>
      </w:r>
      <w:r w:rsidR="00C810C6">
        <w:t>ed</w:t>
      </w:r>
      <w:r>
        <w:t xml:space="preserve"> About </w:t>
      </w:r>
      <w:r w:rsidR="00F95681">
        <w:t xml:space="preserve">the </w:t>
      </w:r>
      <w:r w:rsidR="00B77ED6">
        <w:t>Vaccine-Induced</w:t>
      </w:r>
      <w:r w:rsidR="00B77ED6" w:rsidRPr="009E0CAE">
        <w:t xml:space="preserve"> </w:t>
      </w:r>
      <w:r w:rsidR="00787E1D" w:rsidRPr="009E0CAE">
        <w:t xml:space="preserve">ADE </w:t>
      </w:r>
      <w:r>
        <w:t>Risk</w:t>
      </w:r>
      <w:r w:rsidR="00B77ED6">
        <w:t xml:space="preserve"> </w:t>
      </w:r>
    </w:p>
    <w:p w14:paraId="6CC4A0CA" w14:textId="68BA2E46" w:rsidR="00D843FA" w:rsidRDefault="00142A2F" w:rsidP="00787E1D">
      <w:pPr>
        <w:rPr>
          <w:rFonts w:cs="Times New Roman"/>
          <w:szCs w:val="22"/>
          <w:lang w:eastAsia="en-US"/>
        </w:rPr>
      </w:pPr>
      <w:r w:rsidRPr="00B10BF9">
        <w:rPr>
          <w:rFonts w:cs="Times New Roman"/>
          <w:szCs w:val="22"/>
        </w:rPr>
        <w:t xml:space="preserve">There is a </w:t>
      </w:r>
      <w:r>
        <w:rPr>
          <w:rFonts w:cs="Times New Roman"/>
          <w:b/>
          <w:bCs w:val="0"/>
          <w:szCs w:val="22"/>
        </w:rPr>
        <w:t>three-decade</w:t>
      </w:r>
      <w:r w:rsidRPr="00142A2F">
        <w:rPr>
          <w:rFonts w:cs="Times New Roman"/>
          <w:b/>
          <w:bCs w:val="0"/>
          <w:szCs w:val="22"/>
        </w:rPr>
        <w:t xml:space="preserve"> vaccine industry legacy</w:t>
      </w:r>
      <w:r w:rsidRPr="00B10BF9">
        <w:rPr>
          <w:rFonts w:cs="Times New Roman"/>
          <w:szCs w:val="22"/>
        </w:rPr>
        <w:t xml:space="preserve"> of antibody-dependent enhancement </w:t>
      </w:r>
      <w:r w:rsidR="00BC041C" w:rsidRPr="00B10BF9">
        <w:rPr>
          <w:rFonts w:cs="Times New Roman"/>
          <w:szCs w:val="22"/>
        </w:rPr>
        <w:t>(</w:t>
      </w:r>
      <w:r w:rsidR="00102B3C">
        <w:rPr>
          <w:rFonts w:cs="Times New Roman"/>
          <w:szCs w:val="22"/>
        </w:rPr>
        <w:t>herein “</w:t>
      </w:r>
      <w:r w:rsidR="00BC041C" w:rsidRPr="00B10BF9">
        <w:rPr>
          <w:rFonts w:cs="Times New Roman"/>
          <w:szCs w:val="22"/>
        </w:rPr>
        <w:t>ADE</w:t>
      </w:r>
      <w:r w:rsidR="00102B3C">
        <w:rPr>
          <w:rFonts w:cs="Times New Roman"/>
          <w:szCs w:val="22"/>
        </w:rPr>
        <w:t>”</w:t>
      </w:r>
      <w:r w:rsidR="00BC041C" w:rsidRPr="00B10BF9">
        <w:rPr>
          <w:rFonts w:cs="Times New Roman"/>
          <w:szCs w:val="22"/>
        </w:rPr>
        <w:t>)</w:t>
      </w:r>
      <w:r w:rsidR="00BC041C">
        <w:rPr>
          <w:rFonts w:cs="Times New Roman"/>
          <w:szCs w:val="22"/>
        </w:rPr>
        <w:t xml:space="preserve"> </w:t>
      </w:r>
      <w:r w:rsidRPr="00B10BF9">
        <w:rPr>
          <w:rFonts w:cs="Times New Roman"/>
          <w:szCs w:val="22"/>
        </w:rPr>
        <w:t xml:space="preserve">of </w:t>
      </w:r>
      <w:r w:rsidR="00BC041C">
        <w:rPr>
          <w:rFonts w:cs="Times New Roman"/>
          <w:szCs w:val="22"/>
        </w:rPr>
        <w:t>virus</w:t>
      </w:r>
      <w:r w:rsidRPr="00B10BF9">
        <w:rPr>
          <w:rFonts w:cs="Times New Roman"/>
          <w:szCs w:val="22"/>
        </w:rPr>
        <w:t xml:space="preserve"> infection and </w:t>
      </w:r>
      <w:r>
        <w:rPr>
          <w:rFonts w:cs="Times New Roman"/>
          <w:szCs w:val="22"/>
        </w:rPr>
        <w:t xml:space="preserve">its </w:t>
      </w:r>
      <w:r w:rsidRPr="00B10BF9">
        <w:rPr>
          <w:rFonts w:cs="Times New Roman"/>
          <w:szCs w:val="22"/>
        </w:rPr>
        <w:t xml:space="preserve">related vaccine-associated enhanced disease (VAED), in the human and veterinary vaccine fields </w:t>
      </w:r>
      <w:r>
        <w:rPr>
          <w:rFonts w:cs="Times New Roman"/>
          <w:szCs w:val="22"/>
        </w:rPr>
        <w:t>associated with</w:t>
      </w:r>
      <w:r w:rsidRPr="00B10BF9">
        <w:rPr>
          <w:rFonts w:cs="Times New Roman"/>
          <w:szCs w:val="22"/>
        </w:rPr>
        <w:t xml:space="preserve"> </w:t>
      </w:r>
      <w:r w:rsidRPr="00B10BF9">
        <w:rPr>
          <w:rFonts w:cs="Times New Roman"/>
          <w:b/>
          <w:szCs w:val="22"/>
        </w:rPr>
        <w:t>coronavirus</w:t>
      </w:r>
      <w:r>
        <w:rPr>
          <w:rFonts w:cs="Times New Roman"/>
          <w:b/>
          <w:szCs w:val="22"/>
        </w:rPr>
        <w:t>es and their</w:t>
      </w:r>
      <w:r w:rsidRPr="00B10BF9">
        <w:rPr>
          <w:rFonts w:cs="Times New Roman"/>
          <w:b/>
          <w:szCs w:val="22"/>
        </w:rPr>
        <w:t xml:space="preserve"> spike protein-based</w:t>
      </w:r>
      <w:r w:rsidRPr="00B10BF9">
        <w:rPr>
          <w:rFonts w:cs="Times New Roman"/>
          <w:szCs w:val="22"/>
        </w:rPr>
        <w:t xml:space="preserve"> vaccine prototypes</w:t>
      </w:r>
      <w:r w:rsidR="00BC041C">
        <w:rPr>
          <w:rFonts w:cs="Times New Roman"/>
          <w:szCs w:val="22"/>
        </w:rPr>
        <w:t xml:space="preserve"> in animal studies</w:t>
      </w:r>
      <w:r w:rsidRPr="00B10BF9">
        <w:rPr>
          <w:rFonts w:cs="Times New Roman"/>
          <w:szCs w:val="22"/>
        </w:rPr>
        <w:t xml:space="preserve">. </w:t>
      </w:r>
      <w:r w:rsidR="00787E1D">
        <w:rPr>
          <w:rFonts w:cs="Times New Roman"/>
          <w:szCs w:val="22"/>
        </w:rPr>
        <w:t>A significant body of s</w:t>
      </w:r>
      <w:r w:rsidR="00787E1D" w:rsidRPr="003E679F">
        <w:rPr>
          <w:rFonts w:cs="Times New Roman"/>
          <w:szCs w:val="22"/>
        </w:rPr>
        <w:t xml:space="preserve">cientific publications </w:t>
      </w:r>
      <w:r w:rsidR="00F95681">
        <w:rPr>
          <w:rFonts w:cs="Times New Roman"/>
          <w:szCs w:val="22"/>
        </w:rPr>
        <w:t>describing coronavirus vaccine-induced mechanisms of ADE and the results of numerous animal challenge and human ex-vivo/in-vitro studies demonstrate</w:t>
      </w:r>
      <w:r w:rsidR="00787E1D">
        <w:rPr>
          <w:rFonts w:cs="Times New Roman"/>
          <w:szCs w:val="22"/>
        </w:rPr>
        <w:t xml:space="preserve"> the </w:t>
      </w:r>
      <w:r w:rsidR="009E0CAE">
        <w:rPr>
          <w:rFonts w:cs="Times New Roman"/>
          <w:szCs w:val="22"/>
        </w:rPr>
        <w:t xml:space="preserve">adverse </w:t>
      </w:r>
      <w:r w:rsidR="00787E1D" w:rsidRPr="003E679F">
        <w:rPr>
          <w:rFonts w:cs="Times New Roman"/>
          <w:szCs w:val="22"/>
        </w:rPr>
        <w:t xml:space="preserve">biological </w:t>
      </w:r>
      <w:r w:rsidR="00787E1D">
        <w:rPr>
          <w:rFonts w:cs="Times New Roman"/>
          <w:szCs w:val="22"/>
        </w:rPr>
        <w:t>effects</w:t>
      </w:r>
      <w:r w:rsidR="00787E1D" w:rsidRPr="00544F01">
        <w:rPr>
          <w:rFonts w:cs="Times New Roman"/>
          <w:szCs w:val="22"/>
        </w:rPr>
        <w:t xml:space="preserve"> </w:t>
      </w:r>
      <w:r w:rsidR="00787E1D">
        <w:rPr>
          <w:rFonts w:cs="Times New Roman"/>
          <w:szCs w:val="22"/>
        </w:rPr>
        <w:t>of ADE</w:t>
      </w:r>
      <w:r w:rsidR="009E0CAE">
        <w:rPr>
          <w:rFonts w:cs="Times New Roman"/>
          <w:szCs w:val="22"/>
        </w:rPr>
        <w:t>/VAED</w:t>
      </w:r>
      <w:r w:rsidR="00787E1D">
        <w:rPr>
          <w:rFonts w:cs="Times New Roman"/>
          <w:szCs w:val="22"/>
        </w:rPr>
        <w:t>.</w:t>
      </w:r>
      <w:r w:rsidR="00A7104F">
        <w:rPr>
          <w:rFonts w:cs="Times New Roman"/>
          <w:szCs w:val="22"/>
        </w:rPr>
        <w:t xml:space="preserve"> </w:t>
      </w:r>
      <w:r w:rsidR="00787E1D">
        <w:rPr>
          <w:rFonts w:cs="Times New Roman"/>
          <w:szCs w:val="22"/>
        </w:rPr>
        <w:t xml:space="preserve">This coronavirus </w:t>
      </w:r>
      <w:r w:rsidR="00787E1D" w:rsidRPr="00F53BC7">
        <w:rPr>
          <w:rFonts w:cs="Times New Roman"/>
          <w:szCs w:val="22"/>
        </w:rPr>
        <w:t xml:space="preserve">spike protein </w:t>
      </w:r>
      <w:r w:rsidR="00787E1D">
        <w:rPr>
          <w:rFonts w:cs="Times New Roman"/>
          <w:szCs w:val="22"/>
        </w:rPr>
        <w:t>vaccine</w:t>
      </w:r>
      <w:r w:rsidR="00BC041C">
        <w:rPr>
          <w:rFonts w:cs="Times New Roman"/>
          <w:szCs w:val="22"/>
        </w:rPr>
        <w:t>-induced</w:t>
      </w:r>
      <w:r w:rsidR="00787E1D">
        <w:rPr>
          <w:rFonts w:cs="Times New Roman"/>
          <w:szCs w:val="22"/>
        </w:rPr>
        <w:t xml:space="preserve"> </w:t>
      </w:r>
      <w:r w:rsidR="00BC041C">
        <w:rPr>
          <w:rFonts w:cs="Times New Roman"/>
          <w:szCs w:val="22"/>
        </w:rPr>
        <w:t xml:space="preserve">ADE </w:t>
      </w:r>
      <w:r w:rsidR="00787E1D">
        <w:rPr>
          <w:rFonts w:cs="Times New Roman"/>
          <w:szCs w:val="22"/>
        </w:rPr>
        <w:t>legacy includes studies for SARS-CoV</w:t>
      </w:r>
      <w:r w:rsidR="002C1EA0">
        <w:rPr>
          <w:rFonts w:cs="Times New Roman"/>
          <w:szCs w:val="22"/>
        </w:rPr>
        <w:t>-1</w:t>
      </w:r>
      <w:r w:rsidR="00787E1D">
        <w:rPr>
          <w:rFonts w:cs="Times New Roman"/>
          <w:szCs w:val="22"/>
        </w:rPr>
        <w:t xml:space="preserve"> </w:t>
      </w:r>
      <w:r w:rsidR="002C1EA0">
        <w:rPr>
          <w:rFonts w:cs="Times New Roman"/>
          <w:szCs w:val="22"/>
        </w:rPr>
        <w:t xml:space="preserve">after its emergence in </w:t>
      </w:r>
      <w:r w:rsidR="00787E1D">
        <w:rPr>
          <w:rFonts w:cs="Times New Roman"/>
          <w:szCs w:val="22"/>
        </w:rPr>
        <w:t>2002</w:t>
      </w:r>
      <w:r w:rsidR="00787E1D" w:rsidRPr="003E679F">
        <w:rPr>
          <w:rFonts w:cs="Times New Roman"/>
          <w:szCs w:val="22"/>
        </w:rPr>
        <w:t>,</w:t>
      </w:r>
      <w:r w:rsidR="00787E1D" w:rsidRPr="00632C45">
        <w:rPr>
          <w:rStyle w:val="EndnoteReference"/>
          <w:rFonts w:eastAsiaTheme="minorEastAsia" w:cs="Times New Roman"/>
          <w:bCs w:val="0"/>
          <w:szCs w:val="22"/>
          <w:lang w:eastAsia="en-US"/>
        </w:rPr>
        <w:endnoteReference w:id="46"/>
      </w:r>
      <w:r w:rsidR="00787E1D" w:rsidRPr="00632C45">
        <w:rPr>
          <w:rFonts w:cs="Times New Roman"/>
          <w:szCs w:val="22"/>
          <w:vertAlign w:val="superscript"/>
        </w:rPr>
        <w:t>,</w:t>
      </w:r>
      <w:r w:rsidR="00787E1D" w:rsidRPr="00632C45">
        <w:rPr>
          <w:rStyle w:val="EndnoteReference"/>
          <w:rFonts w:cs="Times New Roman"/>
          <w:szCs w:val="22"/>
          <w:lang w:eastAsia="en-US"/>
        </w:rPr>
        <w:endnoteReference w:id="47"/>
      </w:r>
      <w:r w:rsidR="00787E1D" w:rsidRPr="00632C45">
        <w:rPr>
          <w:rFonts w:cs="Times New Roman"/>
          <w:szCs w:val="22"/>
          <w:vertAlign w:val="superscript"/>
          <w:lang w:eastAsia="en-US"/>
        </w:rPr>
        <w:t>,</w:t>
      </w:r>
      <w:r w:rsidR="00787E1D" w:rsidRPr="00DA0203">
        <w:rPr>
          <w:rStyle w:val="EndnoteReference"/>
          <w:rFonts w:cs="Times New Roman"/>
          <w:szCs w:val="22"/>
        </w:rPr>
        <w:endnoteReference w:id="48"/>
      </w:r>
      <w:r w:rsidR="00787E1D" w:rsidRPr="00DA0203">
        <w:rPr>
          <w:rFonts w:cs="Times New Roman"/>
          <w:szCs w:val="22"/>
          <w:vertAlign w:val="superscript"/>
        </w:rPr>
        <w:t>,</w:t>
      </w:r>
      <w:r w:rsidR="00787E1D" w:rsidRPr="00DA0203">
        <w:rPr>
          <w:rStyle w:val="EndnoteReference"/>
          <w:rFonts w:cs="Times New Roman"/>
          <w:szCs w:val="22"/>
          <w:lang w:eastAsia="en-US"/>
        </w:rPr>
        <w:endnoteReference w:id="49"/>
      </w:r>
      <w:r w:rsidR="00787E1D" w:rsidRPr="00DA0203">
        <w:rPr>
          <w:rFonts w:cs="Times New Roman"/>
          <w:szCs w:val="22"/>
          <w:vertAlign w:val="superscript"/>
          <w:lang w:eastAsia="en-US"/>
        </w:rPr>
        <w:t>,</w:t>
      </w:r>
      <w:r w:rsidR="00787E1D" w:rsidRPr="00DA0203">
        <w:rPr>
          <w:rStyle w:val="EndnoteReference"/>
          <w:rFonts w:cs="Times New Roman"/>
          <w:szCs w:val="22"/>
          <w:lang w:eastAsia="en-US"/>
        </w:rPr>
        <w:endnoteReference w:id="50"/>
      </w:r>
      <w:r w:rsidR="00787E1D" w:rsidRPr="00DA0203">
        <w:rPr>
          <w:rFonts w:cs="Times New Roman"/>
          <w:szCs w:val="22"/>
          <w:vertAlign w:val="superscript"/>
          <w:lang w:eastAsia="en-US"/>
        </w:rPr>
        <w:t>,</w:t>
      </w:r>
      <w:r w:rsidR="00787E1D" w:rsidRPr="00DA0203">
        <w:rPr>
          <w:rStyle w:val="EndnoteReference"/>
          <w:rFonts w:eastAsiaTheme="minorEastAsia" w:cs="Times New Roman"/>
          <w:bCs w:val="0"/>
          <w:szCs w:val="22"/>
          <w:lang w:eastAsia="en-US"/>
        </w:rPr>
        <w:endnoteReference w:id="51"/>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2"/>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3"/>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4"/>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5"/>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6"/>
      </w:r>
      <w:r w:rsidR="00787E1D" w:rsidRPr="00DA0203">
        <w:rPr>
          <w:rFonts w:eastAsiaTheme="minorEastAsia" w:cs="Times New Roman"/>
          <w:bCs w:val="0"/>
          <w:szCs w:val="22"/>
          <w:vertAlign w:val="superscript"/>
          <w:lang w:eastAsia="en-US"/>
        </w:rPr>
        <w:t>,</w:t>
      </w:r>
      <w:r w:rsidR="00787E1D" w:rsidRPr="00DA0203">
        <w:rPr>
          <w:rStyle w:val="EndnoteReference"/>
          <w:rFonts w:eastAsiaTheme="minorEastAsia" w:cs="Times New Roman"/>
          <w:bCs w:val="0"/>
          <w:szCs w:val="22"/>
          <w:lang w:eastAsia="en-US"/>
        </w:rPr>
        <w:endnoteReference w:id="57"/>
      </w:r>
      <w:r w:rsidR="00787E1D" w:rsidRPr="003E679F">
        <w:rPr>
          <w:rFonts w:cs="Times New Roman"/>
          <w:szCs w:val="22"/>
        </w:rPr>
        <w:t xml:space="preserve"> Middle East Respiratory Syndrome (MERS)</w:t>
      </w:r>
      <w:r w:rsidR="00787E1D">
        <w:rPr>
          <w:rFonts w:cs="Times New Roman"/>
          <w:szCs w:val="22"/>
        </w:rPr>
        <w:t>,</w:t>
      </w:r>
      <w:r w:rsidR="00787E1D" w:rsidRPr="003E679F">
        <w:rPr>
          <w:rStyle w:val="EndnoteReference"/>
          <w:rFonts w:cs="Times New Roman"/>
          <w:szCs w:val="22"/>
          <w:lang w:eastAsia="en-US"/>
        </w:rPr>
        <w:endnoteReference w:id="58"/>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59"/>
      </w:r>
      <w:r w:rsidR="00787E1D">
        <w:rPr>
          <w:rFonts w:cs="Times New Roman"/>
          <w:szCs w:val="22"/>
          <w:vertAlign w:val="superscript"/>
          <w:lang w:eastAsia="en-US"/>
        </w:rPr>
        <w:t xml:space="preserve"> </w:t>
      </w:r>
      <w:r w:rsidR="00787E1D" w:rsidRPr="003E679F">
        <w:rPr>
          <w:rFonts w:cs="Times New Roman"/>
          <w:szCs w:val="22"/>
        </w:rPr>
        <w:t>and Feline Infectious Peritonitis (FIP)</w:t>
      </w:r>
      <w:r w:rsidR="00787E1D">
        <w:rPr>
          <w:rFonts w:cs="Times New Roman"/>
          <w:szCs w:val="22"/>
        </w:rPr>
        <w:t>.</w:t>
      </w:r>
      <w:r w:rsidR="00787E1D" w:rsidRPr="003E679F">
        <w:rPr>
          <w:rStyle w:val="EndnoteReference"/>
          <w:rFonts w:cs="Times New Roman"/>
          <w:szCs w:val="22"/>
          <w:lang w:eastAsia="en-US"/>
        </w:rPr>
        <w:endnoteReference w:id="60"/>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61"/>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62"/>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63"/>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64"/>
      </w:r>
      <w:r w:rsidR="00787E1D" w:rsidRPr="003E679F">
        <w:rPr>
          <w:rFonts w:cs="Times New Roman"/>
          <w:szCs w:val="22"/>
          <w:vertAlign w:val="superscript"/>
          <w:lang w:eastAsia="en-US"/>
        </w:rPr>
        <w:t>,</w:t>
      </w:r>
      <w:r w:rsidR="00787E1D" w:rsidRPr="003E679F">
        <w:rPr>
          <w:rStyle w:val="EndnoteReference"/>
          <w:rFonts w:cs="Times New Roman"/>
          <w:szCs w:val="22"/>
          <w:lang w:eastAsia="en-US"/>
        </w:rPr>
        <w:endnoteReference w:id="65"/>
      </w:r>
      <w:r w:rsidR="00787E1D">
        <w:rPr>
          <w:rFonts w:cs="Times New Roman"/>
          <w:szCs w:val="22"/>
          <w:lang w:eastAsia="en-US"/>
        </w:rPr>
        <w:t xml:space="preserve"> </w:t>
      </w:r>
    </w:p>
    <w:p w14:paraId="21877523" w14:textId="6A9B0077" w:rsidR="001A2D02" w:rsidRPr="00973B4B" w:rsidRDefault="00787E1D" w:rsidP="00787E1D">
      <w:pPr>
        <w:rPr>
          <w:rFonts w:cs="Times New Roman"/>
        </w:rPr>
      </w:pPr>
      <w:r w:rsidRPr="00AC6834">
        <w:rPr>
          <w:rFonts w:cs="Times New Roman"/>
          <w:szCs w:val="22"/>
          <w:lang w:eastAsia="en-US"/>
        </w:rPr>
        <w:t>T</w:t>
      </w:r>
      <w:r w:rsidRPr="00AC6834">
        <w:rPr>
          <w:rFonts w:cs="Times New Roman"/>
          <w:szCs w:val="22"/>
        </w:rPr>
        <w:t xml:space="preserve">here was </w:t>
      </w:r>
      <w:r w:rsidRPr="001A303C">
        <w:rPr>
          <w:rFonts w:cs="Times New Roman"/>
          <w:b/>
          <w:bCs w:val="0"/>
          <w:iCs/>
          <w:szCs w:val="22"/>
        </w:rPr>
        <w:t>ample scientific warning</w:t>
      </w:r>
      <w:r w:rsidRPr="00B8461D">
        <w:rPr>
          <w:rFonts w:cs="Times New Roman"/>
          <w:szCs w:val="22"/>
        </w:rPr>
        <w:t xml:space="preserve"> </w:t>
      </w:r>
      <w:r>
        <w:rPr>
          <w:rFonts w:cs="Times New Roman"/>
          <w:szCs w:val="22"/>
        </w:rPr>
        <w:t>before</w:t>
      </w:r>
      <w:r w:rsidRPr="00AC6834">
        <w:rPr>
          <w:rFonts w:cs="Times New Roman"/>
          <w:szCs w:val="22"/>
        </w:rPr>
        <w:t xml:space="preserve"> the SARS-CoV-2 pandemic </w:t>
      </w:r>
      <w:r>
        <w:rPr>
          <w:rFonts w:cs="Times New Roman"/>
          <w:szCs w:val="22"/>
        </w:rPr>
        <w:t xml:space="preserve">written in black and white journal text </w:t>
      </w:r>
      <w:r w:rsidRPr="00AC6834">
        <w:rPr>
          <w:rFonts w:cs="Times New Roman"/>
          <w:szCs w:val="22"/>
        </w:rPr>
        <w:t xml:space="preserve">about the risk of ADE associated with </w:t>
      </w:r>
      <w:r w:rsidRPr="00B8461D">
        <w:rPr>
          <w:rFonts w:cs="Times New Roman"/>
          <w:szCs w:val="22"/>
        </w:rPr>
        <w:t xml:space="preserve">coronavirus spike </w:t>
      </w:r>
      <w:r>
        <w:rPr>
          <w:rFonts w:cs="Times New Roman"/>
          <w:szCs w:val="22"/>
        </w:rPr>
        <w:t xml:space="preserve">protein-based vaccines (i.e., </w:t>
      </w:r>
      <w:r w:rsidRPr="00471114">
        <w:rPr>
          <w:rFonts w:cs="Times New Roman"/>
          <w:i/>
          <w:szCs w:val="22"/>
        </w:rPr>
        <w:t xml:space="preserve">most </w:t>
      </w:r>
      <w:r>
        <w:rPr>
          <w:rFonts w:cs="Times New Roman"/>
          <w:i/>
          <w:szCs w:val="22"/>
        </w:rPr>
        <w:t xml:space="preserve">of </w:t>
      </w:r>
      <w:r w:rsidRPr="00471114">
        <w:rPr>
          <w:rFonts w:cs="Times New Roman"/>
          <w:i/>
          <w:szCs w:val="22"/>
        </w:rPr>
        <w:t>the cited SARS and MERS publications</w:t>
      </w:r>
      <w:r>
        <w:rPr>
          <w:rFonts w:cs="Times New Roman"/>
          <w:szCs w:val="22"/>
        </w:rPr>
        <w:t xml:space="preserve">) </w:t>
      </w:r>
      <w:r w:rsidRPr="00AC6834">
        <w:rPr>
          <w:rFonts w:cs="Times New Roman"/>
          <w:szCs w:val="22"/>
        </w:rPr>
        <w:t>to have known “</w:t>
      </w:r>
      <w:r w:rsidRPr="001A303C">
        <w:rPr>
          <w:rFonts w:cs="Times New Roman"/>
          <w:b/>
          <w:bCs w:val="0"/>
          <w:iCs/>
          <w:szCs w:val="22"/>
        </w:rPr>
        <w:t xml:space="preserve">harm was </w:t>
      </w:r>
      <w:r w:rsidR="00D843FA">
        <w:rPr>
          <w:rFonts w:cs="Times New Roman"/>
          <w:b/>
          <w:bCs w:val="0"/>
          <w:iCs/>
          <w:szCs w:val="22"/>
        </w:rPr>
        <w:t>highly</w:t>
      </w:r>
      <w:r w:rsidRPr="001A303C">
        <w:rPr>
          <w:rFonts w:cs="Times New Roman"/>
          <w:b/>
          <w:bCs w:val="0"/>
          <w:iCs/>
          <w:szCs w:val="22"/>
        </w:rPr>
        <w:t xml:space="preserve"> </w:t>
      </w:r>
      <w:r w:rsidR="00D843FA">
        <w:rPr>
          <w:rFonts w:cs="Times New Roman"/>
          <w:b/>
          <w:bCs w:val="0"/>
          <w:iCs/>
          <w:szCs w:val="22"/>
        </w:rPr>
        <w:t>probable</w:t>
      </w:r>
      <w:r w:rsidRPr="00B8461D">
        <w:rPr>
          <w:rFonts w:cs="Times New Roman"/>
          <w:szCs w:val="22"/>
        </w:rPr>
        <w:t>” for SARS-CoV-2</w:t>
      </w:r>
      <w:r>
        <w:rPr>
          <w:rFonts w:cs="Times New Roman"/>
          <w:szCs w:val="22"/>
        </w:rPr>
        <w:t xml:space="preserve"> spike protein-based vaccines.</w:t>
      </w:r>
      <w:r w:rsidR="001A2D02">
        <w:rPr>
          <w:rFonts w:cs="Times New Roman"/>
        </w:rPr>
        <w:t xml:space="preserve"> Eighteen years ago, I use</w:t>
      </w:r>
      <w:r w:rsidR="00FE5E52">
        <w:rPr>
          <w:rFonts w:cs="Times New Roman"/>
        </w:rPr>
        <w:t>d</w:t>
      </w:r>
      <w:r w:rsidR="001A2D02">
        <w:rPr>
          <w:rFonts w:cs="Times New Roman"/>
        </w:rPr>
        <w:t xml:space="preserve"> this </w:t>
      </w:r>
      <w:r w:rsidR="00AB6CB7">
        <w:rPr>
          <w:rFonts w:cs="Times New Roman"/>
        </w:rPr>
        <w:t xml:space="preserve">ADE </w:t>
      </w:r>
      <w:r w:rsidR="001A2D02">
        <w:rPr>
          <w:rFonts w:cs="Times New Roman"/>
        </w:rPr>
        <w:t xml:space="preserve">insight </w:t>
      </w:r>
      <w:r w:rsidR="00AB6CB7">
        <w:rPr>
          <w:rFonts w:cs="Times New Roman"/>
        </w:rPr>
        <w:t xml:space="preserve">(and </w:t>
      </w:r>
      <w:r w:rsidR="00CA16F4">
        <w:rPr>
          <w:rFonts w:cs="Times New Roman"/>
        </w:rPr>
        <w:t>highly probable</w:t>
      </w:r>
      <w:r w:rsidR="00DD509F">
        <w:rPr>
          <w:rFonts w:cs="Times New Roman"/>
        </w:rPr>
        <w:t xml:space="preserve"> </w:t>
      </w:r>
      <w:r w:rsidR="00AB6CB7">
        <w:rPr>
          <w:rFonts w:cs="Times New Roman"/>
        </w:rPr>
        <w:t xml:space="preserve">spike </w:t>
      </w:r>
      <w:r w:rsidR="004D5F69">
        <w:rPr>
          <w:rFonts w:cs="Times New Roman"/>
        </w:rPr>
        <w:t>protein-ACE2-induced</w:t>
      </w:r>
      <w:r w:rsidR="00AB6CB7">
        <w:rPr>
          <w:rFonts w:cs="Times New Roman"/>
        </w:rPr>
        <w:t xml:space="preserve"> pathologies) </w:t>
      </w:r>
      <w:r w:rsidR="001A2D02">
        <w:rPr>
          <w:rFonts w:cs="Times New Roman"/>
        </w:rPr>
        <w:t xml:space="preserve">to </w:t>
      </w:r>
      <w:r w:rsidR="00FE5E52">
        <w:rPr>
          <w:rFonts w:cs="Times New Roman"/>
        </w:rPr>
        <w:t>deselect SARS-CoV-1 as a potential vaccine candidate for development</w:t>
      </w:r>
      <w:r w:rsidR="00BC041C">
        <w:rPr>
          <w:rFonts w:cs="Times New Roman"/>
        </w:rPr>
        <w:t xml:space="preserve"> and funding acquisition</w:t>
      </w:r>
      <w:r w:rsidR="00B56059">
        <w:rPr>
          <w:rFonts w:cs="Times New Roman"/>
        </w:rPr>
        <w:t xml:space="preserve">. </w:t>
      </w:r>
      <w:r w:rsidR="00D843FA">
        <w:rPr>
          <w:rFonts w:cs="Times New Roman"/>
        </w:rPr>
        <w:t xml:space="preserve">This sentiment was </w:t>
      </w:r>
      <w:r w:rsidR="00DD509F">
        <w:rPr>
          <w:rFonts w:cs="Times New Roman"/>
        </w:rPr>
        <w:t xml:space="preserve">further </w:t>
      </w:r>
      <w:r w:rsidR="00D843FA">
        <w:rPr>
          <w:rFonts w:cs="Times New Roman"/>
        </w:rPr>
        <w:t>reflected in my blog on 13/12/2020,</w:t>
      </w:r>
      <w:r w:rsidR="00D843FA">
        <w:rPr>
          <w:rStyle w:val="EndnoteReference"/>
          <w:rFonts w:cs="Times New Roman"/>
        </w:rPr>
        <w:endnoteReference w:id="66"/>
      </w:r>
      <w:r w:rsidR="00D843FA">
        <w:rPr>
          <w:rFonts w:cs="Times New Roman"/>
        </w:rPr>
        <w:t xml:space="preserve"> which will become obvious upon reading section 2. </w:t>
      </w:r>
      <w:r w:rsidR="00967927" w:rsidRPr="00B10BF9">
        <w:rPr>
          <w:rFonts w:cs="Times New Roman"/>
          <w:szCs w:val="22"/>
        </w:rPr>
        <w:t xml:space="preserve">Thus, </w:t>
      </w:r>
      <w:r w:rsidR="00B56059">
        <w:rPr>
          <w:rFonts w:cs="Times New Roman"/>
          <w:szCs w:val="22"/>
        </w:rPr>
        <w:t xml:space="preserve">in my </w:t>
      </w:r>
      <w:r w:rsidR="00D843FA">
        <w:rPr>
          <w:rFonts w:cs="Times New Roman"/>
          <w:szCs w:val="22"/>
        </w:rPr>
        <w:t>long-standing view</w:t>
      </w:r>
      <w:r w:rsidR="00CB1F00">
        <w:rPr>
          <w:rFonts w:cs="Times New Roman"/>
          <w:szCs w:val="22"/>
        </w:rPr>
        <w:t xml:space="preserve">, </w:t>
      </w:r>
      <w:r w:rsidR="00967927" w:rsidRPr="00B10BF9">
        <w:rPr>
          <w:rFonts w:cs="Times New Roman"/>
          <w:szCs w:val="22"/>
        </w:rPr>
        <w:t xml:space="preserve">the enhanced rates of </w:t>
      </w:r>
      <w:r w:rsidR="00967927">
        <w:rPr>
          <w:rFonts w:cs="Times New Roman"/>
          <w:szCs w:val="22"/>
        </w:rPr>
        <w:t xml:space="preserve">COVID-19 </w:t>
      </w:r>
      <w:r w:rsidR="00967927" w:rsidRPr="00B10BF9">
        <w:rPr>
          <w:rFonts w:cs="Times New Roman"/>
          <w:szCs w:val="22"/>
        </w:rPr>
        <w:t xml:space="preserve">infection and </w:t>
      </w:r>
      <w:r w:rsidR="00967927">
        <w:rPr>
          <w:rFonts w:cs="Times New Roman"/>
          <w:szCs w:val="22"/>
        </w:rPr>
        <w:t xml:space="preserve">vaccine-induced </w:t>
      </w:r>
      <w:r w:rsidR="00967927" w:rsidRPr="00B10BF9">
        <w:rPr>
          <w:rFonts w:cs="Times New Roman"/>
          <w:szCs w:val="22"/>
        </w:rPr>
        <w:t xml:space="preserve">disease were </w:t>
      </w:r>
      <w:r w:rsidR="00A54854" w:rsidRPr="00A54854">
        <w:rPr>
          <w:rFonts w:cs="Times New Roman"/>
          <w:b/>
          <w:bCs w:val="0"/>
          <w:szCs w:val="22"/>
        </w:rPr>
        <w:t>fully</w:t>
      </w:r>
      <w:r w:rsidR="00A54854">
        <w:rPr>
          <w:rFonts w:cs="Times New Roman"/>
          <w:szCs w:val="22"/>
        </w:rPr>
        <w:t xml:space="preserve"> </w:t>
      </w:r>
      <w:r w:rsidR="00206107" w:rsidRPr="00B10BF9">
        <w:rPr>
          <w:rFonts w:cs="Times New Roman"/>
          <w:b/>
          <w:szCs w:val="22"/>
        </w:rPr>
        <w:t>predictable</w:t>
      </w:r>
      <w:r w:rsidR="00967927" w:rsidRPr="00B10BF9">
        <w:rPr>
          <w:rFonts w:cs="Times New Roman"/>
          <w:szCs w:val="22"/>
        </w:rPr>
        <w:t>.</w:t>
      </w:r>
      <w:r w:rsidR="00967927">
        <w:rPr>
          <w:rFonts w:cs="Times New Roman"/>
          <w:szCs w:val="22"/>
        </w:rPr>
        <w:t xml:space="preserve"> </w:t>
      </w:r>
    </w:p>
    <w:p w14:paraId="4E419DDA" w14:textId="09284D58" w:rsidR="003A1C78" w:rsidRPr="001A2D02" w:rsidRDefault="00787E1D" w:rsidP="00787E1D">
      <w:pPr>
        <w:rPr>
          <w:rFonts w:cs="Times New Roman"/>
          <w:u w:val="single"/>
        </w:rPr>
      </w:pPr>
      <w:r>
        <w:rPr>
          <w:lang w:eastAsia="en-US"/>
        </w:rPr>
        <w:t>In my experience, d</w:t>
      </w:r>
      <w:r w:rsidRPr="00AC6834">
        <w:rPr>
          <w:lang w:eastAsia="en-US"/>
        </w:rPr>
        <w:t xml:space="preserve">uring the vaccine </w:t>
      </w:r>
      <w:r>
        <w:rPr>
          <w:lang w:eastAsia="en-US"/>
        </w:rPr>
        <w:t>R&amp;D</w:t>
      </w:r>
      <w:r w:rsidRPr="00AC6834">
        <w:rPr>
          <w:lang w:eastAsia="en-US"/>
        </w:rPr>
        <w:t xml:space="preserve"> process, particularly during lead-optimization and </w:t>
      </w:r>
      <w:r>
        <w:rPr>
          <w:lang w:eastAsia="en-US"/>
        </w:rPr>
        <w:t>before</w:t>
      </w:r>
      <w:r w:rsidRPr="00AC6834">
        <w:rPr>
          <w:lang w:eastAsia="en-US"/>
        </w:rPr>
        <w:t xml:space="preserve"> </w:t>
      </w:r>
      <w:r w:rsidRPr="00AC6834">
        <w:rPr>
          <w:lang w:eastAsia="en-US"/>
        </w:rPr>
        <w:lastRenderedPageBreak/>
        <w:t>entering clinical studies</w:t>
      </w:r>
      <w:r>
        <w:rPr>
          <w:lang w:eastAsia="en-US"/>
        </w:rPr>
        <w:t>,</w:t>
      </w:r>
      <w:r w:rsidRPr="00AC6834">
        <w:rPr>
          <w:lang w:eastAsia="en-US"/>
        </w:rPr>
        <w:t xml:space="preserve"> it is </w:t>
      </w:r>
      <w:r w:rsidRPr="00655FE7">
        <w:rPr>
          <w:b/>
          <w:bCs w:val="0"/>
          <w:lang w:eastAsia="en-US"/>
        </w:rPr>
        <w:t>incumbent on the innovator</w:t>
      </w:r>
      <w:r w:rsidRPr="00AC6834">
        <w:rPr>
          <w:lang w:eastAsia="en-US"/>
        </w:rPr>
        <w:t xml:space="preserve"> to </w:t>
      </w:r>
      <w:r>
        <w:rPr>
          <w:lang w:eastAsia="en-US"/>
        </w:rPr>
        <w:t xml:space="preserve">identify </w:t>
      </w:r>
      <w:r w:rsidRPr="00AC6834">
        <w:rPr>
          <w:lang w:eastAsia="en-US"/>
        </w:rPr>
        <w:t>known and theoretical risks</w:t>
      </w:r>
      <w:r>
        <w:rPr>
          <w:lang w:eastAsia="en-US"/>
        </w:rPr>
        <w:t xml:space="preserve"> and propose plans to monitor and mitigate those risks or terminate the program</w:t>
      </w:r>
      <w:r w:rsidRPr="00AC6834">
        <w:rPr>
          <w:lang w:eastAsia="en-US"/>
        </w:rPr>
        <w:t xml:space="preserve">. </w:t>
      </w:r>
      <w:r w:rsidR="003A1C78">
        <w:rPr>
          <w:lang w:eastAsia="en-US"/>
        </w:rPr>
        <w:t>Before COVID-19 this was</w:t>
      </w:r>
      <w:r w:rsidRPr="00AC6834">
        <w:rPr>
          <w:lang w:eastAsia="en-US"/>
        </w:rPr>
        <w:t xml:space="preserve"> </w:t>
      </w:r>
      <w:r w:rsidR="00904257">
        <w:rPr>
          <w:lang w:eastAsia="en-US"/>
        </w:rPr>
        <w:t xml:space="preserve">an </w:t>
      </w:r>
      <w:r w:rsidRPr="00AC6834">
        <w:rPr>
          <w:lang w:eastAsia="en-US"/>
        </w:rPr>
        <w:t xml:space="preserve">obligatory </w:t>
      </w:r>
      <w:r w:rsidR="00904257">
        <w:rPr>
          <w:lang w:eastAsia="en-US"/>
        </w:rPr>
        <w:t xml:space="preserve">part of the R&amp;D </w:t>
      </w:r>
      <w:r w:rsidRPr="00AC6834">
        <w:rPr>
          <w:lang w:eastAsia="en-US"/>
        </w:rPr>
        <w:t xml:space="preserve">process </w:t>
      </w:r>
      <w:r>
        <w:rPr>
          <w:lang w:eastAsia="en-US"/>
        </w:rPr>
        <w:t xml:space="preserve">required </w:t>
      </w:r>
      <w:r w:rsidRPr="009E470F">
        <w:rPr>
          <w:lang w:eastAsia="en-US"/>
        </w:rPr>
        <w:t xml:space="preserve">before testing any </w:t>
      </w:r>
      <w:r w:rsidR="004A0625">
        <w:rPr>
          <w:lang w:eastAsia="en-US"/>
        </w:rPr>
        <w:t>vaccine</w:t>
      </w:r>
      <w:r w:rsidRPr="009E470F">
        <w:rPr>
          <w:lang w:eastAsia="en-US"/>
        </w:rPr>
        <w:t xml:space="preserve"> in humans. All </w:t>
      </w:r>
      <w:r w:rsidR="003A1C78" w:rsidRPr="009E470F">
        <w:rPr>
          <w:lang w:eastAsia="en-US"/>
        </w:rPr>
        <w:t xml:space="preserve">of </w:t>
      </w:r>
      <w:r w:rsidRPr="009E470F">
        <w:rPr>
          <w:lang w:eastAsia="en-US"/>
        </w:rPr>
        <w:t xml:space="preserve">those above-cited ADE publications were </w:t>
      </w:r>
      <w:r w:rsidRPr="00CC2880">
        <w:rPr>
          <w:b/>
          <w:bCs w:val="0"/>
          <w:lang w:eastAsia="en-US"/>
        </w:rPr>
        <w:t>readily available</w:t>
      </w:r>
      <w:r w:rsidRPr="009E470F">
        <w:rPr>
          <w:lang w:eastAsia="en-US"/>
        </w:rPr>
        <w:t xml:space="preserve"> to COVID-19 vaccine company R&amp;D scientists, </w:t>
      </w:r>
      <w:r w:rsidR="003A1C78" w:rsidRPr="009E470F">
        <w:rPr>
          <w:szCs w:val="22"/>
        </w:rPr>
        <w:t>the National Institutes of Health (NIH) scientific leadership via</w:t>
      </w:r>
      <w:r w:rsidR="003A1C78" w:rsidRPr="00B10BF9">
        <w:rPr>
          <w:szCs w:val="22"/>
        </w:rPr>
        <w:t xml:space="preserve"> its extensively funded gain-of-function research (Part-2), </w:t>
      </w:r>
      <w:r>
        <w:rPr>
          <w:lang w:eastAsia="en-US"/>
        </w:rPr>
        <w:t xml:space="preserve">the FDA/other drug regulators, and WHO COVID-19 vaccine advisory board experts before </w:t>
      </w:r>
      <w:r w:rsidR="00980E93">
        <w:rPr>
          <w:lang w:eastAsia="en-US"/>
        </w:rPr>
        <w:t xml:space="preserve">the </w:t>
      </w:r>
      <w:r w:rsidR="00904257">
        <w:rPr>
          <w:lang w:eastAsia="en-US"/>
        </w:rPr>
        <w:t xml:space="preserve">regulatory </w:t>
      </w:r>
      <w:r w:rsidR="00980E93">
        <w:rPr>
          <w:lang w:eastAsia="en-US"/>
        </w:rPr>
        <w:t xml:space="preserve">approval </w:t>
      </w:r>
      <w:r w:rsidR="00655FE7">
        <w:rPr>
          <w:lang w:eastAsia="en-US"/>
        </w:rPr>
        <w:t xml:space="preserve">and/or their promotion </w:t>
      </w:r>
      <w:r w:rsidR="00980E93">
        <w:rPr>
          <w:lang w:eastAsia="en-US"/>
        </w:rPr>
        <w:t xml:space="preserve">of </w:t>
      </w:r>
      <w:r>
        <w:rPr>
          <w:szCs w:val="22"/>
        </w:rPr>
        <w:t xml:space="preserve">genetically modified </w:t>
      </w:r>
      <w:r w:rsidRPr="00A23806">
        <w:rPr>
          <w:szCs w:val="22"/>
        </w:rPr>
        <w:t xml:space="preserve">prefusion-stabilized </w:t>
      </w:r>
      <w:r w:rsidR="00361A81">
        <w:rPr>
          <w:lang w:eastAsia="en-US"/>
        </w:rPr>
        <w:t>(</w:t>
      </w:r>
      <w:r w:rsidR="004A0625">
        <w:rPr>
          <w:lang w:eastAsia="en-US"/>
        </w:rPr>
        <w:t xml:space="preserve">i.e., </w:t>
      </w:r>
      <w:r w:rsidR="00361A81" w:rsidRPr="00A54854">
        <w:rPr>
          <w:b/>
          <w:bCs w:val="0"/>
          <w:lang w:eastAsia="en-US"/>
        </w:rPr>
        <w:t>NIH Technology Transfer</w:t>
      </w:r>
      <w:r w:rsidR="00361A81">
        <w:rPr>
          <w:rStyle w:val="EndnoteReference"/>
          <w:lang w:eastAsia="en-US"/>
        </w:rPr>
        <w:endnoteReference w:id="67"/>
      </w:r>
      <w:r w:rsidR="00361A81">
        <w:rPr>
          <w:lang w:eastAsia="en-US"/>
        </w:rPr>
        <w:t xml:space="preserve">) </w:t>
      </w:r>
      <w:r w:rsidR="00CC2880">
        <w:rPr>
          <w:szCs w:val="22"/>
        </w:rPr>
        <w:t xml:space="preserve">SARS-CoV-2 </w:t>
      </w:r>
      <w:r w:rsidR="00CC2880" w:rsidRPr="00A23806">
        <w:rPr>
          <w:szCs w:val="22"/>
        </w:rPr>
        <w:t>spike protein</w:t>
      </w:r>
      <w:r w:rsidR="00CC2880">
        <w:rPr>
          <w:szCs w:val="22"/>
        </w:rPr>
        <w:t xml:space="preserve"> </w:t>
      </w:r>
      <w:r w:rsidR="002649CE">
        <w:rPr>
          <w:lang w:eastAsia="en-US"/>
        </w:rPr>
        <w:t>encoded</w:t>
      </w:r>
      <w:r w:rsidR="00142A2F">
        <w:rPr>
          <w:lang w:eastAsia="en-US"/>
        </w:rPr>
        <w:t xml:space="preserve"> </w:t>
      </w:r>
      <w:r w:rsidR="00DE3E41">
        <w:rPr>
          <w:lang w:eastAsia="en-US"/>
        </w:rPr>
        <w:t>gene-therapy</w:t>
      </w:r>
      <w:r w:rsidR="00D843FA">
        <w:rPr>
          <w:lang w:eastAsia="en-US"/>
        </w:rPr>
        <w:t>-</w:t>
      </w:r>
      <w:r w:rsidR="00142A2F">
        <w:rPr>
          <w:lang w:eastAsia="en-US"/>
        </w:rPr>
        <w:t>vaccines</w:t>
      </w:r>
      <w:r>
        <w:rPr>
          <w:lang w:eastAsia="en-US"/>
        </w:rPr>
        <w:t>.</w:t>
      </w:r>
      <w:r w:rsidR="00DE3E41" w:rsidRPr="00DB5985">
        <w:rPr>
          <w:rStyle w:val="EndnoteReference"/>
          <w:lang w:eastAsia="en-US"/>
        </w:rPr>
        <w:endnoteReference w:id="68"/>
      </w:r>
      <w:r w:rsidR="00DE3E41" w:rsidRPr="00DB5985">
        <w:rPr>
          <w:vertAlign w:val="superscript"/>
          <w:lang w:eastAsia="en-US"/>
        </w:rPr>
        <w:t>,</w:t>
      </w:r>
      <w:r w:rsidR="00DB5985" w:rsidRPr="00DB5985">
        <w:rPr>
          <w:rStyle w:val="EndnoteReference"/>
          <w:szCs w:val="22"/>
        </w:rPr>
        <w:endnoteReference w:id="69"/>
      </w:r>
      <w:r w:rsidR="00904257">
        <w:rPr>
          <w:lang w:eastAsia="en-US"/>
        </w:rPr>
        <w:t xml:space="preserve"> </w:t>
      </w:r>
      <w:r w:rsidR="003A1C78">
        <w:rPr>
          <w:lang w:eastAsia="en-US"/>
        </w:rPr>
        <w:t xml:space="preserve">Thus, </w:t>
      </w:r>
      <w:r w:rsidR="00FC7064">
        <w:rPr>
          <w:lang w:eastAsia="en-US"/>
        </w:rPr>
        <w:t xml:space="preserve">when you search </w:t>
      </w:r>
      <w:r w:rsidR="00AB6CB7">
        <w:rPr>
          <w:lang w:eastAsia="en-US"/>
        </w:rPr>
        <w:t>Comirnaty’s FDA, EMA, and TGA</w:t>
      </w:r>
      <w:r w:rsidR="009E0CAE" w:rsidRPr="002649CE">
        <w:rPr>
          <w:lang w:eastAsia="en-US"/>
        </w:rPr>
        <w:t xml:space="preserve"> regulatory review documents</w:t>
      </w:r>
      <w:r w:rsidR="00FC7064">
        <w:rPr>
          <w:lang w:eastAsia="en-US"/>
        </w:rPr>
        <w:t xml:space="preserve"> </w:t>
      </w:r>
      <w:r w:rsidR="00CB1F00" w:rsidRPr="006E4E0B">
        <w:rPr>
          <w:lang w:eastAsia="en-US"/>
        </w:rPr>
        <w:t xml:space="preserve">for </w:t>
      </w:r>
      <w:r w:rsidR="00CB1F00">
        <w:rPr>
          <w:lang w:eastAsia="en-US"/>
        </w:rPr>
        <w:t xml:space="preserve">mention of </w:t>
      </w:r>
      <w:r w:rsidR="00CB1F00" w:rsidRPr="006E4E0B">
        <w:rPr>
          <w:lang w:eastAsia="en-US"/>
        </w:rPr>
        <w:t xml:space="preserve">ADE </w:t>
      </w:r>
      <w:r w:rsidR="00CB1F00" w:rsidRPr="00CB1F00">
        <w:rPr>
          <w:b/>
          <w:bCs w:val="0"/>
          <w:lang w:eastAsia="en-US"/>
        </w:rPr>
        <w:t>you will find none</w:t>
      </w:r>
      <w:r>
        <w:rPr>
          <w:lang w:eastAsia="en-US"/>
        </w:rPr>
        <w:t xml:space="preserve">. </w:t>
      </w:r>
      <w:r w:rsidR="002649CE">
        <w:rPr>
          <w:lang w:eastAsia="en-US"/>
        </w:rPr>
        <w:t xml:space="preserve">Given </w:t>
      </w:r>
      <w:r w:rsidR="00FC7064">
        <w:rPr>
          <w:lang w:eastAsia="en-US"/>
        </w:rPr>
        <w:t>the</w:t>
      </w:r>
      <w:r w:rsidR="002649CE">
        <w:rPr>
          <w:lang w:eastAsia="en-US"/>
        </w:rPr>
        <w:t xml:space="preserve"> historical </w:t>
      </w:r>
      <w:r w:rsidR="00655FE7">
        <w:rPr>
          <w:lang w:eastAsia="en-US"/>
        </w:rPr>
        <w:t xml:space="preserve">spike protein vaccine </w:t>
      </w:r>
      <w:r w:rsidR="002649CE">
        <w:rPr>
          <w:lang w:eastAsia="en-US"/>
        </w:rPr>
        <w:t>ADE legacy,</w:t>
      </w:r>
      <w:r w:rsidR="00FC7064">
        <w:rPr>
          <w:lang w:eastAsia="en-US"/>
        </w:rPr>
        <w:t xml:space="preserve"> </w:t>
      </w:r>
      <w:r w:rsidR="00522471">
        <w:rPr>
          <w:lang w:eastAsia="en-US"/>
        </w:rPr>
        <w:t>and in consider</w:t>
      </w:r>
      <w:r w:rsidR="00546BB8">
        <w:rPr>
          <w:lang w:eastAsia="en-US"/>
        </w:rPr>
        <w:t>ation of</w:t>
      </w:r>
      <w:r w:rsidR="00522471">
        <w:rPr>
          <w:lang w:eastAsia="en-US"/>
        </w:rPr>
        <w:t xml:space="preserve"> the informed consent process, </w:t>
      </w:r>
      <w:r>
        <w:rPr>
          <w:lang w:eastAsia="en-US"/>
        </w:rPr>
        <w:t>this was</w:t>
      </w:r>
      <w:r w:rsidR="00AB6CB7">
        <w:rPr>
          <w:lang w:eastAsia="en-US"/>
        </w:rPr>
        <w:t xml:space="preserve"> both</w:t>
      </w:r>
      <w:r>
        <w:rPr>
          <w:lang w:eastAsia="en-US"/>
        </w:rPr>
        <w:t xml:space="preserve"> </w:t>
      </w:r>
      <w:r w:rsidRPr="005F2EB1">
        <w:rPr>
          <w:b/>
          <w:bCs w:val="0"/>
          <w:iCs/>
          <w:lang w:eastAsia="en-US"/>
        </w:rPr>
        <w:t>conspicuous and ominous by its absence</w:t>
      </w:r>
      <w:r>
        <w:rPr>
          <w:lang w:eastAsia="en-US"/>
        </w:rPr>
        <w:t xml:space="preserve"> </w:t>
      </w:r>
      <w:r w:rsidR="00FC7064">
        <w:rPr>
          <w:lang w:eastAsia="en-US"/>
        </w:rPr>
        <w:t xml:space="preserve">in my </w:t>
      </w:r>
      <w:r w:rsidR="00961B25">
        <w:rPr>
          <w:lang w:eastAsia="en-US"/>
        </w:rPr>
        <w:t>opinion</w:t>
      </w:r>
      <w:r w:rsidR="00FC7064">
        <w:rPr>
          <w:lang w:eastAsia="en-US"/>
        </w:rPr>
        <w:t>.</w:t>
      </w:r>
    </w:p>
    <w:p w14:paraId="2862E919" w14:textId="6C548B35" w:rsidR="00D60EDF" w:rsidRDefault="00787E1D" w:rsidP="00D60EDF">
      <w:pPr>
        <w:pStyle w:val="Heading4"/>
      </w:pPr>
      <w:r w:rsidRPr="009A29A2">
        <w:t xml:space="preserve">Post-COVID-19 </w:t>
      </w:r>
      <w:r w:rsidR="00D60EDF">
        <w:t>D</w:t>
      </w:r>
      <w:r w:rsidRPr="009A29A2">
        <w:t>iscoverie</w:t>
      </w:r>
      <w:r w:rsidR="00B9289D">
        <w:t>s Confirm Biological</w:t>
      </w:r>
      <w:r w:rsidR="00B9289D" w:rsidRPr="00B9289D">
        <w:t xml:space="preserve"> </w:t>
      </w:r>
      <w:r w:rsidR="00B9289D">
        <w:t xml:space="preserve">Factors Associated with </w:t>
      </w:r>
      <w:r w:rsidR="00060D0E">
        <w:t xml:space="preserve">SARS-CoV-2 </w:t>
      </w:r>
      <w:r w:rsidR="00B9289D">
        <w:t>ADE</w:t>
      </w:r>
      <w:r w:rsidR="001D5A34">
        <w:t xml:space="preserve"> and </w:t>
      </w:r>
      <w:r w:rsidR="00227514">
        <w:t xml:space="preserve">a </w:t>
      </w:r>
      <w:r w:rsidR="00D329AF">
        <w:t>Conceptual</w:t>
      </w:r>
      <w:r w:rsidR="001D5A34">
        <w:t xml:space="preserve"> ADE-Neutralization Threshold</w:t>
      </w:r>
    </w:p>
    <w:p w14:paraId="5D1D4291" w14:textId="78C8C2E9" w:rsidR="001A2D02" w:rsidRPr="00D50731" w:rsidRDefault="001A2D02" w:rsidP="001A2D02">
      <w:pPr>
        <w:rPr>
          <w:szCs w:val="22"/>
        </w:rPr>
      </w:pPr>
      <w:r w:rsidRPr="00E1469E">
        <w:t>Recent studies utilizing anti-spike monoclonal antibodies and plasma samples obtained</w:t>
      </w:r>
      <w:r w:rsidRPr="00E1469E">
        <w:rPr>
          <w:lang w:eastAsia="en-US"/>
        </w:rPr>
        <w:t xml:space="preserve"> from COVID-19 patients</w:t>
      </w:r>
      <w:r w:rsidRPr="00E1469E">
        <w:t xml:space="preserve"> highlight n</w:t>
      </w:r>
      <w:r w:rsidRPr="00E1469E">
        <w:rPr>
          <w:rFonts w:cs="Times New Roman"/>
          <w:szCs w:val="22"/>
        </w:rPr>
        <w:t xml:space="preserve">umerous mechanisms involved in </w:t>
      </w:r>
      <w:r w:rsidRPr="00E1469E">
        <w:rPr>
          <w:szCs w:val="22"/>
        </w:rPr>
        <w:t xml:space="preserve">SARS-CoV-2-associated ADE. These </w:t>
      </w:r>
      <w:r w:rsidR="00B36758">
        <w:rPr>
          <w:szCs w:val="22"/>
        </w:rPr>
        <w:t xml:space="preserve">mechanisms </w:t>
      </w:r>
      <w:r w:rsidRPr="00E1469E">
        <w:rPr>
          <w:rFonts w:cs="Times New Roman"/>
          <w:szCs w:val="22"/>
        </w:rPr>
        <w:t>involv</w:t>
      </w:r>
      <w:r w:rsidRPr="00E1469E">
        <w:rPr>
          <w:szCs w:val="22"/>
        </w:rPr>
        <w:t>e</w:t>
      </w:r>
      <w:r w:rsidRPr="00E1469E">
        <w:rPr>
          <w:rFonts w:cs="Times New Roman"/>
          <w:szCs w:val="22"/>
        </w:rPr>
        <w:t xml:space="preserve"> immune cells like monocytes, macrophages, and B-lymphocytes</w:t>
      </w:r>
      <w:r w:rsidRPr="00E1469E">
        <w:rPr>
          <w:szCs w:val="22"/>
        </w:rPr>
        <w:t xml:space="preserve"> </w:t>
      </w:r>
      <w:r w:rsidRPr="00E1469E">
        <w:rPr>
          <w:rFonts w:cs="Times New Roman"/>
          <w:szCs w:val="22"/>
        </w:rPr>
        <w:t xml:space="preserve">expressing specific antibody </w:t>
      </w:r>
      <w:r w:rsidR="005A1FD6" w:rsidRPr="00E1469E">
        <w:rPr>
          <w:rFonts w:cs="Times New Roman"/>
          <w:szCs w:val="22"/>
        </w:rPr>
        <w:t>receptors</w:t>
      </w:r>
      <w:r w:rsidR="005A1FD6" w:rsidRPr="00E1469E">
        <w:t xml:space="preserve"> </w:t>
      </w:r>
      <w:r w:rsidRPr="00E1469E">
        <w:rPr>
          <w:rFonts w:cs="Times New Roman"/>
          <w:szCs w:val="22"/>
        </w:rPr>
        <w:t>(</w:t>
      </w:r>
      <w:r w:rsidRPr="00E1469E">
        <w:rPr>
          <w:szCs w:val="22"/>
        </w:rPr>
        <w:t xml:space="preserve">i.e., </w:t>
      </w:r>
      <w:r w:rsidRPr="009A5CF5">
        <w:rPr>
          <w:i/>
          <w:iCs/>
          <w:szCs w:val="22"/>
        </w:rPr>
        <w:t xml:space="preserve">Fc gamma or fragment crystallizable, </w:t>
      </w:r>
      <w:r w:rsidRPr="009A5CF5">
        <w:rPr>
          <w:rFonts w:cs="Times New Roman"/>
          <w:i/>
          <w:iCs/>
          <w:szCs w:val="22"/>
        </w:rPr>
        <w:t>FcγR</w:t>
      </w:r>
      <w:r w:rsidRPr="009A5CF5">
        <w:rPr>
          <w:i/>
          <w:iCs/>
          <w:szCs w:val="22"/>
        </w:rPr>
        <w:t>, namely FcγRIA, FcγRIIA, and FcγRIIIA</w:t>
      </w:r>
      <w:r w:rsidRPr="00E1469E">
        <w:rPr>
          <w:rFonts w:cs="Times New Roman"/>
          <w:szCs w:val="22"/>
        </w:rPr>
        <w:t xml:space="preserve">) and complement </w:t>
      </w:r>
      <w:r w:rsidRPr="00E1469E">
        <w:t xml:space="preserve">component </w:t>
      </w:r>
      <w:r w:rsidRPr="00E1469E">
        <w:rPr>
          <w:rFonts w:cs="Times New Roman"/>
          <w:szCs w:val="22"/>
        </w:rPr>
        <w:t>receptors</w:t>
      </w:r>
      <w:r w:rsidRPr="00E1469E">
        <w:t xml:space="preserve"> (i.e., </w:t>
      </w:r>
      <w:r w:rsidRPr="00E1469E">
        <w:rPr>
          <w:i/>
          <w:iCs/>
        </w:rPr>
        <w:t>C1q-, ubiquitously expressed on cell surfaces, including respiratory epithelial cells</w:t>
      </w:r>
      <w:r w:rsidRPr="00E1469E">
        <w:rPr>
          <w:szCs w:val="22"/>
        </w:rPr>
        <w:t>)</w:t>
      </w:r>
      <w:r>
        <w:rPr>
          <w:szCs w:val="22"/>
        </w:rPr>
        <w:t xml:space="preserve">. These </w:t>
      </w:r>
      <w:r w:rsidR="00786996">
        <w:rPr>
          <w:szCs w:val="22"/>
        </w:rPr>
        <w:t xml:space="preserve">ADE </w:t>
      </w:r>
      <w:r>
        <w:rPr>
          <w:szCs w:val="22"/>
        </w:rPr>
        <w:t xml:space="preserve">mechanisms </w:t>
      </w:r>
      <w:r w:rsidRPr="00E1469E">
        <w:t xml:space="preserve">can be </w:t>
      </w:r>
      <w:r w:rsidRPr="00E1469E">
        <w:rPr>
          <w:rFonts w:cs="Times New Roman"/>
          <w:szCs w:val="22"/>
        </w:rPr>
        <w:t>FcγR</w:t>
      </w:r>
      <w:r w:rsidRPr="00E1469E">
        <w:t xml:space="preserve">-dependent but ACE2-independent, </w:t>
      </w:r>
      <w:r w:rsidRPr="00E1469E">
        <w:rPr>
          <w:rFonts w:cs="Times New Roman"/>
          <w:szCs w:val="22"/>
        </w:rPr>
        <w:t>FcγR</w:t>
      </w:r>
      <w:r w:rsidRPr="00E1469E">
        <w:t xml:space="preserve">-independent but ACE2-dependent and S-protein conformational change-dependent (i.e., </w:t>
      </w:r>
      <w:r w:rsidRPr="00E1469E">
        <w:rPr>
          <w:i/>
          <w:iCs/>
        </w:rPr>
        <w:t>N-terminal domain infectivity enhancing antibodies</w:t>
      </w:r>
      <w:r w:rsidRPr="00E1469E">
        <w:t>), or both FcR- and ACE2-dependent ADE.</w:t>
      </w:r>
      <w:r w:rsidRPr="00F6498D">
        <w:rPr>
          <w:rStyle w:val="EndnoteReference"/>
        </w:rPr>
        <w:endnoteReference w:id="70"/>
      </w:r>
      <w:r w:rsidRPr="00F6498D">
        <w:rPr>
          <w:vertAlign w:val="superscript"/>
        </w:rPr>
        <w:t>,</w:t>
      </w:r>
      <w:r w:rsidRPr="00F6498D">
        <w:rPr>
          <w:rStyle w:val="EndnoteReference"/>
        </w:rPr>
        <w:endnoteReference w:id="71"/>
      </w:r>
      <w:r w:rsidRPr="00F6498D">
        <w:rPr>
          <w:vertAlign w:val="superscript"/>
        </w:rPr>
        <w:t>,</w:t>
      </w:r>
      <w:r w:rsidRPr="00F6498D">
        <w:rPr>
          <w:rStyle w:val="EndnoteReference"/>
        </w:rPr>
        <w:endnoteReference w:id="72"/>
      </w:r>
      <w:r w:rsidRPr="00F6498D">
        <w:rPr>
          <w:vertAlign w:val="superscript"/>
        </w:rPr>
        <w:t>,</w:t>
      </w:r>
      <w:r w:rsidRPr="00F6498D">
        <w:rPr>
          <w:rStyle w:val="EndnoteReference"/>
        </w:rPr>
        <w:endnoteReference w:id="73"/>
      </w:r>
      <w:r w:rsidRPr="00F6498D">
        <w:rPr>
          <w:vertAlign w:val="superscript"/>
        </w:rPr>
        <w:t>,</w:t>
      </w:r>
      <w:r w:rsidRPr="00F6498D">
        <w:rPr>
          <w:rStyle w:val="EndnoteReference"/>
          <w:rFonts w:cs="Times New Roman"/>
          <w:szCs w:val="22"/>
          <w:lang w:eastAsia="en-US"/>
        </w:rPr>
        <w:endnoteReference w:id="74"/>
      </w:r>
      <w:r w:rsidRPr="00F6498D">
        <w:rPr>
          <w:vertAlign w:val="superscript"/>
        </w:rPr>
        <w:t>,</w:t>
      </w:r>
      <w:r w:rsidRPr="00F6498D">
        <w:rPr>
          <w:rStyle w:val="EndnoteReference"/>
        </w:rPr>
        <w:endnoteReference w:id="75"/>
      </w:r>
      <w:r w:rsidRPr="00F6498D">
        <w:rPr>
          <w:vertAlign w:val="superscript"/>
        </w:rPr>
        <w:t>,</w:t>
      </w:r>
      <w:r w:rsidRPr="00F6498D">
        <w:rPr>
          <w:rStyle w:val="EndnoteReference"/>
          <w:rFonts w:cs="Times New Roman"/>
          <w:szCs w:val="22"/>
          <w:lang w:eastAsia="en-US"/>
        </w:rPr>
        <w:endnoteReference w:id="76"/>
      </w:r>
      <w:r w:rsidR="00EC5C5D">
        <w:rPr>
          <w:rStyle w:val="EndnoteReference"/>
        </w:rPr>
        <w:t>,</w:t>
      </w:r>
      <w:r w:rsidR="00EC5C5D" w:rsidRPr="00F6498D">
        <w:rPr>
          <w:rStyle w:val="EndnoteReference"/>
        </w:rPr>
        <w:endnoteReference w:id="77"/>
      </w:r>
      <w:r>
        <w:t xml:space="preserve"> </w:t>
      </w:r>
      <w:r w:rsidRPr="007D20F4">
        <w:t xml:space="preserve">Increased viral gene or dysregulated host immune gene expression </w:t>
      </w:r>
      <w:r>
        <w:t>was</w:t>
      </w:r>
      <w:r w:rsidRPr="007D20F4">
        <w:t xml:space="preserve"> </w:t>
      </w:r>
      <w:r>
        <w:t xml:space="preserve">evident </w:t>
      </w:r>
      <w:r w:rsidRPr="007D20F4">
        <w:t>under ADE conditions</w:t>
      </w:r>
      <w:r>
        <w:t xml:space="preserve">, signifying ADE was not </w:t>
      </w:r>
      <w:r w:rsidR="00786996">
        <w:t xml:space="preserve">biologically </w:t>
      </w:r>
      <w:r>
        <w:t>benign</w:t>
      </w:r>
      <w:r w:rsidRPr="007D20F4">
        <w:t>.</w:t>
      </w:r>
      <w:r w:rsidRPr="00201B81">
        <w:rPr>
          <w:rStyle w:val="EndnoteReference"/>
        </w:rPr>
        <w:endnoteReference w:id="78"/>
      </w:r>
      <w:r w:rsidR="00FB1CB8">
        <w:t xml:space="preserve"> </w:t>
      </w:r>
    </w:p>
    <w:p w14:paraId="468F9017" w14:textId="4D681DF3" w:rsidR="001A2D02" w:rsidRDefault="001A2D02" w:rsidP="001A2D02">
      <w:r>
        <w:t>In general</w:t>
      </w:r>
      <w:r w:rsidRPr="00E1469E">
        <w:t xml:space="preserve">, the experimental conditions for evaluating ADE in-vitro </w:t>
      </w:r>
      <w:r w:rsidR="00587BED">
        <w:t>varied</w:t>
      </w:r>
      <w:r w:rsidRPr="00E1469E">
        <w:t xml:space="preserve">, and </w:t>
      </w:r>
      <w:r w:rsidR="00276273">
        <w:t>typical of biological research, what</w:t>
      </w:r>
      <w:r w:rsidRPr="00E1469E">
        <w:t xml:space="preserve"> happen</w:t>
      </w:r>
      <w:r w:rsidR="00587BED">
        <w:t>s</w:t>
      </w:r>
      <w:r w:rsidRPr="00E1469E">
        <w:t xml:space="preserve"> </w:t>
      </w:r>
      <w:r w:rsidR="00276273">
        <w:t>ex-vivo/in-vitro</w:t>
      </w:r>
      <w:r w:rsidRPr="00E1469E">
        <w:t xml:space="preserve"> </w:t>
      </w:r>
      <w:r>
        <w:t>may</w:t>
      </w:r>
      <w:r w:rsidRPr="00E1469E">
        <w:t xml:space="preserve"> not always </w:t>
      </w:r>
      <w:r>
        <w:t xml:space="preserve">be </w:t>
      </w:r>
      <w:r w:rsidR="00724671">
        <w:t>replicated</w:t>
      </w:r>
      <w:r w:rsidRPr="00E1469E">
        <w:t xml:space="preserve"> in-vivo</w:t>
      </w:r>
      <w:r w:rsidR="00276273">
        <w:t xml:space="preserve"> in humans</w:t>
      </w:r>
      <w:r w:rsidRPr="00E1469E">
        <w:t>.</w:t>
      </w:r>
      <w:r>
        <w:t xml:space="preserve"> Nevertheless, </w:t>
      </w:r>
      <w:r w:rsidR="00724671">
        <w:t xml:space="preserve">a consistent theme emerged showing that </w:t>
      </w:r>
      <w:r w:rsidRPr="00E1469E">
        <w:t xml:space="preserve">ADE appears to operate in a </w:t>
      </w:r>
      <w:r w:rsidRPr="00C10966">
        <w:rPr>
          <w:b/>
          <w:bCs w:val="0"/>
        </w:rPr>
        <w:t>time-</w:t>
      </w:r>
      <w:r w:rsidR="00276273">
        <w:rPr>
          <w:b/>
          <w:bCs w:val="0"/>
        </w:rPr>
        <w:t>dependent</w:t>
      </w:r>
      <w:r w:rsidRPr="00C10966">
        <w:rPr>
          <w:b/>
          <w:bCs w:val="0"/>
        </w:rPr>
        <w:t xml:space="preserve"> and </w:t>
      </w:r>
      <w:r w:rsidR="00920D8A">
        <w:rPr>
          <w:b/>
          <w:bCs w:val="0"/>
        </w:rPr>
        <w:t>antibody-concentration-dependent</w:t>
      </w:r>
      <w:r w:rsidRPr="00E1469E">
        <w:t xml:space="preserve"> </w:t>
      </w:r>
      <w:r w:rsidR="00724671">
        <w:t xml:space="preserve">manner </w:t>
      </w:r>
      <w:r w:rsidRPr="00E1469E">
        <w:t xml:space="preserve">but not </w:t>
      </w:r>
      <w:r w:rsidR="00227514">
        <w:t xml:space="preserve">in </w:t>
      </w:r>
      <w:r w:rsidR="00920D8A">
        <w:t xml:space="preserve">a </w:t>
      </w:r>
      <w:r w:rsidRPr="00E1469E">
        <w:t>viral-dose-dependent manner.</w:t>
      </w:r>
    </w:p>
    <w:p w14:paraId="4A60B870" w14:textId="4306DBFC" w:rsidR="001A2D02" w:rsidRDefault="001A2D02" w:rsidP="001A2D02">
      <w:r w:rsidRPr="00E1469E">
        <w:t xml:space="preserve">SARS-CoV-2 infection </w:t>
      </w:r>
      <w:r w:rsidR="000972BE">
        <w:t>induce</w:t>
      </w:r>
      <w:r w:rsidR="00825177">
        <w:t>d</w:t>
      </w:r>
      <w:r w:rsidRPr="00E1469E">
        <w:t xml:space="preserve"> ADE antibodies</w:t>
      </w:r>
      <w:r w:rsidR="00A54854">
        <w:t xml:space="preserve">, which </w:t>
      </w:r>
      <w:r w:rsidRPr="00E1469E">
        <w:t>elicit</w:t>
      </w:r>
      <w:r w:rsidR="00825177">
        <w:t>ed</w:t>
      </w:r>
      <w:r w:rsidRPr="00E1469E">
        <w:t xml:space="preserve"> </w:t>
      </w:r>
      <w:r w:rsidR="00A54854">
        <w:t xml:space="preserve">an </w:t>
      </w:r>
      <w:r w:rsidRPr="00E1469E">
        <w:t xml:space="preserve">ADE </w:t>
      </w:r>
      <w:r w:rsidR="00A54854">
        <w:t xml:space="preserve">profile </w:t>
      </w:r>
      <w:r w:rsidRPr="00E1469E">
        <w:t xml:space="preserve">for at least 6 months post-infection. </w:t>
      </w:r>
      <w:r w:rsidR="000972BE">
        <w:t xml:space="preserve">This </w:t>
      </w:r>
      <w:r w:rsidRPr="00E1469E">
        <w:t xml:space="preserve">ADE was observed only in highly diluted plasma while strong viral neutralization occurred at lower dilutions, indicating ADE-inducing antibodies may function at </w:t>
      </w:r>
      <w:r w:rsidRPr="00D843FA">
        <w:rPr>
          <w:b/>
          <w:bCs w:val="0"/>
        </w:rPr>
        <w:t>lower concentrations</w:t>
      </w:r>
      <w:r w:rsidRPr="00E1469E">
        <w:t xml:space="preserve"> than neutralizing antibodies.</w:t>
      </w:r>
      <w:r w:rsidRPr="00E1469E">
        <w:rPr>
          <w:rStyle w:val="EndnoteReference"/>
        </w:rPr>
        <w:endnoteReference w:id="79"/>
      </w:r>
      <w:r w:rsidRPr="00E1469E">
        <w:t xml:space="preserve"> SARS-CoV-2 n</w:t>
      </w:r>
      <w:r w:rsidRPr="00E1469E">
        <w:rPr>
          <w:bCs w:val="0"/>
        </w:rPr>
        <w:t xml:space="preserve">eutralizing activity was detected in most of the IgG-positive sera </w:t>
      </w:r>
      <w:r w:rsidRPr="00E1469E">
        <w:t>(</w:t>
      </w:r>
      <w:r w:rsidR="00786996">
        <w:t xml:space="preserve">i.e., </w:t>
      </w:r>
      <w:r w:rsidRPr="00E1469E">
        <w:t>63% of COVID-19 patient samples)</w:t>
      </w:r>
      <w:r w:rsidR="00414C38">
        <w:t>,</w:t>
      </w:r>
      <w:r w:rsidRPr="00E1469E">
        <w:rPr>
          <w:bCs w:val="0"/>
        </w:rPr>
        <w:t xml:space="preserve"> while </w:t>
      </w:r>
      <w:r w:rsidRPr="00E1469E">
        <w:t>ADE antibodies were found in more than 40% of acute COVID-19 patients. N</w:t>
      </w:r>
      <w:r w:rsidRPr="00E1469E">
        <w:rPr>
          <w:bCs w:val="0"/>
        </w:rPr>
        <w:t xml:space="preserve">eutralizing activity was detected in most IgG-positive sera, but </w:t>
      </w:r>
      <w:r w:rsidR="00414C38">
        <w:rPr>
          <w:bCs w:val="0"/>
        </w:rPr>
        <w:t xml:space="preserve">ADE counteracted </w:t>
      </w:r>
      <w:r w:rsidR="00414C38">
        <w:rPr>
          <w:bCs w:val="0"/>
        </w:rPr>
        <w:lastRenderedPageBreak/>
        <w:t>this</w:t>
      </w:r>
      <w:r w:rsidRPr="00E1469E">
        <w:rPr>
          <w:bCs w:val="0"/>
        </w:rPr>
        <w:t xml:space="preserve"> in sub-neutralizing conditions in the presence of FcγR or complement receptors</w:t>
      </w:r>
      <w:r w:rsidRPr="00E1469E">
        <w:t>.</w:t>
      </w:r>
      <w:r w:rsidRPr="00E1469E">
        <w:rPr>
          <w:rStyle w:val="EndnoteReference"/>
        </w:rPr>
        <w:endnoteReference w:id="80"/>
      </w:r>
      <w:r w:rsidRPr="00E1469E">
        <w:t xml:space="preserve"> Infectivity-enhancing N-terminal domain (NTD) antibodies were also shown to operate in a concentration-dependent manner, inducing an </w:t>
      </w:r>
      <w:r w:rsidRPr="00D843FA">
        <w:rPr>
          <w:b/>
          <w:bCs w:val="0"/>
        </w:rPr>
        <w:t>open conformation</w:t>
      </w:r>
      <w:r w:rsidRPr="00E1469E">
        <w:t xml:space="preserve"> of the receptor binding domain to augment ACE2 binding, but </w:t>
      </w:r>
      <w:r w:rsidR="007766E5">
        <w:t xml:space="preserve">this </w:t>
      </w:r>
      <w:r w:rsidRPr="00E1469E">
        <w:t xml:space="preserve">did not work when neutralizing antibodies </w:t>
      </w:r>
      <w:r w:rsidR="007766E5">
        <w:t xml:space="preserve">were </w:t>
      </w:r>
      <w:r w:rsidRPr="00E1469E">
        <w:t>at high levels.</w:t>
      </w:r>
      <w:r w:rsidRPr="00E1469E">
        <w:rPr>
          <w:rStyle w:val="EndnoteReference"/>
          <w:rFonts w:cs="Times New Roman"/>
          <w:szCs w:val="22"/>
          <w:lang w:eastAsia="en-US"/>
        </w:rPr>
        <w:endnoteReference w:id="81"/>
      </w:r>
      <w:r w:rsidRPr="00E1469E">
        <w:t xml:space="preserve"> Certain monoclonal anti-</w:t>
      </w:r>
      <w:r w:rsidR="007766E5">
        <w:t xml:space="preserve">spike </w:t>
      </w:r>
      <w:r w:rsidRPr="00E1469E">
        <w:t xml:space="preserve">protein antibodies </w:t>
      </w:r>
      <w:r>
        <w:t xml:space="preserve">derived from </w:t>
      </w:r>
      <w:r w:rsidR="007766E5">
        <w:t>COVID-19-infected</w:t>
      </w:r>
      <w:r>
        <w:t xml:space="preserve"> subjects and </w:t>
      </w:r>
      <w:r w:rsidRPr="00E1469E">
        <w:t xml:space="preserve">approved for </w:t>
      </w:r>
      <w:r w:rsidR="007766E5">
        <w:t>human</w:t>
      </w:r>
      <w:r w:rsidRPr="00E1469E">
        <w:t xml:space="preserve"> use </w:t>
      </w:r>
      <w:r w:rsidR="007766E5">
        <w:t xml:space="preserve">also </w:t>
      </w:r>
      <w:r w:rsidR="00414C38">
        <w:t>potentially</w:t>
      </w:r>
      <w:r w:rsidRPr="00E1469E">
        <w:t xml:space="preserve"> cause ADE in a narrow range of </w:t>
      </w:r>
      <w:r w:rsidR="00786996">
        <w:t>antibody</w:t>
      </w:r>
      <w:r w:rsidRPr="00E1469E">
        <w:t xml:space="preserve"> concentrations.</w:t>
      </w:r>
      <w:r w:rsidRPr="00066C07">
        <w:rPr>
          <w:rStyle w:val="EndnoteReference"/>
        </w:rPr>
        <w:endnoteReference w:id="82"/>
      </w:r>
      <w:r w:rsidRPr="00066C07">
        <w:rPr>
          <w:vertAlign w:val="superscript"/>
        </w:rPr>
        <w:t>,</w:t>
      </w:r>
      <w:r w:rsidRPr="00066C07">
        <w:rPr>
          <w:rStyle w:val="EndnoteReference"/>
        </w:rPr>
        <w:endnoteReference w:id="83"/>
      </w:r>
      <w:r w:rsidRPr="00066C07">
        <w:rPr>
          <w:vertAlign w:val="superscript"/>
        </w:rPr>
        <w:t>,</w:t>
      </w:r>
      <w:r w:rsidRPr="00066C07">
        <w:rPr>
          <w:rStyle w:val="EndnoteReference"/>
        </w:rPr>
        <w:endnoteReference w:id="84"/>
      </w:r>
      <w:r w:rsidRPr="00066C07">
        <w:rPr>
          <w:vertAlign w:val="superscript"/>
        </w:rPr>
        <w:t>,</w:t>
      </w:r>
      <w:r w:rsidRPr="00066C07">
        <w:rPr>
          <w:rStyle w:val="EndnoteReference"/>
        </w:rPr>
        <w:endnoteReference w:id="85"/>
      </w:r>
      <w:r w:rsidRPr="00066C07">
        <w:rPr>
          <w:vertAlign w:val="superscript"/>
        </w:rPr>
        <w:t xml:space="preserve"> </w:t>
      </w:r>
    </w:p>
    <w:p w14:paraId="7B906F36" w14:textId="0CEFC10C" w:rsidR="001A2D02" w:rsidRPr="00A01529" w:rsidRDefault="00414C38" w:rsidP="001A2D02">
      <w:r>
        <w:t>Similarly</w:t>
      </w:r>
      <w:r w:rsidR="001A2D02" w:rsidRPr="00A01529">
        <w:t xml:space="preserve">, sera collected after SARS-CoV-2 spike protein </w:t>
      </w:r>
      <w:r w:rsidR="001A2D02" w:rsidRPr="001F0098">
        <w:rPr>
          <w:b/>
          <w:bCs w:val="0"/>
        </w:rPr>
        <w:t>mRNA vaccination</w:t>
      </w:r>
      <w:r w:rsidR="001A2D02" w:rsidRPr="00A01529">
        <w:t xml:space="preserve"> </w:t>
      </w:r>
      <w:r w:rsidR="00873D3E">
        <w:t>(</w:t>
      </w:r>
      <w:r w:rsidR="00A55C80">
        <w:t xml:space="preserve">i.e., </w:t>
      </w:r>
      <w:r w:rsidR="00873D3E">
        <w:t xml:space="preserve">Spikevax, Moderna) </w:t>
      </w:r>
      <w:r w:rsidR="001A2D02" w:rsidRPr="00A01529">
        <w:t xml:space="preserve">had the potential to cause ADE from an early stage and up to at least six months after vaccination. Both neutralizing and ADE </w:t>
      </w:r>
      <w:r w:rsidR="007766E5" w:rsidRPr="00A01529">
        <w:t xml:space="preserve">of infection </w:t>
      </w:r>
      <w:r w:rsidR="001A2D02" w:rsidRPr="00A01529">
        <w:t xml:space="preserve">were detected, with neutralization demonstrated at high </w:t>
      </w:r>
      <w:r>
        <w:t>serum concentrations</w:t>
      </w:r>
      <w:r w:rsidR="001A2D02" w:rsidRPr="00A01529">
        <w:t xml:space="preserve"> and </w:t>
      </w:r>
      <w:r w:rsidR="001A2D02" w:rsidRPr="00D843FA">
        <w:rPr>
          <w:b/>
          <w:bCs w:val="0"/>
        </w:rPr>
        <w:t>ADE at low concentrations</w:t>
      </w:r>
      <w:r w:rsidR="001A2D02" w:rsidRPr="00A01529">
        <w:t>. The ADE was observed within a relatively narrow window of antibody and serum concentrations, with the amount of virus added to the culture unrelated to the development of ADE</w:t>
      </w:r>
      <w:r w:rsidR="00506020">
        <w:t xml:space="preserve"> in the assay</w:t>
      </w:r>
      <w:r w:rsidR="001A2D02" w:rsidRPr="00A01529">
        <w:t>.</w:t>
      </w:r>
      <w:r w:rsidR="001A2D02" w:rsidRPr="00A01529">
        <w:rPr>
          <w:rStyle w:val="EndnoteReference"/>
        </w:rPr>
        <w:endnoteReference w:id="86"/>
      </w:r>
      <w:r w:rsidR="001A2D02" w:rsidRPr="00A01529">
        <w:t xml:space="preserve"> </w:t>
      </w:r>
    </w:p>
    <w:p w14:paraId="6F07523E" w14:textId="6CB20E67" w:rsidR="001A2D02" w:rsidRPr="0030631A" w:rsidRDefault="001A2D02" w:rsidP="001A2D02">
      <w:r w:rsidRPr="0030631A">
        <w:t xml:space="preserve">Severe COVID-19 infections were typically associated with high </w:t>
      </w:r>
      <w:r w:rsidR="00F95681">
        <w:t>titers</w:t>
      </w:r>
      <w:r w:rsidRPr="0030631A">
        <w:t xml:space="preserve"> of SARS-CoV-2 spike protein-specific antibodies</w:t>
      </w:r>
      <w:r w:rsidR="00414C38">
        <w:t>. The</w:t>
      </w:r>
      <w:r w:rsidRPr="0030631A">
        <w:t xml:space="preserve"> antibody titer was </w:t>
      </w:r>
      <w:r w:rsidRPr="00D843FA">
        <w:rPr>
          <w:b/>
          <w:bCs w:val="0"/>
        </w:rPr>
        <w:t>positively correlated with the severity</w:t>
      </w:r>
      <w:r w:rsidRPr="0030631A">
        <w:t xml:space="preserve"> of the disease </w:t>
      </w:r>
      <w:r w:rsidR="00A01529" w:rsidRPr="0030631A">
        <w:t>while</w:t>
      </w:r>
      <w:r w:rsidRPr="0030631A">
        <w:t xml:space="preserve"> </w:t>
      </w:r>
      <w:r w:rsidR="00A01529" w:rsidRPr="0030631A">
        <w:t>demonstrating</w:t>
      </w:r>
      <w:r w:rsidRPr="0030631A">
        <w:t xml:space="preserve"> less neutralization potency.</w:t>
      </w:r>
      <w:r w:rsidRPr="0030631A">
        <w:rPr>
          <w:rStyle w:val="EndnoteReference"/>
        </w:rPr>
        <w:endnoteReference w:id="87"/>
      </w:r>
      <w:r w:rsidR="0030631A" w:rsidRPr="0030631A">
        <w:t xml:space="preserve"> A preprint study highlighted that enhancement of SARS-CoV-2 cell entry was more commonly detected in plasma from severely-affected elderly patients with high titers of SARS-CoV-2 spike protein-specific antibodies, which was mediated via the FcγRII receptor.</w:t>
      </w:r>
      <w:r w:rsidR="0030631A" w:rsidRPr="0030631A">
        <w:rPr>
          <w:vertAlign w:val="superscript"/>
        </w:rPr>
        <w:endnoteReference w:id="88"/>
      </w:r>
      <w:r w:rsidR="0030631A" w:rsidRPr="0030631A">
        <w:t xml:space="preserve"> </w:t>
      </w:r>
      <w:r w:rsidRPr="0030631A">
        <w:t>Levels of NTD infectivity-enhancing antibodies were also detectable at high levels in severe COVID-19 patients.</w:t>
      </w:r>
      <w:r w:rsidRPr="0030631A">
        <w:rPr>
          <w:rStyle w:val="EndnoteReference"/>
          <w:rFonts w:cs="Times New Roman"/>
          <w:szCs w:val="22"/>
          <w:lang w:eastAsia="en-US"/>
        </w:rPr>
        <w:endnoteReference w:id="89"/>
      </w:r>
    </w:p>
    <w:p w14:paraId="06EAF675" w14:textId="2FAB5B7A" w:rsidR="001A2D02" w:rsidRPr="00A01529" w:rsidRDefault="00EC5C5D" w:rsidP="001A2D02">
      <w:r w:rsidRPr="00CF09BC">
        <w:rPr>
          <w:b/>
          <w:bCs w:val="0"/>
          <w:u w:val="single"/>
        </w:rPr>
        <w:t>Significance</w:t>
      </w:r>
      <w:r w:rsidR="001E6F3D" w:rsidRPr="00CF09BC">
        <w:rPr>
          <w:b/>
          <w:bCs w:val="0"/>
        </w:rPr>
        <w:t>:</w:t>
      </w:r>
      <w:r w:rsidR="001E6F3D">
        <w:t xml:space="preserve"> </w:t>
      </w:r>
      <w:r w:rsidR="00F66E9F">
        <w:t>C</w:t>
      </w:r>
      <w:r w:rsidR="001E6F3D">
        <w:t>ollectively</w:t>
      </w:r>
      <w:r w:rsidR="001A2D02" w:rsidRPr="00A01529">
        <w:t xml:space="preserve">, this </w:t>
      </w:r>
      <w:r w:rsidR="00A01529" w:rsidRPr="00A01529">
        <w:rPr>
          <w:b/>
          <w:bCs w:val="0"/>
        </w:rPr>
        <w:t>ADE time-</w:t>
      </w:r>
      <w:r w:rsidR="00962628">
        <w:rPr>
          <w:b/>
          <w:bCs w:val="0"/>
        </w:rPr>
        <w:t>dependency</w:t>
      </w:r>
      <w:r w:rsidR="00A01529" w:rsidRPr="00A01529">
        <w:rPr>
          <w:b/>
          <w:bCs w:val="0"/>
        </w:rPr>
        <w:t xml:space="preserve"> </w:t>
      </w:r>
      <w:r w:rsidR="00DB4153">
        <w:t>or</w:t>
      </w:r>
      <w:r w:rsidR="00A01529" w:rsidRPr="00A01529">
        <w:rPr>
          <w:b/>
          <w:bCs w:val="0"/>
        </w:rPr>
        <w:t xml:space="preserve"> antibody-concentration-dependency</w:t>
      </w:r>
      <w:r w:rsidR="00A01529" w:rsidRPr="00A01529">
        <w:t xml:space="preserve"> </w:t>
      </w:r>
      <w:r w:rsidR="00962628">
        <w:t xml:space="preserve">phenomenon </w:t>
      </w:r>
      <w:r w:rsidR="00414C38">
        <w:t>indicates</w:t>
      </w:r>
      <w:r w:rsidR="001A2D02" w:rsidRPr="00A01529">
        <w:t xml:space="preserve"> that during the early stages of </w:t>
      </w:r>
      <w:r w:rsidR="00825177">
        <w:t xml:space="preserve">COVID-19 </w:t>
      </w:r>
      <w:r w:rsidR="001A2D02" w:rsidRPr="00A01529">
        <w:t xml:space="preserve">infection or not until several months post-infection or in the early </w:t>
      </w:r>
      <w:r w:rsidR="00060D0E">
        <w:t xml:space="preserve">stages </w:t>
      </w:r>
      <w:r w:rsidR="00825177">
        <w:t xml:space="preserve">(i.e., low-rising immunity) </w:t>
      </w:r>
      <w:r w:rsidR="001A2D02" w:rsidRPr="00A01529">
        <w:t xml:space="preserve">and </w:t>
      </w:r>
      <w:r w:rsidR="00060D0E">
        <w:t>months</w:t>
      </w:r>
      <w:r w:rsidR="001A2D02" w:rsidRPr="00A01529">
        <w:t xml:space="preserve"> post-vaccination </w:t>
      </w:r>
      <w:r w:rsidR="00825177">
        <w:t>(i.e., low-waning immunity)</w:t>
      </w:r>
      <w:r w:rsidR="001A2D02" w:rsidRPr="00A01529">
        <w:t xml:space="preserve">, when neutralizing antibodies </w:t>
      </w:r>
      <w:r w:rsidR="00D60EDF">
        <w:t xml:space="preserve">are </w:t>
      </w:r>
      <w:r w:rsidR="00825177">
        <w:t>at</w:t>
      </w:r>
      <w:r w:rsidR="001A2D02" w:rsidRPr="00A01529">
        <w:rPr>
          <w:rFonts w:cs="Times New Roman"/>
          <w:sz w:val="24"/>
        </w:rPr>
        <w:t xml:space="preserve"> sub</w:t>
      </w:r>
      <w:r w:rsidR="001A2D02" w:rsidRPr="00A01529">
        <w:t>-</w:t>
      </w:r>
      <w:r w:rsidR="001A2D02" w:rsidRPr="00A01529">
        <w:rPr>
          <w:rFonts w:cs="Times New Roman"/>
          <w:sz w:val="24"/>
        </w:rPr>
        <w:t xml:space="preserve">neutralizing </w:t>
      </w:r>
      <w:r w:rsidR="00CF1FE0">
        <w:rPr>
          <w:rFonts w:cs="Times New Roman"/>
          <w:sz w:val="24"/>
        </w:rPr>
        <w:t xml:space="preserve">levels or below </w:t>
      </w:r>
      <w:r w:rsidR="00D329AF">
        <w:rPr>
          <w:rFonts w:cs="Times New Roman"/>
          <w:sz w:val="24"/>
        </w:rPr>
        <w:t>a putative</w:t>
      </w:r>
      <w:r w:rsidR="00CF1FE0">
        <w:rPr>
          <w:rFonts w:cs="Times New Roman"/>
          <w:sz w:val="24"/>
        </w:rPr>
        <w:t xml:space="preserve"> </w:t>
      </w:r>
      <w:r w:rsidR="00CF1FE0" w:rsidRPr="00CF1FE0">
        <w:rPr>
          <w:b/>
          <w:bCs w:val="0"/>
          <w:szCs w:val="22"/>
        </w:rPr>
        <w:t>ADE-neutralization threshold</w:t>
      </w:r>
      <w:r w:rsidR="001A2D02" w:rsidRPr="00A01529">
        <w:t xml:space="preserve">, then </w:t>
      </w:r>
      <w:r w:rsidR="00060D0E">
        <w:t xml:space="preserve">ADE </w:t>
      </w:r>
      <w:r w:rsidR="001A2D02" w:rsidRPr="00A01529">
        <w:t xml:space="preserve">may facilitate SARS-CoV-2 viral infection and the </w:t>
      </w:r>
      <w:r w:rsidR="00A01529" w:rsidRPr="00A01529">
        <w:t xml:space="preserve">subsequent </w:t>
      </w:r>
      <w:r w:rsidR="001A2D02" w:rsidRPr="00A01529">
        <w:t>course of disease progression</w:t>
      </w:r>
      <w:r w:rsidR="00060D0E">
        <w:t xml:space="preserve"> via multiple mechanisms</w:t>
      </w:r>
      <w:r w:rsidR="001A2D02" w:rsidRPr="00A01529">
        <w:rPr>
          <w:rFonts w:cs="Times New Roman"/>
          <w:sz w:val="24"/>
        </w:rPr>
        <w:t>.</w:t>
      </w:r>
      <w:r w:rsidR="001A2D02" w:rsidRPr="00A01529">
        <w:rPr>
          <w:rStyle w:val="EndnoteReference"/>
        </w:rPr>
        <w:endnoteReference w:id="90"/>
      </w:r>
      <w:r w:rsidR="001A2D02" w:rsidRPr="00A01529">
        <w:rPr>
          <w:rStyle w:val="EndnoteReference"/>
        </w:rPr>
        <w:t>,</w:t>
      </w:r>
      <w:r w:rsidR="001A2D02" w:rsidRPr="00A01529">
        <w:rPr>
          <w:rStyle w:val="EndnoteReference"/>
        </w:rPr>
        <w:endnoteReference w:id="91"/>
      </w:r>
      <w:r w:rsidR="001A2D02" w:rsidRPr="00A01529">
        <w:t xml:space="preserve"> </w:t>
      </w:r>
      <w:r w:rsidR="00B9289D">
        <w:t>The severity of</w:t>
      </w:r>
      <w:r w:rsidR="00B9289D" w:rsidRPr="00A01529">
        <w:t xml:space="preserve"> COVID-19 </w:t>
      </w:r>
      <w:r w:rsidR="00B9289D">
        <w:t xml:space="preserve">disease may also be linked to ADE </w:t>
      </w:r>
      <w:r w:rsidR="00B9289D" w:rsidRPr="00D843FA">
        <w:rPr>
          <w:b/>
          <w:bCs w:val="0"/>
        </w:rPr>
        <w:t>infectivity-enhancing antibodies</w:t>
      </w:r>
      <w:r w:rsidR="00B9289D">
        <w:t xml:space="preserve"> and </w:t>
      </w:r>
      <w:r w:rsidR="00D329AF">
        <w:t xml:space="preserve">is </w:t>
      </w:r>
      <w:r w:rsidR="00932B9F">
        <w:t xml:space="preserve">positively correlated with </w:t>
      </w:r>
      <w:r w:rsidR="00B9289D">
        <w:t>anti-spike protein antibody titer</w:t>
      </w:r>
      <w:r w:rsidR="00932B9F">
        <w:t>.</w:t>
      </w:r>
    </w:p>
    <w:p w14:paraId="21ECB1CA" w14:textId="0F5B9E34" w:rsidR="00B9289D" w:rsidRDefault="00B9289D" w:rsidP="004C5C79">
      <w:pPr>
        <w:pStyle w:val="Heading3"/>
      </w:pPr>
      <w:bookmarkStart w:id="51" w:name="_Toc121035124"/>
      <w:r>
        <w:t xml:space="preserve">The Biological </w:t>
      </w:r>
      <w:r w:rsidR="00A77013">
        <w:t>Features</w:t>
      </w:r>
      <w:r>
        <w:t xml:space="preserve"> Associated with </w:t>
      </w:r>
      <w:r w:rsidR="00D42CB9">
        <w:t xml:space="preserve">Antibody-Dependent Enhancement </w:t>
      </w:r>
      <w:r w:rsidR="00246A8B">
        <w:t xml:space="preserve">(ADE) </w:t>
      </w:r>
      <w:r w:rsidR="00D42CB9">
        <w:t>of Virus Infection</w:t>
      </w:r>
      <w:r>
        <w:t xml:space="preserve"> Mirror </w:t>
      </w:r>
      <w:r w:rsidR="00484E53">
        <w:t xml:space="preserve">Vaccine </w:t>
      </w:r>
      <w:r>
        <w:t>Surveillance Data</w:t>
      </w:r>
      <w:r w:rsidR="00D96CF5">
        <w:t xml:space="preserve"> Outcomes</w:t>
      </w:r>
      <w:r w:rsidR="00484E53">
        <w:t xml:space="preserve"> (Results Discussion)</w:t>
      </w:r>
      <w:bookmarkEnd w:id="51"/>
    </w:p>
    <w:p w14:paraId="16CA1B40" w14:textId="5E09AAB0" w:rsidR="00262666" w:rsidRPr="00521F14" w:rsidRDefault="00B4590B" w:rsidP="00932B9F">
      <w:pPr>
        <w:rPr>
          <w:szCs w:val="22"/>
        </w:rPr>
      </w:pPr>
      <w:r>
        <w:t>T</w:t>
      </w:r>
      <w:r w:rsidR="00932B9F">
        <w:t xml:space="preserve">he </w:t>
      </w:r>
      <w:r w:rsidR="00A01529">
        <w:t xml:space="preserve">ADE </w:t>
      </w:r>
      <w:r w:rsidR="00A01529" w:rsidRPr="00A01529">
        <w:t>time-</w:t>
      </w:r>
      <w:r w:rsidR="00962628">
        <w:t>dependency</w:t>
      </w:r>
      <w:r w:rsidR="00A01529" w:rsidRPr="00A01529">
        <w:t xml:space="preserve"> </w:t>
      </w:r>
      <w:r w:rsidR="003B4B01">
        <w:t>or</w:t>
      </w:r>
      <w:r w:rsidR="00A01529" w:rsidRPr="00A01529">
        <w:t xml:space="preserve"> antibody-concentration-dependen</w:t>
      </w:r>
      <w:r w:rsidR="00A01529">
        <w:t>cy</w:t>
      </w:r>
      <w:r w:rsidR="00787E1D">
        <w:t xml:space="preserve"> </w:t>
      </w:r>
      <w:r w:rsidR="00602195">
        <w:t>evident</w:t>
      </w:r>
      <w:r w:rsidR="00932B9F">
        <w:t xml:space="preserve"> in the biological science </w:t>
      </w:r>
      <w:r w:rsidR="00F80CE3">
        <w:t>(in-vitro/ex-vivo</w:t>
      </w:r>
      <w:r w:rsidR="00784354">
        <w:t xml:space="preserve"> data</w:t>
      </w:r>
      <w:r w:rsidR="00F80CE3">
        <w:t xml:space="preserve">) </w:t>
      </w:r>
      <w:r w:rsidR="00602195">
        <w:t>has</w:t>
      </w:r>
      <w:r w:rsidR="00EC5C5D">
        <w:t xml:space="preserve"> putatively</w:t>
      </w:r>
      <w:r w:rsidR="00602195">
        <w:t xml:space="preserve"> </w:t>
      </w:r>
      <w:r w:rsidR="00602195" w:rsidRPr="00FF72C4">
        <w:rPr>
          <w:b/>
          <w:bCs w:val="0"/>
        </w:rPr>
        <w:t>manifested itself</w:t>
      </w:r>
      <w:r w:rsidR="00787E1D">
        <w:t xml:space="preserve"> in the </w:t>
      </w:r>
      <w:r w:rsidR="00932B9F">
        <w:t xml:space="preserve">New Zealand, </w:t>
      </w:r>
      <w:r w:rsidR="00787E1D">
        <w:t xml:space="preserve">England, Scotland, </w:t>
      </w:r>
      <w:r w:rsidR="00932B9F">
        <w:t xml:space="preserve">and Canada </w:t>
      </w:r>
      <w:r w:rsidR="00787E1D">
        <w:t xml:space="preserve">healthcare agency </w:t>
      </w:r>
      <w:r w:rsidR="00784354">
        <w:t>COVID-19 infection</w:t>
      </w:r>
      <w:r w:rsidR="00444727">
        <w:t xml:space="preserve"> and</w:t>
      </w:r>
      <w:r w:rsidR="00784354">
        <w:t xml:space="preserve"> +/-death</w:t>
      </w:r>
      <w:r w:rsidR="00602195">
        <w:t xml:space="preserve"> </w:t>
      </w:r>
      <w:r w:rsidR="00787E1D">
        <w:t>data</w:t>
      </w:r>
      <w:r w:rsidR="00932B9F">
        <w:t xml:space="preserve"> </w:t>
      </w:r>
      <w:r w:rsidR="00F80CE3">
        <w:t>(in-vivo</w:t>
      </w:r>
      <w:r w:rsidR="00784354">
        <w:t xml:space="preserve"> data</w:t>
      </w:r>
      <w:r w:rsidR="00F80CE3">
        <w:t xml:space="preserve">) </w:t>
      </w:r>
      <w:r w:rsidR="00932B9F">
        <w:t xml:space="preserve">once </w:t>
      </w:r>
      <w:r w:rsidR="00784354">
        <w:t xml:space="preserve">rate </w:t>
      </w:r>
      <w:r w:rsidR="00932B9F">
        <w:t>bias</w:t>
      </w:r>
      <w:r w:rsidR="00784354">
        <w:t>es</w:t>
      </w:r>
      <w:r w:rsidR="00932B9F">
        <w:t xml:space="preserve"> </w:t>
      </w:r>
      <w:r w:rsidR="00784354">
        <w:t>are</w:t>
      </w:r>
      <w:r w:rsidR="00932B9F">
        <w:t xml:space="preserve"> removed</w:t>
      </w:r>
      <w:r w:rsidR="007E5E8D">
        <w:t xml:space="preserve"> from </w:t>
      </w:r>
      <w:r w:rsidR="00917A10">
        <w:t xml:space="preserve">the </w:t>
      </w:r>
      <w:r w:rsidR="007E5E8D">
        <w:t>calculable rates</w:t>
      </w:r>
      <w:r w:rsidR="00932B9F">
        <w:t xml:space="preserve">. This </w:t>
      </w:r>
      <w:r w:rsidR="0026768E">
        <w:t xml:space="preserve">negative vaccine effectiveness </w:t>
      </w:r>
      <w:r w:rsidR="00DB4153">
        <w:t>was</w:t>
      </w:r>
      <w:r w:rsidR="00932B9F">
        <w:t xml:space="preserve"> evidenced </w:t>
      </w:r>
      <w:r w:rsidR="00602195">
        <w:t xml:space="preserve">by </w:t>
      </w:r>
      <w:r w:rsidR="00932B9F">
        <w:t xml:space="preserve">negative absolute risk reduction </w:t>
      </w:r>
      <w:r w:rsidR="00784354">
        <w:t>(</w:t>
      </w:r>
      <w:r w:rsidR="00D843FA">
        <w:t xml:space="preserve">-ve </w:t>
      </w:r>
      <w:r w:rsidR="00784354">
        <w:t xml:space="preserve">ARR), </w:t>
      </w:r>
      <w:r w:rsidR="00932B9F">
        <w:t>rate ratios</w:t>
      </w:r>
      <w:r w:rsidR="00784354">
        <w:t xml:space="preserve"> &gt;1.0x (RR)</w:t>
      </w:r>
      <w:r w:rsidR="00602195">
        <w:t xml:space="preserve">, </w:t>
      </w:r>
      <w:r w:rsidR="00784354">
        <w:t>and statistically significant observed-v-expected proportion differences</w:t>
      </w:r>
      <w:r w:rsidR="00932B9F">
        <w:t xml:space="preserve">. </w:t>
      </w:r>
    </w:p>
    <w:p w14:paraId="0E0444ED" w14:textId="5D3263BD" w:rsidR="005549F0" w:rsidRDefault="00B4766D" w:rsidP="00AA4CD8">
      <w:r>
        <w:lastRenderedPageBreak/>
        <w:t>The</w:t>
      </w:r>
      <w:r w:rsidR="00521F14">
        <w:t xml:space="preserve"> negative vaccine effectiveness </w:t>
      </w:r>
      <w:r>
        <w:t>evident in the</w:t>
      </w:r>
      <w:r w:rsidR="00521F14">
        <w:t xml:space="preserve"> first-dose</w:t>
      </w:r>
      <w:r w:rsidR="00505172">
        <w:t>-</w:t>
      </w:r>
      <w:r w:rsidR="00521F14">
        <w:t xml:space="preserve">vaccinated </w:t>
      </w:r>
      <w:r w:rsidR="00893028">
        <w:t xml:space="preserve">COVID-19 infection </w:t>
      </w:r>
      <w:r w:rsidR="00505172">
        <w:t xml:space="preserve">rate ratios </w:t>
      </w:r>
      <w:r w:rsidR="00505172">
        <w:rPr>
          <w:szCs w:val="22"/>
        </w:rPr>
        <w:t xml:space="preserve">(i.e., New Zealand 1.5x, England 1.4x, Scotland 1.3x, and Canada </w:t>
      </w:r>
      <w:r w:rsidR="00505172" w:rsidRPr="00971D6F">
        <w:rPr>
          <w:szCs w:val="22"/>
        </w:rPr>
        <w:t>1.4</w:t>
      </w:r>
      <w:r w:rsidR="00505172">
        <w:rPr>
          <w:szCs w:val="22"/>
        </w:rPr>
        <w:t>x)</w:t>
      </w:r>
      <w:r>
        <w:rPr>
          <w:szCs w:val="22"/>
        </w:rPr>
        <w:t xml:space="preserve"> </w:t>
      </w:r>
      <w:r w:rsidR="00AA4CD8">
        <w:rPr>
          <w:szCs w:val="22"/>
        </w:rPr>
        <w:t>aligns with</w:t>
      </w:r>
      <w:r w:rsidR="00505172">
        <w:rPr>
          <w:szCs w:val="22"/>
        </w:rPr>
        <w:t xml:space="preserve"> the biological </w:t>
      </w:r>
      <w:r w:rsidR="00AA4CD8">
        <w:rPr>
          <w:szCs w:val="22"/>
        </w:rPr>
        <w:t>finding that</w:t>
      </w:r>
      <w:r w:rsidR="00505172">
        <w:rPr>
          <w:szCs w:val="22"/>
        </w:rPr>
        <w:t xml:space="preserve"> </w:t>
      </w:r>
      <w:r w:rsidR="00505172">
        <w:t xml:space="preserve">ADE of infection </w:t>
      </w:r>
      <w:r w:rsidR="00AA4CD8">
        <w:t>displays</w:t>
      </w:r>
      <w:r w:rsidR="00505172">
        <w:t xml:space="preserve"> an </w:t>
      </w:r>
      <w:r w:rsidR="00505172" w:rsidRPr="00A01529">
        <w:t>antibody-concentration-dependen</w:t>
      </w:r>
      <w:r w:rsidR="00505172">
        <w:t>cy</w:t>
      </w:r>
      <w:r w:rsidR="00AA4CD8">
        <w:t xml:space="preserve">. In other words, as vaccine-induced immunity </w:t>
      </w:r>
      <w:r w:rsidR="00414C38">
        <w:t>rises</w:t>
      </w:r>
      <w:r w:rsidR="00AA4CD8">
        <w:t xml:space="preserve"> but </w:t>
      </w:r>
      <w:r w:rsidR="00930F3B">
        <w:t>is</w:t>
      </w:r>
      <w:r w:rsidR="00AA4CD8">
        <w:t xml:space="preserve"> still sub-neutralizing</w:t>
      </w:r>
      <w:r w:rsidR="00CF1FE0">
        <w:t xml:space="preserve"> or below the </w:t>
      </w:r>
      <w:r w:rsidR="00CF1FE0">
        <w:rPr>
          <w:szCs w:val="22"/>
        </w:rPr>
        <w:t>ADE-neutralization threshold</w:t>
      </w:r>
      <w:r w:rsidR="00AA4CD8">
        <w:t xml:space="preserve">, </w:t>
      </w:r>
      <w:r w:rsidR="00930F3B">
        <w:t xml:space="preserve">the </w:t>
      </w:r>
      <w:r w:rsidR="00AA4CD8">
        <w:t xml:space="preserve">ADE putatively </w:t>
      </w:r>
      <w:r w:rsidR="00930F3B">
        <w:t>manifests</w:t>
      </w:r>
      <w:r>
        <w:t>.</w:t>
      </w:r>
      <w:r w:rsidR="00F80CE3">
        <w:t xml:space="preserve"> </w:t>
      </w:r>
      <w:r w:rsidR="002408C3">
        <w:t xml:space="preserve">The UKHSA data best shows how the second dose vaccine effectiveness </w:t>
      </w:r>
      <w:r w:rsidR="00F2011F">
        <w:t>(</w:t>
      </w:r>
      <w:r w:rsidR="00D843FA">
        <w:t>-</w:t>
      </w:r>
      <w:r w:rsidR="00F2011F">
        <w:t>ARR</w:t>
      </w:r>
      <w:r w:rsidR="00D843FA">
        <w:t>%</w:t>
      </w:r>
      <w:r w:rsidR="00F2011F">
        <w:t>, RR</w:t>
      </w:r>
      <w:r w:rsidR="00D843FA">
        <w:t>&gt;1.0</w:t>
      </w:r>
      <w:r w:rsidR="00F2011F">
        <w:t xml:space="preserve">) </w:t>
      </w:r>
      <w:r w:rsidR="002408C3">
        <w:t>steadily deteriorated over time across all demographics between report week 39 (26/09/2021)</w:t>
      </w:r>
      <w:r w:rsidR="005549F0">
        <w:rPr>
          <w:rStyle w:val="EndnoteReference"/>
        </w:rPr>
        <w:endnoteReference w:id="92"/>
      </w:r>
      <w:r w:rsidR="002408C3">
        <w:t xml:space="preserve"> and report week 2 (09/01/2022),</w:t>
      </w:r>
      <w:r w:rsidR="005549F0">
        <w:rPr>
          <w:rStyle w:val="EndnoteReference"/>
        </w:rPr>
        <w:endnoteReference w:id="93"/>
      </w:r>
      <w:r w:rsidR="002408C3">
        <w:t xml:space="preserve"> which was putatively associated with rapidly waning vaccine-induced immunity</w:t>
      </w:r>
      <w:r w:rsidR="00C160CA">
        <w:t xml:space="preserve"> and </w:t>
      </w:r>
      <w:r w:rsidR="00D843FA">
        <w:t xml:space="preserve">the </w:t>
      </w:r>
      <w:r w:rsidR="00C160CA">
        <w:t>emergence of the antigenically distinct Omicron</w:t>
      </w:r>
      <w:r w:rsidR="00962628">
        <w:t xml:space="preserve"> strain</w:t>
      </w:r>
      <w:r w:rsidR="002408C3">
        <w:t xml:space="preserve">. </w:t>
      </w:r>
      <w:r w:rsidR="00C160CA">
        <w:t xml:space="preserve">These waning two-dose results putatively evidence the </w:t>
      </w:r>
      <w:r w:rsidR="00C160CA" w:rsidRPr="008136C4">
        <w:t>time- and antibody-concentration-dependency</w:t>
      </w:r>
      <w:r w:rsidR="00C160CA" w:rsidRPr="00F80CE3">
        <w:t xml:space="preserve"> </w:t>
      </w:r>
      <w:r w:rsidR="00C160CA">
        <w:t xml:space="preserve">of </w:t>
      </w:r>
      <w:r w:rsidR="00C160CA" w:rsidRPr="008136C4">
        <w:t>ADE of infection</w:t>
      </w:r>
      <w:r w:rsidR="00C160CA">
        <w:t xml:space="preserve">. </w:t>
      </w:r>
      <w:r w:rsidR="00893028">
        <w:t>All COVID-19 infection</w:t>
      </w:r>
      <w:r>
        <w:t xml:space="preserve"> rate ratios improve</w:t>
      </w:r>
      <w:r w:rsidR="00D96CF5">
        <w:t>d</w:t>
      </w:r>
      <w:r>
        <w:t xml:space="preserve"> between the second and third dose</w:t>
      </w:r>
      <w:r w:rsidR="00D96CF5">
        <w:t>s</w:t>
      </w:r>
      <w:r>
        <w:t xml:space="preserve"> (i.e., </w:t>
      </w:r>
      <w:r w:rsidR="00D96CF5">
        <w:t>New Zealand</w:t>
      </w:r>
      <w:r w:rsidR="008136C4">
        <w:t xml:space="preserve"> 2.0x</w:t>
      </w:r>
      <w:r w:rsidR="008136C4">
        <w:sym w:font="Symbol" w:char="F0AE"/>
      </w:r>
      <w:r w:rsidR="008136C4">
        <w:t>1.5x</w:t>
      </w:r>
      <w:r w:rsidR="00D96CF5">
        <w:t>, England</w:t>
      </w:r>
      <w:r w:rsidR="008136C4">
        <w:t xml:space="preserve"> </w:t>
      </w:r>
      <w:r w:rsidR="008136C4">
        <w:rPr>
          <w:szCs w:val="22"/>
        </w:rPr>
        <w:t>18-59 years</w:t>
      </w:r>
      <w:r w:rsidR="008136C4">
        <w:t xml:space="preserve"> 3.5x</w:t>
      </w:r>
      <w:r w:rsidR="008136C4">
        <w:sym w:font="Symbol" w:char="F0AE"/>
      </w:r>
      <w:r w:rsidR="008136C4">
        <w:t xml:space="preserve">1.4x and </w:t>
      </w:r>
      <w:r w:rsidR="008136C4">
        <w:rPr>
          <w:szCs w:val="22"/>
        </w:rPr>
        <w:sym w:font="Symbol" w:char="F0B3"/>
      </w:r>
      <w:r w:rsidR="008136C4">
        <w:rPr>
          <w:szCs w:val="22"/>
        </w:rPr>
        <w:t>60 years 10.1x</w:t>
      </w:r>
      <w:r w:rsidR="008136C4">
        <w:sym w:font="Symbol" w:char="F0AE"/>
      </w:r>
      <w:r w:rsidR="008136C4">
        <w:t>1.5x</w:t>
      </w:r>
      <w:r w:rsidR="00D96CF5">
        <w:t xml:space="preserve">, </w:t>
      </w:r>
      <w:r w:rsidR="008136C4">
        <w:t xml:space="preserve">and </w:t>
      </w:r>
      <w:r w:rsidR="00D96CF5">
        <w:t>Scotland</w:t>
      </w:r>
      <w:r w:rsidR="008136C4">
        <w:t xml:space="preserve"> 1.7x</w:t>
      </w:r>
      <w:r w:rsidR="008136C4">
        <w:sym w:font="Symbol" w:char="F0AE"/>
      </w:r>
      <w:r w:rsidR="00F80CE3" w:rsidRPr="000663F8">
        <w:rPr>
          <w:rFonts w:cs="Times New Roman"/>
        </w:rPr>
        <w:t>0.74x</w:t>
      </w:r>
      <w:r w:rsidR="00D96CF5">
        <w:t xml:space="preserve">) indicating the negative vaccine effectiveness was </w:t>
      </w:r>
      <w:r w:rsidR="00D96CF5" w:rsidRPr="00FF72C4">
        <w:rPr>
          <w:b/>
          <w:bCs w:val="0"/>
        </w:rPr>
        <w:t>ameliorated</w:t>
      </w:r>
      <w:r w:rsidR="00F80CE3">
        <w:t xml:space="preserve"> with the third-dose</w:t>
      </w:r>
      <w:r w:rsidR="005549F0">
        <w:t>. This amelioration</w:t>
      </w:r>
      <w:r w:rsidR="00930F3B">
        <w:t xml:space="preserve"> supports</w:t>
      </w:r>
      <w:r w:rsidR="005549F0">
        <w:t xml:space="preserve"> the </w:t>
      </w:r>
      <w:r w:rsidR="005549F0" w:rsidRPr="008136C4">
        <w:t>antibody-concentration-dependency</w:t>
      </w:r>
      <w:r w:rsidR="005549F0" w:rsidRPr="00F80CE3">
        <w:t xml:space="preserve"> </w:t>
      </w:r>
      <w:r w:rsidR="005549F0">
        <w:t xml:space="preserve">phenomenon of </w:t>
      </w:r>
      <w:r w:rsidR="005549F0" w:rsidRPr="008136C4">
        <w:t>ADE</w:t>
      </w:r>
      <w:r w:rsidR="005549F0">
        <w:t xml:space="preserve">. </w:t>
      </w:r>
      <w:r w:rsidR="00C160CA">
        <w:t xml:space="preserve">In other words, the third dose </w:t>
      </w:r>
      <w:r w:rsidR="00B46C26">
        <w:t xml:space="preserve">boosted </w:t>
      </w:r>
      <w:r w:rsidR="005549F0">
        <w:t xml:space="preserve">neutralizing </w:t>
      </w:r>
      <w:r w:rsidR="00B46C26">
        <w:t xml:space="preserve">antibody levels from below their sub-neutralizing </w:t>
      </w:r>
      <w:r w:rsidR="00CF1FE0">
        <w:t xml:space="preserve">levels </w:t>
      </w:r>
      <w:r w:rsidR="003D0878">
        <w:t xml:space="preserve">to </w:t>
      </w:r>
      <w:r w:rsidR="005549F0">
        <w:t xml:space="preserve">back above </w:t>
      </w:r>
      <w:r w:rsidR="00276105">
        <w:t xml:space="preserve">the </w:t>
      </w:r>
      <w:r w:rsidR="00CF1FE0">
        <w:rPr>
          <w:szCs w:val="22"/>
        </w:rPr>
        <w:t xml:space="preserve">ADE-neutralization </w:t>
      </w:r>
      <w:r w:rsidR="005549F0">
        <w:t xml:space="preserve">threshold. </w:t>
      </w:r>
    </w:p>
    <w:p w14:paraId="5CEC6C3B" w14:textId="48A3F4E1" w:rsidR="00A93003" w:rsidRDefault="00835D07" w:rsidP="00C84E7E">
      <w:pPr>
        <w:rPr>
          <w:szCs w:val="22"/>
        </w:rPr>
      </w:pPr>
      <w:r w:rsidRPr="000140E6">
        <w:rPr>
          <w:szCs w:val="22"/>
        </w:rPr>
        <w:t xml:space="preserve">The </w:t>
      </w:r>
      <w:r w:rsidR="00377AD8">
        <w:rPr>
          <w:szCs w:val="22"/>
        </w:rPr>
        <w:t xml:space="preserve">England </w:t>
      </w:r>
      <w:r w:rsidRPr="000140E6">
        <w:rPr>
          <w:szCs w:val="22"/>
        </w:rPr>
        <w:t>elderly vaccinated (1-3 doses)</w:t>
      </w:r>
      <w:r w:rsidR="00414C38">
        <w:rPr>
          <w:szCs w:val="22"/>
        </w:rPr>
        <w:t>,</w:t>
      </w:r>
      <w:r w:rsidRPr="000140E6">
        <w:rPr>
          <w:szCs w:val="22"/>
        </w:rPr>
        <w:t xml:space="preserve"> </w:t>
      </w:r>
      <w:r w:rsidR="00A25410">
        <w:rPr>
          <w:szCs w:val="22"/>
        </w:rPr>
        <w:t xml:space="preserve">who </w:t>
      </w:r>
      <w:r w:rsidRPr="000140E6">
        <w:rPr>
          <w:szCs w:val="22"/>
        </w:rPr>
        <w:t xml:space="preserve">accounted for </w:t>
      </w:r>
      <w:r w:rsidR="002A5DC1">
        <w:rPr>
          <w:szCs w:val="22"/>
        </w:rPr>
        <w:t>the largest majority of</w:t>
      </w:r>
      <w:r w:rsidRPr="000140E6">
        <w:rPr>
          <w:szCs w:val="22"/>
        </w:rPr>
        <w:t xml:space="preserve"> </w:t>
      </w:r>
      <w:r w:rsidR="00FF72C4">
        <w:rPr>
          <w:szCs w:val="22"/>
        </w:rPr>
        <w:t xml:space="preserve">all </w:t>
      </w:r>
      <w:r w:rsidRPr="000140E6">
        <w:rPr>
          <w:szCs w:val="22"/>
        </w:rPr>
        <w:t>COVID-19 deaths</w:t>
      </w:r>
      <w:r w:rsidR="002A5DC1">
        <w:rPr>
          <w:szCs w:val="22"/>
        </w:rPr>
        <w:t xml:space="preserve"> (77%)</w:t>
      </w:r>
      <w:r>
        <w:rPr>
          <w:szCs w:val="22"/>
        </w:rPr>
        <w:t xml:space="preserve"> </w:t>
      </w:r>
      <w:r w:rsidR="002A5DC1">
        <w:rPr>
          <w:szCs w:val="22"/>
        </w:rPr>
        <w:t>and hospitalizations (46%)</w:t>
      </w:r>
      <w:r w:rsidR="00414C38">
        <w:rPr>
          <w:szCs w:val="22"/>
        </w:rPr>
        <w:t>,</w:t>
      </w:r>
      <w:r w:rsidRPr="000140E6">
        <w:rPr>
          <w:szCs w:val="22"/>
        </w:rPr>
        <w:t xml:space="preserve"> </w:t>
      </w:r>
      <w:r w:rsidR="00A85844">
        <w:rPr>
          <w:szCs w:val="22"/>
        </w:rPr>
        <w:t xml:space="preserve">highlight </w:t>
      </w:r>
      <w:r w:rsidR="00414C38">
        <w:rPr>
          <w:szCs w:val="22"/>
        </w:rPr>
        <w:t>several</w:t>
      </w:r>
      <w:r w:rsidR="00A25410">
        <w:rPr>
          <w:szCs w:val="22"/>
        </w:rPr>
        <w:t xml:space="preserve"> interesting </w:t>
      </w:r>
      <w:r w:rsidR="00377AD8">
        <w:rPr>
          <w:szCs w:val="22"/>
        </w:rPr>
        <w:t xml:space="preserve">ADE-like </w:t>
      </w:r>
      <w:r w:rsidR="00A25410">
        <w:rPr>
          <w:szCs w:val="22"/>
        </w:rPr>
        <w:t xml:space="preserve">phenomena. Firstly, </w:t>
      </w:r>
      <w:r w:rsidR="00A85844">
        <w:rPr>
          <w:szCs w:val="22"/>
        </w:rPr>
        <w:t xml:space="preserve">the </w:t>
      </w:r>
      <w:r w:rsidR="00A25410">
        <w:rPr>
          <w:szCs w:val="22"/>
        </w:rPr>
        <w:t>first dose</w:t>
      </w:r>
      <w:r w:rsidR="00A85844">
        <w:rPr>
          <w:szCs w:val="22"/>
        </w:rPr>
        <w:t xml:space="preserve"> </w:t>
      </w:r>
      <w:r w:rsidR="00A25410">
        <w:rPr>
          <w:szCs w:val="22"/>
        </w:rPr>
        <w:t xml:space="preserve">demonstrated negative vaccine effectiveness </w:t>
      </w:r>
      <w:r w:rsidR="00A85844">
        <w:rPr>
          <w:szCs w:val="22"/>
        </w:rPr>
        <w:t>(</w:t>
      </w:r>
      <w:r w:rsidR="002A5DC1">
        <w:rPr>
          <w:szCs w:val="22"/>
        </w:rPr>
        <w:t>Death: RR</w:t>
      </w:r>
      <w:r w:rsidR="003F69DE">
        <w:rPr>
          <w:szCs w:val="22"/>
        </w:rPr>
        <w:t xml:space="preserve"> </w:t>
      </w:r>
      <w:r w:rsidR="00A85844">
        <w:rPr>
          <w:szCs w:val="22"/>
        </w:rPr>
        <w:t>1.2x</w:t>
      </w:r>
      <w:r w:rsidR="003F69DE">
        <w:rPr>
          <w:szCs w:val="22"/>
        </w:rPr>
        <w:t>, ARR -0.048%</w:t>
      </w:r>
      <w:r w:rsidR="002A5DC1">
        <w:rPr>
          <w:szCs w:val="22"/>
        </w:rPr>
        <w:t xml:space="preserve">, Hospitalization: RR 1.1x, ARR% </w:t>
      </w:r>
      <w:r w:rsidR="002B2618">
        <w:rPr>
          <w:szCs w:val="22"/>
        </w:rPr>
        <w:t>-0.028%</w:t>
      </w:r>
      <w:r w:rsidR="00A85844">
        <w:rPr>
          <w:szCs w:val="22"/>
        </w:rPr>
        <w:t xml:space="preserve">), </w:t>
      </w:r>
      <w:r w:rsidR="00A25410">
        <w:rPr>
          <w:szCs w:val="22"/>
        </w:rPr>
        <w:t>which</w:t>
      </w:r>
      <w:r w:rsidR="00A85844">
        <w:rPr>
          <w:szCs w:val="22"/>
        </w:rPr>
        <w:t xml:space="preserve"> deteriorated </w:t>
      </w:r>
      <w:r w:rsidR="002B2618">
        <w:rPr>
          <w:szCs w:val="22"/>
        </w:rPr>
        <w:t xml:space="preserve">approximately 10-fold-plus </w:t>
      </w:r>
      <w:r w:rsidR="008E0D66">
        <w:rPr>
          <w:szCs w:val="22"/>
        </w:rPr>
        <w:t>in</w:t>
      </w:r>
      <w:r w:rsidR="00A85844">
        <w:rPr>
          <w:szCs w:val="22"/>
        </w:rPr>
        <w:t xml:space="preserve"> the 2-dose </w:t>
      </w:r>
      <w:r w:rsidR="00A25410">
        <w:rPr>
          <w:szCs w:val="22"/>
        </w:rPr>
        <w:t xml:space="preserve">elderly vaccinated </w:t>
      </w:r>
      <w:r w:rsidR="00A85844">
        <w:rPr>
          <w:szCs w:val="22"/>
        </w:rPr>
        <w:t>(</w:t>
      </w:r>
      <w:r w:rsidR="002A5DC1">
        <w:rPr>
          <w:szCs w:val="22"/>
        </w:rPr>
        <w:t xml:space="preserve">Death: </w:t>
      </w:r>
      <w:r w:rsidR="003F69DE">
        <w:rPr>
          <w:szCs w:val="22"/>
        </w:rPr>
        <w:t xml:space="preserve">RR </w:t>
      </w:r>
      <w:r w:rsidR="00A85844">
        <w:rPr>
          <w:szCs w:val="22"/>
        </w:rPr>
        <w:t>2.7x</w:t>
      </w:r>
      <w:r w:rsidR="003F69DE">
        <w:rPr>
          <w:szCs w:val="22"/>
        </w:rPr>
        <w:t>, ARR -0.45%</w:t>
      </w:r>
      <w:r w:rsidR="002A5DC1">
        <w:rPr>
          <w:szCs w:val="22"/>
        </w:rPr>
        <w:t>, Hospitalization: RR 2.1x, ARR%</w:t>
      </w:r>
      <w:r w:rsidR="002B2618">
        <w:rPr>
          <w:szCs w:val="22"/>
        </w:rPr>
        <w:t xml:space="preserve"> -0.53%</w:t>
      </w:r>
      <w:r w:rsidR="00A85844">
        <w:rPr>
          <w:szCs w:val="22"/>
        </w:rPr>
        <w:t>)</w:t>
      </w:r>
      <w:r w:rsidR="00A25410">
        <w:rPr>
          <w:szCs w:val="22"/>
        </w:rPr>
        <w:t xml:space="preserve">. Given the </w:t>
      </w:r>
      <w:r w:rsidR="00414C38">
        <w:rPr>
          <w:szCs w:val="22"/>
        </w:rPr>
        <w:t>analysis period</w:t>
      </w:r>
      <w:r w:rsidR="00893028">
        <w:rPr>
          <w:szCs w:val="22"/>
        </w:rPr>
        <w:t xml:space="preserve"> (i.e., Omicron wave, 1-3-doses)</w:t>
      </w:r>
      <w:r w:rsidR="00A25410">
        <w:rPr>
          <w:szCs w:val="22"/>
        </w:rPr>
        <w:t xml:space="preserve">, this 2-dose data </w:t>
      </w:r>
      <w:r w:rsidR="00825177">
        <w:rPr>
          <w:szCs w:val="22"/>
        </w:rPr>
        <w:t xml:space="preserve">putatively </w:t>
      </w:r>
      <w:r w:rsidR="00A25410">
        <w:rPr>
          <w:szCs w:val="22"/>
        </w:rPr>
        <w:t>proxied wan</w:t>
      </w:r>
      <w:r w:rsidR="00F2011F">
        <w:rPr>
          <w:szCs w:val="22"/>
        </w:rPr>
        <w:t>ing</w:t>
      </w:r>
      <w:r w:rsidR="00A25410">
        <w:rPr>
          <w:szCs w:val="22"/>
        </w:rPr>
        <w:t xml:space="preserve"> immunity</w:t>
      </w:r>
      <w:r w:rsidR="00F44ADB">
        <w:rPr>
          <w:szCs w:val="22"/>
        </w:rPr>
        <w:t xml:space="preserve">. Secondly, </w:t>
      </w:r>
      <w:r w:rsidR="00825177">
        <w:rPr>
          <w:szCs w:val="22"/>
        </w:rPr>
        <w:t>a third dose ameliorated this</w:t>
      </w:r>
      <w:r w:rsidR="007C3726">
        <w:rPr>
          <w:szCs w:val="22"/>
        </w:rPr>
        <w:t xml:space="preserve"> </w:t>
      </w:r>
      <w:r w:rsidR="00F44ADB">
        <w:rPr>
          <w:szCs w:val="22"/>
        </w:rPr>
        <w:t xml:space="preserve">two-dose negative vaccine effectiveness </w:t>
      </w:r>
      <w:r w:rsidR="00244132">
        <w:rPr>
          <w:szCs w:val="22"/>
        </w:rPr>
        <w:t xml:space="preserve">by </w:t>
      </w:r>
      <w:r w:rsidR="00F44ADB">
        <w:rPr>
          <w:szCs w:val="22"/>
        </w:rPr>
        <w:t xml:space="preserve">putatively </w:t>
      </w:r>
      <w:r w:rsidR="00893028">
        <w:rPr>
          <w:szCs w:val="22"/>
        </w:rPr>
        <w:t>bringing antibody levels above the ADE-neutralization threshold</w:t>
      </w:r>
      <w:r w:rsidR="00A25410">
        <w:rPr>
          <w:szCs w:val="22"/>
        </w:rPr>
        <w:t xml:space="preserve"> </w:t>
      </w:r>
      <w:r w:rsidR="00A85844">
        <w:rPr>
          <w:szCs w:val="22"/>
        </w:rPr>
        <w:t>(</w:t>
      </w:r>
      <w:r w:rsidR="002A5DC1">
        <w:rPr>
          <w:szCs w:val="22"/>
        </w:rPr>
        <w:t xml:space="preserve">Death: </w:t>
      </w:r>
      <w:r w:rsidR="003F69DE">
        <w:rPr>
          <w:szCs w:val="22"/>
        </w:rPr>
        <w:t xml:space="preserve">RR </w:t>
      </w:r>
      <w:r w:rsidR="00A85844">
        <w:rPr>
          <w:szCs w:val="22"/>
        </w:rPr>
        <w:t>0.2x</w:t>
      </w:r>
      <w:r w:rsidR="003F69DE">
        <w:rPr>
          <w:szCs w:val="22"/>
        </w:rPr>
        <w:t>, ARR +0.22%</w:t>
      </w:r>
      <w:r w:rsidR="002A5DC1">
        <w:rPr>
          <w:szCs w:val="22"/>
        </w:rPr>
        <w:t xml:space="preserve">, Hospitalization: RR 0.2x, ARR% </w:t>
      </w:r>
      <w:r w:rsidR="002B2618">
        <w:rPr>
          <w:szCs w:val="22"/>
        </w:rPr>
        <w:t>+0.36%</w:t>
      </w:r>
      <w:r w:rsidR="00A85844">
        <w:rPr>
          <w:szCs w:val="22"/>
        </w:rPr>
        <w:t>)</w:t>
      </w:r>
      <w:r w:rsidR="003F69DE">
        <w:rPr>
          <w:szCs w:val="22"/>
        </w:rPr>
        <w:t>.</w:t>
      </w:r>
      <w:r w:rsidR="00A25410" w:rsidRPr="00A25410">
        <w:rPr>
          <w:szCs w:val="22"/>
        </w:rPr>
        <w:t xml:space="preserve"> </w:t>
      </w:r>
      <w:r w:rsidR="008E0D66" w:rsidRPr="008E0D66">
        <w:rPr>
          <w:szCs w:val="22"/>
        </w:rPr>
        <w:t>This third dose amelioration phenomenon was also apparent in the Scotland data, in which the two-dose rate ratio (1.9x) improved with a third dose</w:t>
      </w:r>
      <w:r w:rsidR="00F67CBF">
        <w:rPr>
          <w:szCs w:val="22"/>
        </w:rPr>
        <w:t xml:space="preserve"> </w:t>
      </w:r>
      <w:r w:rsidR="00F67CBF" w:rsidRPr="008E0D66">
        <w:rPr>
          <w:szCs w:val="22"/>
        </w:rPr>
        <w:t>(1.2x)</w:t>
      </w:r>
      <w:r w:rsidR="00414C38">
        <w:rPr>
          <w:szCs w:val="22"/>
        </w:rPr>
        <w:t>. However,</w:t>
      </w:r>
      <w:r w:rsidR="008E0D66">
        <w:rPr>
          <w:szCs w:val="22"/>
        </w:rPr>
        <w:t xml:space="preserve"> this was </w:t>
      </w:r>
      <w:r w:rsidR="00F44ADB">
        <w:rPr>
          <w:szCs w:val="22"/>
        </w:rPr>
        <w:t xml:space="preserve">still </w:t>
      </w:r>
      <w:r w:rsidR="008E0D66">
        <w:rPr>
          <w:szCs w:val="22"/>
        </w:rPr>
        <w:t xml:space="preserve">insufficient to convert a negative </w:t>
      </w:r>
      <w:r w:rsidR="00F44ADB">
        <w:rPr>
          <w:szCs w:val="22"/>
        </w:rPr>
        <w:t>in</w:t>
      </w:r>
      <w:r w:rsidR="008E0D66">
        <w:rPr>
          <w:szCs w:val="22"/>
        </w:rPr>
        <w:t>to</w:t>
      </w:r>
      <w:r w:rsidR="00F44ADB">
        <w:rPr>
          <w:szCs w:val="22"/>
        </w:rPr>
        <w:t xml:space="preserve"> </w:t>
      </w:r>
      <w:r w:rsidR="008E0D66">
        <w:rPr>
          <w:szCs w:val="22"/>
        </w:rPr>
        <w:t>positive vaccine effectiveness at the whole population level</w:t>
      </w:r>
      <w:r w:rsidR="008E0D66" w:rsidRPr="008E0D66">
        <w:rPr>
          <w:szCs w:val="22"/>
        </w:rPr>
        <w:t xml:space="preserve">. </w:t>
      </w:r>
    </w:p>
    <w:p w14:paraId="32FD1844" w14:textId="02B2CE49" w:rsidR="009E2C0A" w:rsidRPr="00AB0F53" w:rsidRDefault="00414C38" w:rsidP="009E2C0A">
      <w:pPr>
        <w:rPr>
          <w:szCs w:val="22"/>
        </w:rPr>
      </w:pPr>
      <w:r>
        <w:rPr>
          <w:szCs w:val="22"/>
        </w:rPr>
        <w:t>This</w:t>
      </w:r>
      <w:r w:rsidR="009E2C0A">
        <w:rPr>
          <w:szCs w:val="22"/>
        </w:rPr>
        <w:t xml:space="preserve"> UKHSA </w:t>
      </w:r>
      <w:r w:rsidR="00AE0EF4">
        <w:rPr>
          <w:szCs w:val="22"/>
        </w:rPr>
        <w:t xml:space="preserve">COVID-19 death and hospitalization </w:t>
      </w:r>
      <w:r w:rsidR="009E2C0A">
        <w:rPr>
          <w:szCs w:val="22"/>
        </w:rPr>
        <w:t xml:space="preserve">data </w:t>
      </w:r>
      <w:r w:rsidR="0026768E">
        <w:rPr>
          <w:szCs w:val="22"/>
        </w:rPr>
        <w:t xml:space="preserve">also </w:t>
      </w:r>
      <w:r w:rsidR="00AE0EF4">
        <w:t>feature</w:t>
      </w:r>
      <w:r w:rsidR="009E2C0A">
        <w:t xml:space="preserve"> a time-dependency </w:t>
      </w:r>
      <w:r w:rsidR="00AE0EF4">
        <w:t>or</w:t>
      </w:r>
      <w:r w:rsidR="00BD4205">
        <w:t xml:space="preserve"> concentration-dependency </w:t>
      </w:r>
      <w:r w:rsidR="009E2C0A">
        <w:t xml:space="preserve">phenomenon </w:t>
      </w:r>
      <w:r w:rsidR="00BD4205">
        <w:t>associated with</w:t>
      </w:r>
      <w:r w:rsidR="009E2C0A">
        <w:t xml:space="preserve"> the short first-dose period </w:t>
      </w:r>
      <w:r w:rsidR="00BD4205">
        <w:t>(</w:t>
      </w:r>
      <w:r w:rsidR="004A0625">
        <w:t xml:space="preserve">i.e., </w:t>
      </w:r>
      <w:r w:rsidR="00BD4205">
        <w:t xml:space="preserve">concentration-dependent) </w:t>
      </w:r>
      <w:r w:rsidR="009E2C0A">
        <w:t xml:space="preserve">or </w:t>
      </w:r>
      <w:r w:rsidR="00AE0EF4">
        <w:t xml:space="preserve">associated with </w:t>
      </w:r>
      <w:r w:rsidR="009E2C0A">
        <w:t>waned immunity in those who failed to complete the</w:t>
      </w:r>
      <w:r w:rsidR="00AE0EF4">
        <w:t>ir</w:t>
      </w:r>
      <w:r w:rsidR="009E2C0A">
        <w:t xml:space="preserve"> primary vaccination and with the two-dose </w:t>
      </w:r>
      <w:r w:rsidR="00AE0EF4">
        <w:t>vaccinated</w:t>
      </w:r>
      <w:r w:rsidR="00BD4205">
        <w:t xml:space="preserve"> (</w:t>
      </w:r>
      <w:r w:rsidR="004A0625">
        <w:t xml:space="preserve">i.e., </w:t>
      </w:r>
      <w:r w:rsidR="00BD4205">
        <w:t>time-/concentration-dependent)</w:t>
      </w:r>
      <w:r w:rsidR="009E2C0A">
        <w:t>. Th</w:t>
      </w:r>
      <w:r w:rsidR="00AE0EF4">
        <w:t>e</w:t>
      </w:r>
      <w:r w:rsidR="009E2C0A">
        <w:t xml:space="preserve"> UKHSA </w:t>
      </w:r>
      <w:r w:rsidR="00AE0EF4">
        <w:rPr>
          <w:szCs w:val="22"/>
        </w:rPr>
        <w:t>COVID-19 death and hospitalization</w:t>
      </w:r>
      <w:r w:rsidR="004A0625">
        <w:rPr>
          <w:szCs w:val="22"/>
        </w:rPr>
        <w:t xml:space="preserve"> data</w:t>
      </w:r>
      <w:r w:rsidR="00F44ADB">
        <w:rPr>
          <w:szCs w:val="22"/>
        </w:rPr>
        <w:t>,</w:t>
      </w:r>
      <w:r w:rsidR="00AE0EF4">
        <w:rPr>
          <w:szCs w:val="22"/>
        </w:rPr>
        <w:t xml:space="preserve"> </w:t>
      </w:r>
      <w:r w:rsidR="00F44ADB">
        <w:t xml:space="preserve">and PHS </w:t>
      </w:r>
      <w:r w:rsidR="00F44ADB">
        <w:rPr>
          <w:szCs w:val="22"/>
        </w:rPr>
        <w:t xml:space="preserve">COVID-19 death </w:t>
      </w:r>
      <w:r w:rsidR="009E2C0A">
        <w:t>data</w:t>
      </w:r>
      <w:r w:rsidR="00F44ADB">
        <w:t>,</w:t>
      </w:r>
      <w:r w:rsidR="009E2C0A">
        <w:t xml:space="preserve"> also </w:t>
      </w:r>
      <w:r w:rsidR="00AB0F53">
        <w:t>highlight</w:t>
      </w:r>
      <w:r w:rsidR="009E2C0A">
        <w:t xml:space="preserve"> a </w:t>
      </w:r>
      <w:r w:rsidR="009E2C0A">
        <w:rPr>
          <w:szCs w:val="22"/>
        </w:rPr>
        <w:t xml:space="preserve">third-dose amelioration </w:t>
      </w:r>
      <w:r w:rsidR="00F44ADB">
        <w:t>(</w:t>
      </w:r>
      <w:r w:rsidR="004A0625">
        <w:t xml:space="preserve">i.e., </w:t>
      </w:r>
      <w:r w:rsidR="00F44ADB">
        <w:t xml:space="preserve">concentration-dependent) </w:t>
      </w:r>
      <w:r w:rsidR="009E2C0A">
        <w:rPr>
          <w:szCs w:val="22"/>
        </w:rPr>
        <w:t>effect</w:t>
      </w:r>
      <w:r w:rsidR="00BD4205">
        <w:rPr>
          <w:szCs w:val="22"/>
        </w:rPr>
        <w:t xml:space="preserve"> in COVID-19 death</w:t>
      </w:r>
      <w:r w:rsidR="00AB0F53">
        <w:rPr>
          <w:szCs w:val="22"/>
        </w:rPr>
        <w:t xml:space="preserve"> rates</w:t>
      </w:r>
      <w:r w:rsidR="00BD4205">
        <w:rPr>
          <w:szCs w:val="22"/>
        </w:rPr>
        <w:t xml:space="preserve"> compared </w:t>
      </w:r>
      <w:r w:rsidR="00AE0EF4">
        <w:rPr>
          <w:szCs w:val="22"/>
        </w:rPr>
        <w:t>with</w:t>
      </w:r>
      <w:r w:rsidR="00BD4205">
        <w:rPr>
          <w:szCs w:val="22"/>
        </w:rPr>
        <w:t xml:space="preserve"> the two-dose</w:t>
      </w:r>
      <w:r w:rsidR="00AB0F53">
        <w:rPr>
          <w:szCs w:val="22"/>
        </w:rPr>
        <w:t xml:space="preserve"> rates.</w:t>
      </w:r>
      <w:r w:rsidR="00AE0EF4">
        <w:rPr>
          <w:szCs w:val="22"/>
        </w:rPr>
        <w:t xml:space="preserve"> </w:t>
      </w:r>
      <w:r w:rsidR="009E2C0A">
        <w:rPr>
          <w:szCs w:val="22"/>
        </w:rPr>
        <w:t xml:space="preserve">Both time-dependency and amelioration phenomena could </w:t>
      </w:r>
      <w:r w:rsidR="00AB0F53">
        <w:rPr>
          <w:szCs w:val="22"/>
        </w:rPr>
        <w:t>indicate</w:t>
      </w:r>
      <w:r w:rsidR="009E2C0A">
        <w:rPr>
          <w:szCs w:val="22"/>
        </w:rPr>
        <w:t xml:space="preserve"> the </w:t>
      </w:r>
      <w:r w:rsidR="00AB0F53">
        <w:rPr>
          <w:szCs w:val="22"/>
        </w:rPr>
        <w:t xml:space="preserve">impact of </w:t>
      </w:r>
      <w:r w:rsidR="009E2C0A">
        <w:rPr>
          <w:szCs w:val="22"/>
        </w:rPr>
        <w:t>antibody concentration</w:t>
      </w:r>
      <w:r w:rsidR="00AB0F53">
        <w:rPr>
          <w:szCs w:val="22"/>
        </w:rPr>
        <w:t xml:space="preserve">s relative to </w:t>
      </w:r>
      <w:r w:rsidR="001F6B61">
        <w:rPr>
          <w:szCs w:val="22"/>
        </w:rPr>
        <w:t>a</w:t>
      </w:r>
      <w:r w:rsidR="004A0625">
        <w:rPr>
          <w:szCs w:val="22"/>
        </w:rPr>
        <w:t xml:space="preserve"> putative</w:t>
      </w:r>
      <w:r w:rsidR="001F6B61">
        <w:rPr>
          <w:szCs w:val="22"/>
        </w:rPr>
        <w:t xml:space="preserve"> </w:t>
      </w:r>
      <w:r w:rsidR="00AB0F53">
        <w:rPr>
          <w:szCs w:val="22"/>
        </w:rPr>
        <w:t>ADE-neutralization threshold</w:t>
      </w:r>
      <w:r>
        <w:rPr>
          <w:szCs w:val="22"/>
        </w:rPr>
        <w:t>,</w:t>
      </w:r>
      <w:r w:rsidR="00AB0F53">
        <w:rPr>
          <w:szCs w:val="22"/>
        </w:rPr>
        <w:t xml:space="preserve"> </w:t>
      </w:r>
      <w:r w:rsidR="001F6B61">
        <w:rPr>
          <w:szCs w:val="22"/>
        </w:rPr>
        <w:t xml:space="preserve">as </w:t>
      </w:r>
      <w:r w:rsidR="004A0625">
        <w:rPr>
          <w:szCs w:val="22"/>
        </w:rPr>
        <w:t>discussed</w:t>
      </w:r>
      <w:r w:rsidR="00AB0F53">
        <w:rPr>
          <w:szCs w:val="22"/>
        </w:rPr>
        <w:t xml:space="preserve"> in the </w:t>
      </w:r>
      <w:r w:rsidR="009E2C0A">
        <w:rPr>
          <w:szCs w:val="22"/>
        </w:rPr>
        <w:t>COVID-19 ADE biology.</w:t>
      </w:r>
    </w:p>
    <w:p w14:paraId="1AAA1875" w14:textId="769E6A24" w:rsidR="0026768E" w:rsidRDefault="00CE63D4" w:rsidP="00C84E7E">
      <w:pPr>
        <w:rPr>
          <w:szCs w:val="22"/>
        </w:rPr>
      </w:pPr>
      <w:r>
        <w:rPr>
          <w:szCs w:val="22"/>
        </w:rPr>
        <w:lastRenderedPageBreak/>
        <w:t>Scotland (</w:t>
      </w:r>
      <w:r w:rsidR="0026768E">
        <w:rPr>
          <w:szCs w:val="22"/>
        </w:rPr>
        <w:t xml:space="preserve">i.e., </w:t>
      </w:r>
      <w:r w:rsidR="00BD4205">
        <w:rPr>
          <w:szCs w:val="22"/>
        </w:rPr>
        <w:t>1.1x, 1.2x</w:t>
      </w:r>
      <w:r w:rsidR="0076048F">
        <w:rPr>
          <w:szCs w:val="22"/>
        </w:rPr>
        <w:t>*</w:t>
      </w:r>
      <w:r w:rsidR="00BD4205">
        <w:rPr>
          <w:szCs w:val="22"/>
        </w:rPr>
        <w:t>, 1.1x, for 1-, 2-, and 3-doses</w:t>
      </w:r>
      <w:r w:rsidR="00414C38">
        <w:rPr>
          <w:szCs w:val="22"/>
        </w:rPr>
        <w:t>,</w:t>
      </w:r>
      <w:r w:rsidR="00BD4205">
        <w:rPr>
          <w:szCs w:val="22"/>
        </w:rPr>
        <w:t xml:space="preserve"> respectively</w:t>
      </w:r>
      <w:r>
        <w:rPr>
          <w:szCs w:val="22"/>
        </w:rPr>
        <w:t xml:space="preserve">) and Canada </w:t>
      </w:r>
      <w:r w:rsidR="00BD4205">
        <w:rPr>
          <w:szCs w:val="22"/>
        </w:rPr>
        <w:t xml:space="preserve">data </w:t>
      </w:r>
      <w:r>
        <w:rPr>
          <w:szCs w:val="22"/>
        </w:rPr>
        <w:t>(</w:t>
      </w:r>
      <w:r w:rsidR="0026768E">
        <w:rPr>
          <w:szCs w:val="22"/>
        </w:rPr>
        <w:t xml:space="preserve">i.e., </w:t>
      </w:r>
      <w:r w:rsidR="00BD4205">
        <w:rPr>
          <w:szCs w:val="22"/>
        </w:rPr>
        <w:t>1.1x</w:t>
      </w:r>
      <w:r w:rsidR="0076048F">
        <w:rPr>
          <w:szCs w:val="22"/>
        </w:rPr>
        <w:t>*</w:t>
      </w:r>
      <w:r w:rsidR="00BD4205">
        <w:rPr>
          <w:szCs w:val="22"/>
        </w:rPr>
        <w:t>, 1.1x</w:t>
      </w:r>
      <w:r w:rsidR="0076048F">
        <w:rPr>
          <w:szCs w:val="22"/>
        </w:rPr>
        <w:t>*</w:t>
      </w:r>
      <w:r w:rsidR="00BD4205">
        <w:rPr>
          <w:szCs w:val="22"/>
        </w:rPr>
        <w:t>, 1.3x</w:t>
      </w:r>
      <w:r w:rsidR="0076048F">
        <w:rPr>
          <w:szCs w:val="22"/>
        </w:rPr>
        <w:t>*</w:t>
      </w:r>
      <w:r w:rsidR="00BD4205">
        <w:rPr>
          <w:szCs w:val="22"/>
        </w:rPr>
        <w:t>, for 1-, 2-, and 3-doses respectively</w:t>
      </w:r>
      <w:r>
        <w:rPr>
          <w:szCs w:val="22"/>
        </w:rPr>
        <w:t xml:space="preserve">) </w:t>
      </w:r>
      <w:r w:rsidR="00BD4205">
        <w:rPr>
          <w:szCs w:val="22"/>
        </w:rPr>
        <w:t xml:space="preserve">also demonstrated higher rates of </w:t>
      </w:r>
      <w:r w:rsidR="0076048F">
        <w:rPr>
          <w:szCs w:val="22"/>
        </w:rPr>
        <w:t>COVID-19 hospitalizations</w:t>
      </w:r>
      <w:r w:rsidR="00BD4205">
        <w:rPr>
          <w:szCs w:val="22"/>
        </w:rPr>
        <w:t xml:space="preserve"> than the unvaccinated, and thus negative vaccine effectiveness at the population level.</w:t>
      </w:r>
      <w:r w:rsidR="0076048F">
        <w:rPr>
          <w:szCs w:val="22"/>
        </w:rPr>
        <w:t xml:space="preserve"> The </w:t>
      </w:r>
      <w:r w:rsidR="001D5A34">
        <w:rPr>
          <w:szCs w:val="22"/>
        </w:rPr>
        <w:t>asterisks</w:t>
      </w:r>
      <w:r w:rsidR="0076048F">
        <w:rPr>
          <w:szCs w:val="22"/>
        </w:rPr>
        <w:t xml:space="preserve">* </w:t>
      </w:r>
      <w:r w:rsidR="001D5A34">
        <w:rPr>
          <w:szCs w:val="22"/>
        </w:rPr>
        <w:t>indicate</w:t>
      </w:r>
      <w:r w:rsidR="0076048F">
        <w:rPr>
          <w:szCs w:val="22"/>
        </w:rPr>
        <w:t xml:space="preserve"> </w:t>
      </w:r>
      <w:r w:rsidR="00414C38">
        <w:rPr>
          <w:szCs w:val="22"/>
        </w:rPr>
        <w:t xml:space="preserve">that </w:t>
      </w:r>
      <w:r w:rsidR="0076048F">
        <w:rPr>
          <w:szCs w:val="22"/>
        </w:rPr>
        <w:t xml:space="preserve">the observed proportions of COVID-19 hospitalizations </w:t>
      </w:r>
      <w:r w:rsidR="001D5A34">
        <w:rPr>
          <w:szCs w:val="22"/>
        </w:rPr>
        <w:t>were</w:t>
      </w:r>
      <w:r w:rsidR="0076048F">
        <w:rPr>
          <w:szCs w:val="22"/>
        </w:rPr>
        <w:t xml:space="preserve"> higher in the vaccinated and lower in the unvaccinated than expected</w:t>
      </w:r>
      <w:r w:rsidR="00414C38">
        <w:rPr>
          <w:szCs w:val="22"/>
        </w:rPr>
        <w:t>,</w:t>
      </w:r>
      <w:r w:rsidR="0076048F" w:rsidRPr="0076048F">
        <w:rPr>
          <w:szCs w:val="22"/>
        </w:rPr>
        <w:t xml:space="preserve"> </w:t>
      </w:r>
      <w:r w:rsidR="0076048F" w:rsidRPr="00DC34EF">
        <w:rPr>
          <w:szCs w:val="22"/>
        </w:rPr>
        <w:t>and these differences were significant</w:t>
      </w:r>
      <w:r w:rsidR="0076048F">
        <w:rPr>
          <w:szCs w:val="22"/>
        </w:rPr>
        <w:t xml:space="preserve">. </w:t>
      </w:r>
    </w:p>
    <w:p w14:paraId="3BC44841" w14:textId="44043ADC" w:rsidR="000F391C" w:rsidRPr="000F391C" w:rsidRDefault="0026768E" w:rsidP="0026768E">
      <w:pPr>
        <w:rPr>
          <w:szCs w:val="22"/>
        </w:rPr>
      </w:pPr>
      <w:r>
        <w:t>Th</w:t>
      </w:r>
      <w:r w:rsidR="00F675F9">
        <w:t>is</w:t>
      </w:r>
      <w:r>
        <w:t xml:space="preserve"> </w:t>
      </w:r>
      <w:r w:rsidR="00BD4205">
        <w:t xml:space="preserve">ADE </w:t>
      </w:r>
      <w:r>
        <w:t xml:space="preserve">phenomenon </w:t>
      </w:r>
      <w:r w:rsidR="00BD4205" w:rsidRPr="00D843FA">
        <w:rPr>
          <w:b/>
          <w:bCs w:val="0"/>
        </w:rPr>
        <w:t>may</w:t>
      </w:r>
      <w:r w:rsidR="00414C38">
        <w:rPr>
          <w:b/>
          <w:bCs w:val="0"/>
        </w:rPr>
        <w:t xml:space="preserve"> partially </w:t>
      </w:r>
      <w:r w:rsidR="00BD4205" w:rsidRPr="00D843FA">
        <w:rPr>
          <w:b/>
          <w:bCs w:val="0"/>
        </w:rPr>
        <w:t>explain</w:t>
      </w:r>
      <w:r w:rsidR="00BD4205">
        <w:t xml:space="preserve"> the</w:t>
      </w:r>
      <w:r w:rsidR="0076048F">
        <w:t>se</w:t>
      </w:r>
      <w:r w:rsidR="00BD4205">
        <w:t xml:space="preserve"> enhanced rates of COVID-19 hospitalization </w:t>
      </w:r>
      <w:r w:rsidR="00917A10">
        <w:t xml:space="preserve">and death </w:t>
      </w:r>
      <w:r w:rsidR="00BD4205">
        <w:t xml:space="preserve">based on </w:t>
      </w:r>
      <w:r w:rsidR="001D5A34">
        <w:t>an implied</w:t>
      </w:r>
      <w:r w:rsidR="00BD4205">
        <w:t xml:space="preserve"> time-</w:t>
      </w:r>
      <w:r w:rsidR="001D5A34">
        <w:t>/concentration-</w:t>
      </w:r>
      <w:r w:rsidR="00BD4205">
        <w:t>dependency</w:t>
      </w:r>
      <w:r w:rsidR="001D5A34">
        <w:t xml:space="preserve"> in the 1-</w:t>
      </w:r>
      <w:r w:rsidR="00917A10">
        <w:t xml:space="preserve">, 2-, or </w:t>
      </w:r>
      <w:r w:rsidR="001D5A34">
        <w:t>3-dose data</w:t>
      </w:r>
      <w:r w:rsidR="00BD4205">
        <w:t xml:space="preserve">. However, </w:t>
      </w:r>
      <w:r w:rsidR="0076048F">
        <w:t>any potential</w:t>
      </w:r>
      <w:r w:rsidR="00BD4205">
        <w:t xml:space="preserve"> ADE </w:t>
      </w:r>
      <w:r w:rsidR="001F6B61">
        <w:t xml:space="preserve">effect </w:t>
      </w:r>
      <w:r>
        <w:t xml:space="preserve">in the COVID-19 hospital and death rates </w:t>
      </w:r>
      <w:r w:rsidR="00BD4205">
        <w:t xml:space="preserve">is </w:t>
      </w:r>
      <w:r w:rsidR="00BD4205" w:rsidRPr="00F67CBF">
        <w:rPr>
          <w:b/>
          <w:bCs w:val="0"/>
        </w:rPr>
        <w:t>confounded</w:t>
      </w:r>
      <w:r w:rsidR="00BD4205">
        <w:t xml:space="preserve"> by other </w:t>
      </w:r>
      <w:r w:rsidR="001D5A34" w:rsidRPr="001D5A34">
        <w:t>contemporaneous</w:t>
      </w:r>
      <w:r w:rsidR="001D5A34">
        <w:t xml:space="preserve"> </w:t>
      </w:r>
      <w:r w:rsidR="00BD4205">
        <w:t>vaccine</w:t>
      </w:r>
      <w:r>
        <w:t>-associated</w:t>
      </w:r>
      <w:r w:rsidR="00BD4205">
        <w:t xml:space="preserve"> </w:t>
      </w:r>
      <w:r w:rsidR="00917A10">
        <w:t xml:space="preserve">enhanced disease (VAED) </w:t>
      </w:r>
      <w:r w:rsidR="000B4E3C">
        <w:t>phenomena</w:t>
      </w:r>
      <w:r>
        <w:t xml:space="preserve">. These confounding </w:t>
      </w:r>
      <w:r w:rsidR="000B4E3C">
        <w:t>phenomena</w:t>
      </w:r>
      <w:r w:rsidR="00F675F9">
        <w:t xml:space="preserve"> </w:t>
      </w:r>
      <w:r>
        <w:t>are</w:t>
      </w:r>
      <w:r w:rsidR="00BD4205">
        <w:t xml:space="preserve"> putatively linked </w:t>
      </w:r>
      <w:r>
        <w:t xml:space="preserve">to </w:t>
      </w:r>
      <w:r w:rsidR="00414C38">
        <w:t xml:space="preserve">an </w:t>
      </w:r>
      <w:r w:rsidR="00BD4205">
        <w:t xml:space="preserve">array of </w:t>
      </w:r>
      <w:r>
        <w:t xml:space="preserve">virus-free </w:t>
      </w:r>
      <w:r w:rsidR="00BD4205">
        <w:t xml:space="preserve">spike protein-related pathologies </w:t>
      </w:r>
      <w:r w:rsidR="000F391C">
        <w:rPr>
          <w:szCs w:val="22"/>
        </w:rPr>
        <w:t xml:space="preserve">in </w:t>
      </w:r>
      <w:r w:rsidR="00F675F9">
        <w:rPr>
          <w:szCs w:val="22"/>
        </w:rPr>
        <w:t>furin/</w:t>
      </w:r>
      <w:r w:rsidR="000F391C">
        <w:rPr>
          <w:szCs w:val="22"/>
        </w:rPr>
        <w:t xml:space="preserve">ACE2-rich tissues and organs, which overlaps with </w:t>
      </w:r>
      <w:r w:rsidR="000F391C">
        <w:t xml:space="preserve">the most prevalent </w:t>
      </w:r>
      <w:r w:rsidR="000F391C" w:rsidRPr="00A47E55">
        <w:rPr>
          <w:szCs w:val="22"/>
        </w:rPr>
        <w:t xml:space="preserve">comorbidities </w:t>
      </w:r>
      <w:r w:rsidR="000F391C">
        <w:rPr>
          <w:szCs w:val="22"/>
        </w:rPr>
        <w:t>associated with</w:t>
      </w:r>
      <w:r w:rsidR="000F391C">
        <w:t xml:space="preserve"> </w:t>
      </w:r>
      <w:r w:rsidR="000F391C" w:rsidRPr="00A47E55">
        <w:rPr>
          <w:szCs w:val="22"/>
        </w:rPr>
        <w:t>severe COVID-19 outcomes</w:t>
      </w:r>
      <w:r w:rsidR="000F391C">
        <w:rPr>
          <w:szCs w:val="22"/>
        </w:rPr>
        <w:t xml:space="preserve"> in at-risk populations (i.e., the elderly) </w:t>
      </w:r>
      <w:r w:rsidR="00BD4205" w:rsidRPr="0026768E">
        <w:t xml:space="preserve">(section </w:t>
      </w:r>
      <w:r w:rsidRPr="0026768E">
        <w:t>1.3.3</w:t>
      </w:r>
      <w:r w:rsidR="00BD4205" w:rsidRPr="0026768E">
        <w:t>)</w:t>
      </w:r>
      <w:r>
        <w:rPr>
          <w:rFonts w:cs="Times New Roman"/>
          <w:szCs w:val="22"/>
        </w:rPr>
        <w:t xml:space="preserve">. </w:t>
      </w:r>
      <w:r>
        <w:t xml:space="preserve">Lipid nanoparticle chemical-induced pro-inflammatory responses (section 1.3.2) </w:t>
      </w:r>
      <w:r w:rsidR="00917A10">
        <w:t>would likely</w:t>
      </w:r>
      <w:r>
        <w:t xml:space="preserve"> further compound </w:t>
      </w:r>
      <w:r w:rsidR="00917A10">
        <w:t xml:space="preserve">or potentiate </w:t>
      </w:r>
      <w:r>
        <w:t>this</w:t>
      </w:r>
      <w:r w:rsidR="00917A10">
        <w:t xml:space="preserve">. These confounding issues would play out over time, potentially outside the 28-day efficacy window, and would thus </w:t>
      </w:r>
      <w:r w:rsidR="00414C38">
        <w:t>probably</w:t>
      </w:r>
      <w:r w:rsidR="00917A10">
        <w:t xml:space="preserve"> </w:t>
      </w:r>
      <w:r w:rsidR="00917A10" w:rsidRPr="000F391C">
        <w:rPr>
          <w:b/>
          <w:bCs w:val="0"/>
        </w:rPr>
        <w:t>be explained or recorded as unrelated to vaccination</w:t>
      </w:r>
      <w:r>
        <w:t>.</w:t>
      </w:r>
    </w:p>
    <w:p w14:paraId="563134B9" w14:textId="72658F84" w:rsidR="00787E1D" w:rsidRPr="0086465F" w:rsidRDefault="00787E1D" w:rsidP="004C5C79">
      <w:pPr>
        <w:pStyle w:val="Heading3"/>
      </w:pPr>
      <w:bookmarkStart w:id="52" w:name="_Toc516645039"/>
      <w:bookmarkStart w:id="53" w:name="_Toc111367997"/>
      <w:bookmarkStart w:id="54" w:name="_Toc121035125"/>
      <w:r w:rsidRPr="00FE1F7C">
        <w:t>A</w:t>
      </w:r>
      <w:r>
        <w:t>ntigenic Imprinting</w:t>
      </w:r>
      <w:r w:rsidRPr="00FE1F7C">
        <w:t xml:space="preserve"> </w:t>
      </w:r>
      <w:r>
        <w:t>Underpins COVID-19 Vaccine Failure</w:t>
      </w:r>
      <w:bookmarkEnd w:id="52"/>
      <w:bookmarkEnd w:id="53"/>
      <w:r w:rsidR="00D42CB9">
        <w:t xml:space="preserve"> (Part of a Trinity)</w:t>
      </w:r>
      <w:bookmarkEnd w:id="54"/>
      <w:r w:rsidR="004B3751">
        <w:t xml:space="preserve"> </w:t>
      </w:r>
    </w:p>
    <w:p w14:paraId="268F6846" w14:textId="551BC891" w:rsidR="00967E2E" w:rsidRPr="002F02D5" w:rsidRDefault="00967E2E" w:rsidP="00EA003A">
      <w:pPr>
        <w:rPr>
          <w:rFonts w:cstheme="minorHAnsi"/>
        </w:rPr>
      </w:pPr>
      <w:r>
        <w:rPr>
          <w:rFonts w:cstheme="minorHAnsi"/>
        </w:rPr>
        <w:t>Based on the long-known (</w:t>
      </w:r>
      <w:r w:rsidR="00FC06E7">
        <w:rPr>
          <w:rFonts w:cstheme="minorHAnsi"/>
        </w:rPr>
        <w:t xml:space="preserve">since </w:t>
      </w:r>
      <w:r>
        <w:rPr>
          <w:rFonts w:cstheme="minorHAnsi"/>
        </w:rPr>
        <w:t>1960)</w:t>
      </w:r>
      <w:r w:rsidRPr="00991608">
        <w:rPr>
          <w:rStyle w:val="EndnoteReference"/>
          <w:rFonts w:cstheme="minorHAnsi"/>
        </w:rPr>
        <w:endnoteReference w:id="94"/>
      </w:r>
      <w:r>
        <w:rPr>
          <w:rFonts w:cstheme="minorHAnsi"/>
        </w:rPr>
        <w:t xml:space="preserve"> vaccine principle called “</w:t>
      </w:r>
      <w:r w:rsidRPr="00E471F8">
        <w:rPr>
          <w:rFonts w:cstheme="minorHAnsi"/>
          <w:bCs w:val="0"/>
        </w:rPr>
        <w:t>antigenic imprinting</w:t>
      </w:r>
      <w:r>
        <w:rPr>
          <w:rFonts w:cstheme="minorHAnsi"/>
        </w:rPr>
        <w:t>” or "original antigenic sin</w:t>
      </w:r>
      <w:r w:rsidR="00414C38">
        <w:rPr>
          <w:rFonts w:cstheme="minorHAnsi"/>
        </w:rPr>
        <w:t>,”</w:t>
      </w:r>
      <w:r w:rsidRPr="00991608">
        <w:rPr>
          <w:rStyle w:val="EndnoteReference"/>
        </w:rPr>
        <w:endnoteReference w:id="95"/>
      </w:r>
      <w:r w:rsidRPr="00991608">
        <w:rPr>
          <w:vertAlign w:val="superscript"/>
        </w:rPr>
        <w:t>,</w:t>
      </w:r>
      <w:r w:rsidRPr="00991608">
        <w:rPr>
          <w:rStyle w:val="EndnoteReference"/>
          <w:rFonts w:cs="Times New Roman"/>
        </w:rPr>
        <w:endnoteReference w:id="96"/>
      </w:r>
      <w:r>
        <w:rPr>
          <w:rFonts w:cstheme="minorHAnsi"/>
        </w:rPr>
        <w:t xml:space="preserve"> f</w:t>
      </w:r>
      <w:r w:rsidRPr="00F10930">
        <w:rPr>
          <w:rFonts w:cs="Times New Roman"/>
        </w:rPr>
        <w:t xml:space="preserve">irst contact </w:t>
      </w:r>
      <w:r>
        <w:rPr>
          <w:rFonts w:cs="Times New Roman"/>
        </w:rPr>
        <w:t>by</w:t>
      </w:r>
      <w:r w:rsidRPr="00F10930">
        <w:rPr>
          <w:rFonts w:cs="Times New Roman"/>
        </w:rPr>
        <w:t xml:space="preserve"> </w:t>
      </w:r>
      <w:r>
        <w:t>the</w:t>
      </w:r>
      <w:r>
        <w:rPr>
          <w:rFonts w:cs="Times New Roman"/>
        </w:rPr>
        <w:t xml:space="preserve"> </w:t>
      </w:r>
      <w:r w:rsidRPr="00F10930">
        <w:rPr>
          <w:rFonts w:cs="Times New Roman"/>
        </w:rPr>
        <w:t xml:space="preserve">immune system </w:t>
      </w:r>
      <w:r>
        <w:rPr>
          <w:rFonts w:cs="Times New Roman"/>
        </w:rPr>
        <w:t>with</w:t>
      </w:r>
      <w:r w:rsidRPr="00F10930">
        <w:rPr>
          <w:rFonts w:cs="Times New Roman"/>
        </w:rPr>
        <w:t xml:space="preserve"> </w:t>
      </w:r>
      <w:r>
        <w:rPr>
          <w:rFonts w:cs="Times New Roman"/>
        </w:rPr>
        <w:t>the SARS-COV-2</w:t>
      </w:r>
      <w:r w:rsidRPr="00F10930">
        <w:rPr>
          <w:rFonts w:cs="Times New Roman"/>
        </w:rPr>
        <w:t xml:space="preserve"> </w:t>
      </w:r>
      <w:r w:rsidRPr="005D15C6">
        <w:rPr>
          <w:rFonts w:cs="Times New Roman"/>
        </w:rPr>
        <w:t>Wuhan Hu-1</w:t>
      </w:r>
      <w:r>
        <w:rPr>
          <w:rFonts w:cs="Times New Roman"/>
        </w:rPr>
        <w:t xml:space="preserve"> vaccine </w:t>
      </w:r>
      <w:r w:rsidR="00FC06E7">
        <w:rPr>
          <w:rFonts w:cs="Times New Roman"/>
        </w:rPr>
        <w:t>strain</w:t>
      </w:r>
      <w:r w:rsidR="00FC06E7" w:rsidRPr="00F10930">
        <w:rPr>
          <w:rFonts w:cs="Times New Roman"/>
        </w:rPr>
        <w:t xml:space="preserve"> </w:t>
      </w:r>
      <w:r w:rsidRPr="00F10930">
        <w:rPr>
          <w:rFonts w:cs="Times New Roman"/>
        </w:rPr>
        <w:t xml:space="preserve">resulted in a primary immune response to select parts of the spike protein </w:t>
      </w:r>
      <w:r>
        <w:rPr>
          <w:rFonts w:cs="Times New Roman"/>
        </w:rPr>
        <w:t xml:space="preserve">(i.e., epitopes or antigenic domains) </w:t>
      </w:r>
      <w:r>
        <w:t xml:space="preserve">that </w:t>
      </w:r>
      <w:r w:rsidRPr="00F10930">
        <w:rPr>
          <w:rFonts w:cs="Times New Roman"/>
        </w:rPr>
        <w:t>generat</w:t>
      </w:r>
      <w:r>
        <w:t>ed</w:t>
      </w:r>
      <w:r w:rsidRPr="00F10930">
        <w:rPr>
          <w:rFonts w:cs="Times New Roman"/>
        </w:rPr>
        <w:t xml:space="preserve"> antibodies </w:t>
      </w:r>
      <w:r>
        <w:rPr>
          <w:rFonts w:cs="Times New Roman"/>
        </w:rPr>
        <w:t>(</w:t>
      </w:r>
      <w:r w:rsidRPr="00F10930">
        <w:rPr>
          <w:rFonts w:cs="Times New Roman"/>
        </w:rPr>
        <w:t>by B-lymphocytes</w:t>
      </w:r>
      <w:r>
        <w:rPr>
          <w:rFonts w:cs="Times New Roman"/>
        </w:rPr>
        <w:t>)</w:t>
      </w:r>
      <w:r w:rsidRPr="00F10930">
        <w:rPr>
          <w:rFonts w:cs="Times New Roman"/>
        </w:rPr>
        <w:t xml:space="preserve"> and </w:t>
      </w:r>
      <w:r>
        <w:rPr>
          <w:rFonts w:cs="Times New Roman"/>
        </w:rPr>
        <w:t xml:space="preserve">CD4+ and CD8+ </w:t>
      </w:r>
      <w:r w:rsidRPr="00F10930">
        <w:rPr>
          <w:rFonts w:cs="Times New Roman"/>
        </w:rPr>
        <w:t>T-lymphocytes</w:t>
      </w:r>
      <w:r>
        <w:rPr>
          <w:rFonts w:cs="Times New Roman"/>
        </w:rPr>
        <w:t xml:space="preserve"> (</w:t>
      </w:r>
      <w:r>
        <w:t>T-cells</w:t>
      </w:r>
      <w:r>
        <w:rPr>
          <w:rFonts w:cs="Times New Roman"/>
        </w:rPr>
        <w:t>)</w:t>
      </w:r>
      <w:r w:rsidRPr="00F10930">
        <w:rPr>
          <w:rFonts w:cs="Times New Roman"/>
        </w:rPr>
        <w:t xml:space="preserve">. A fraction of </w:t>
      </w:r>
      <w:r>
        <w:rPr>
          <w:rFonts w:cs="Times New Roman"/>
        </w:rPr>
        <w:t>these B</w:t>
      </w:r>
      <w:r w:rsidRPr="00F10930">
        <w:rPr>
          <w:rFonts w:cs="Times New Roman"/>
        </w:rPr>
        <w:t xml:space="preserve">- and T-lymphocytes </w:t>
      </w:r>
      <w:r>
        <w:rPr>
          <w:rFonts w:cs="Times New Roman"/>
        </w:rPr>
        <w:t>then</w:t>
      </w:r>
      <w:r w:rsidRPr="00F10930">
        <w:rPr>
          <w:rFonts w:cs="Times New Roman"/>
        </w:rPr>
        <w:t xml:space="preserve"> differentiated into memory </w:t>
      </w:r>
      <w:r>
        <w:t>B- and T-cells</w:t>
      </w:r>
      <w:r>
        <w:rPr>
          <w:rFonts w:cs="Times New Roman"/>
        </w:rPr>
        <w:t xml:space="preserve"> in the </w:t>
      </w:r>
      <w:r>
        <w:t>local</w:t>
      </w:r>
      <w:r>
        <w:rPr>
          <w:rFonts w:cs="Times New Roman"/>
        </w:rPr>
        <w:t xml:space="preserve"> lymph node. This </w:t>
      </w:r>
      <w:r w:rsidRPr="00EF6CF5">
        <w:rPr>
          <w:rFonts w:cstheme="minorHAnsi"/>
          <w:b/>
          <w:bCs w:val="0"/>
        </w:rPr>
        <w:t>locked</w:t>
      </w:r>
      <w:r w:rsidRPr="00F10930">
        <w:rPr>
          <w:rFonts w:cstheme="minorHAnsi"/>
        </w:rPr>
        <w:t xml:space="preserve"> future immune responses to a limited </w:t>
      </w:r>
      <w:r>
        <w:rPr>
          <w:rFonts w:cstheme="minorHAnsi"/>
        </w:rPr>
        <w:t xml:space="preserve">number and </w:t>
      </w:r>
      <w:r w:rsidRPr="00F10930">
        <w:rPr>
          <w:rFonts w:cstheme="minorHAnsi"/>
        </w:rPr>
        <w:t>repertoire</w:t>
      </w:r>
      <w:r>
        <w:rPr>
          <w:rFonts w:cstheme="minorHAnsi"/>
        </w:rPr>
        <w:t xml:space="preserve"> </w:t>
      </w:r>
      <w:r w:rsidRPr="00F10930">
        <w:rPr>
          <w:rFonts w:cstheme="minorHAnsi"/>
        </w:rPr>
        <w:t>of antibody and Tcell responses</w:t>
      </w:r>
      <w:r>
        <w:rPr>
          <w:rFonts w:cstheme="minorHAnsi"/>
        </w:rPr>
        <w:t xml:space="preserve">, which could be recalled upon (re)infection and is </w:t>
      </w:r>
      <w:r w:rsidRPr="00F10930">
        <w:rPr>
          <w:rFonts w:cstheme="minorHAnsi"/>
        </w:rPr>
        <w:t>terme</w:t>
      </w:r>
      <w:r>
        <w:rPr>
          <w:rFonts w:cstheme="minorHAnsi"/>
        </w:rPr>
        <w:t xml:space="preserve">d </w:t>
      </w:r>
      <w:r w:rsidRPr="00E471F8">
        <w:rPr>
          <w:rFonts w:cstheme="minorHAnsi"/>
          <w:b/>
        </w:rPr>
        <w:t>antigenic imprinting</w:t>
      </w:r>
      <w:r>
        <w:rPr>
          <w:rFonts w:cstheme="minorHAnsi"/>
          <w:bCs w:val="0"/>
        </w:rPr>
        <w:t xml:space="preserve">. </w:t>
      </w:r>
      <w:r>
        <w:rPr>
          <w:rFonts w:cstheme="minorHAnsi"/>
        </w:rPr>
        <w:t xml:space="preserve">Consequently, </w:t>
      </w:r>
      <w:r>
        <w:rPr>
          <w:rFonts w:cs="Times New Roman"/>
        </w:rPr>
        <w:t>w</w:t>
      </w:r>
      <w:r w:rsidRPr="00F10930">
        <w:rPr>
          <w:rFonts w:cs="Times New Roman"/>
        </w:rPr>
        <w:t xml:space="preserve">hen </w:t>
      </w:r>
      <w:r>
        <w:rPr>
          <w:rFonts w:cs="Times New Roman"/>
        </w:rPr>
        <w:t xml:space="preserve">a vaccinated person was infected with </w:t>
      </w:r>
      <w:r w:rsidRPr="00F10930">
        <w:rPr>
          <w:rFonts w:cs="Times New Roman"/>
        </w:rPr>
        <w:t xml:space="preserve">a new </w:t>
      </w:r>
      <w:r>
        <w:rPr>
          <w:rFonts w:cs="Times New Roman"/>
        </w:rPr>
        <w:t xml:space="preserve">SARS-CoV-2 variant (i.e., </w:t>
      </w:r>
      <w:r>
        <w:t xml:space="preserve">Alpha, Delta, </w:t>
      </w:r>
      <w:r>
        <w:rPr>
          <w:rFonts w:cs="Times New Roman"/>
        </w:rPr>
        <w:t>Omicron, etc.), which varied</w:t>
      </w:r>
      <w:r w:rsidRPr="00F10930">
        <w:rPr>
          <w:rFonts w:cs="Times New Roman"/>
        </w:rPr>
        <w:t xml:space="preserve"> from the original </w:t>
      </w:r>
      <w:r w:rsidRPr="005D15C6">
        <w:rPr>
          <w:rFonts w:cs="Times New Roman"/>
        </w:rPr>
        <w:t>Wuhan Hu-1</w:t>
      </w:r>
      <w:r>
        <w:rPr>
          <w:rFonts w:cs="Times New Roman"/>
        </w:rPr>
        <w:t xml:space="preserve"> vaccine </w:t>
      </w:r>
      <w:r w:rsidRPr="00F10930">
        <w:rPr>
          <w:rFonts w:cs="Times New Roman"/>
        </w:rPr>
        <w:t xml:space="preserve">strain </w:t>
      </w:r>
      <w:r>
        <w:rPr>
          <w:rFonts w:cs="Times New Roman"/>
        </w:rPr>
        <w:t xml:space="preserve">in </w:t>
      </w:r>
      <w:r w:rsidR="00414C38">
        <w:rPr>
          <w:rFonts w:cs="Times New Roman"/>
        </w:rPr>
        <w:t>critical</w:t>
      </w:r>
      <w:r>
        <w:rPr>
          <w:rFonts w:cs="Times New Roman"/>
        </w:rPr>
        <w:t xml:space="preserve"> parts of the virus spike protein</w:t>
      </w:r>
      <w:r>
        <w:t xml:space="preserve"> targeted by neutralizing antibodies </w:t>
      </w:r>
      <w:r w:rsidRPr="00F10930">
        <w:rPr>
          <w:rFonts w:cs="Times New Roman"/>
        </w:rPr>
        <w:t xml:space="preserve">(i.e., </w:t>
      </w:r>
      <w:r>
        <w:rPr>
          <w:rFonts w:cs="Times New Roman"/>
        </w:rPr>
        <w:t>the receptor-binding domain</w:t>
      </w:r>
      <w:r>
        <w:t>,</w:t>
      </w:r>
      <w:r>
        <w:rPr>
          <w:rFonts w:cs="Times New Roman"/>
        </w:rPr>
        <w:t xml:space="preserve"> RBD</w:t>
      </w:r>
      <w:r w:rsidRPr="00F10930">
        <w:rPr>
          <w:rFonts w:cs="Times New Roman"/>
        </w:rPr>
        <w:t>)</w:t>
      </w:r>
      <w:r>
        <w:rPr>
          <w:rFonts w:cs="Times New Roman"/>
        </w:rPr>
        <w:t xml:space="preserve">, </w:t>
      </w:r>
      <w:r w:rsidRPr="00F10930">
        <w:rPr>
          <w:rFonts w:cs="Times New Roman"/>
        </w:rPr>
        <w:t xml:space="preserve">the immune system </w:t>
      </w:r>
      <w:r>
        <w:rPr>
          <w:rFonts w:cstheme="minorHAnsi"/>
        </w:rPr>
        <w:t>preferentially “recalled”</w:t>
      </w:r>
      <w:r w:rsidRPr="00F10930">
        <w:rPr>
          <w:rFonts w:cstheme="minorHAnsi"/>
        </w:rPr>
        <w:t xml:space="preserve"> </w:t>
      </w:r>
      <w:r>
        <w:rPr>
          <w:rFonts w:cstheme="minorHAnsi"/>
        </w:rPr>
        <w:t>those</w:t>
      </w:r>
      <w:r w:rsidRPr="00F10930">
        <w:rPr>
          <w:rFonts w:cstheme="minorHAnsi"/>
        </w:rPr>
        <w:t xml:space="preserve"> original </w:t>
      </w:r>
      <w:r w:rsidRPr="005D15C6">
        <w:rPr>
          <w:rFonts w:cs="Times New Roman"/>
        </w:rPr>
        <w:t>Wuhan Hu-1</w:t>
      </w:r>
      <w:r>
        <w:rPr>
          <w:rFonts w:cs="Times New Roman"/>
        </w:rPr>
        <w:t xml:space="preserve"> </w:t>
      </w:r>
      <w:r>
        <w:rPr>
          <w:rFonts w:cstheme="minorHAnsi"/>
        </w:rPr>
        <w:t>antibody</w:t>
      </w:r>
      <w:r w:rsidRPr="00F10930">
        <w:rPr>
          <w:rFonts w:cstheme="minorHAnsi"/>
        </w:rPr>
        <w:t xml:space="preserve"> memory</w:t>
      </w:r>
      <w:r>
        <w:rPr>
          <w:rFonts w:cstheme="minorHAnsi"/>
        </w:rPr>
        <w:t xml:space="preserve"> responses</w:t>
      </w:r>
      <w:r>
        <w:rPr>
          <w:rFonts w:cs="Times New Roman"/>
        </w:rPr>
        <w:t>. However,</w:t>
      </w:r>
      <w:r w:rsidRPr="00F10930">
        <w:rPr>
          <w:rFonts w:cs="Times New Roman"/>
        </w:rPr>
        <w:t xml:space="preserve"> </w:t>
      </w:r>
      <w:r>
        <w:rPr>
          <w:rFonts w:cs="Times New Roman"/>
        </w:rPr>
        <w:t xml:space="preserve">these recalled responses </w:t>
      </w:r>
      <w:r>
        <w:t>failed to</w:t>
      </w:r>
      <w:r>
        <w:rPr>
          <w:rFonts w:cs="Times New Roman"/>
        </w:rPr>
        <w:t xml:space="preserve"> protect against the Omicron strain because it had mutated in its RBD</w:t>
      </w:r>
      <w:r w:rsidR="00414C38">
        <w:rPr>
          <w:rFonts w:cs="Times New Roman"/>
        </w:rPr>
        <w:t xml:space="preserve"> and </w:t>
      </w:r>
      <w:r>
        <w:rPr>
          <w:rFonts w:cs="Times New Roman"/>
        </w:rPr>
        <w:t xml:space="preserve">other </w:t>
      </w:r>
      <w:r w:rsidR="00414C38">
        <w:rPr>
          <w:rFonts w:cs="Times New Roman"/>
        </w:rPr>
        <w:t>critical</w:t>
      </w:r>
      <w:r>
        <w:rPr>
          <w:rFonts w:cs="Times New Roman"/>
        </w:rPr>
        <w:t xml:space="preserve"> locations.</w:t>
      </w:r>
    </w:p>
    <w:p w14:paraId="669FFD53" w14:textId="3A6FDE3A" w:rsidR="00967E2E" w:rsidRPr="009C1CC7" w:rsidRDefault="00967E2E" w:rsidP="00EA003A">
      <w:pPr>
        <w:pStyle w:val="NormalWeb"/>
        <w:spacing w:before="0" w:beforeAutospacing="0" w:after="180" w:afterAutospacing="0" w:line="360" w:lineRule="auto"/>
        <w:jc w:val="both"/>
        <w:rPr>
          <w:rFonts w:ascii="Times New Roman" w:hAnsi="Times New Roman"/>
          <w:sz w:val="22"/>
          <w:szCs w:val="22"/>
        </w:rPr>
      </w:pPr>
      <w:r w:rsidRPr="009C1CC7">
        <w:rPr>
          <w:rFonts w:ascii="Times New Roman" w:hAnsi="Times New Roman"/>
          <w:sz w:val="22"/>
          <w:szCs w:val="22"/>
        </w:rPr>
        <w:t xml:space="preserve">Studies show that Alpha, Delta, and Omicron </w:t>
      </w:r>
      <w:r w:rsidR="006F3330">
        <w:rPr>
          <w:rFonts w:ascii="Times New Roman" w:hAnsi="Times New Roman"/>
          <w:sz w:val="22"/>
          <w:szCs w:val="22"/>
        </w:rPr>
        <w:t>“</w:t>
      </w:r>
      <w:r w:rsidRPr="009C1CC7">
        <w:rPr>
          <w:rFonts w:ascii="Times New Roman" w:hAnsi="Times New Roman"/>
          <w:sz w:val="22"/>
          <w:szCs w:val="22"/>
        </w:rPr>
        <w:t>breakthrough infections</w:t>
      </w:r>
      <w:r w:rsidR="006F3330">
        <w:rPr>
          <w:rFonts w:ascii="Times New Roman" w:hAnsi="Times New Roman"/>
          <w:sz w:val="22"/>
          <w:szCs w:val="22"/>
        </w:rPr>
        <w:t>”</w:t>
      </w:r>
      <w:r w:rsidRPr="009C1CC7">
        <w:rPr>
          <w:rFonts w:ascii="Times New Roman" w:hAnsi="Times New Roman"/>
          <w:sz w:val="22"/>
          <w:szCs w:val="22"/>
        </w:rPr>
        <w:t xml:space="preserve"> predominantly activate</w:t>
      </w:r>
      <w:r w:rsidR="008669F1">
        <w:rPr>
          <w:rFonts w:ascii="Times New Roman" w:hAnsi="Times New Roman"/>
          <w:sz w:val="22"/>
          <w:szCs w:val="22"/>
        </w:rPr>
        <w:t>d</w:t>
      </w:r>
      <w:r w:rsidRPr="009C1CC7">
        <w:rPr>
          <w:rFonts w:ascii="Times New Roman" w:hAnsi="Times New Roman"/>
          <w:sz w:val="22"/>
          <w:szCs w:val="22"/>
        </w:rPr>
        <w:t xml:space="preserve"> pre‐existing cross‐reactive memory B-cells, with only limited induction of </w:t>
      </w:r>
      <w:r w:rsidR="006F3330">
        <w:rPr>
          <w:rFonts w:ascii="Times New Roman" w:hAnsi="Times New Roman"/>
          <w:sz w:val="22"/>
          <w:szCs w:val="22"/>
        </w:rPr>
        <w:t>new</w:t>
      </w:r>
      <w:r w:rsidRPr="009C1CC7">
        <w:rPr>
          <w:rFonts w:ascii="Times New Roman" w:hAnsi="Times New Roman"/>
          <w:sz w:val="22"/>
          <w:szCs w:val="22"/>
        </w:rPr>
        <w:t xml:space="preserve"> Omicron-specific antibody responses.</w:t>
      </w:r>
      <w:r w:rsidRPr="009C1CC7">
        <w:rPr>
          <w:rStyle w:val="EndnoteReference"/>
          <w:rFonts w:ascii="Times New Roman" w:hAnsi="Times New Roman"/>
          <w:sz w:val="22"/>
          <w:szCs w:val="22"/>
        </w:rPr>
        <w:endnoteReference w:id="97"/>
      </w:r>
      <w:r w:rsidRPr="009C1CC7">
        <w:rPr>
          <w:rFonts w:ascii="Times New Roman" w:hAnsi="Times New Roman"/>
          <w:sz w:val="22"/>
          <w:szCs w:val="22"/>
          <w:vertAlign w:val="superscript"/>
        </w:rPr>
        <w:t>,</w:t>
      </w:r>
      <w:r w:rsidRPr="009C1CC7">
        <w:rPr>
          <w:rStyle w:val="EndnoteReference"/>
          <w:rFonts w:ascii="Times New Roman" w:hAnsi="Times New Roman"/>
          <w:sz w:val="22"/>
          <w:szCs w:val="22"/>
        </w:rPr>
        <w:endnoteReference w:id="98"/>
      </w:r>
      <w:r w:rsidRPr="009C1CC7">
        <w:rPr>
          <w:rFonts w:ascii="Times New Roman" w:hAnsi="Times New Roman"/>
          <w:sz w:val="22"/>
          <w:szCs w:val="22"/>
          <w:vertAlign w:val="superscript"/>
        </w:rPr>
        <w:t>,</w:t>
      </w:r>
      <w:r w:rsidRPr="009C1CC7">
        <w:rPr>
          <w:rStyle w:val="EndnoteReference"/>
          <w:rFonts w:ascii="Times New Roman" w:hAnsi="Times New Roman"/>
          <w:sz w:val="22"/>
          <w:szCs w:val="22"/>
        </w:rPr>
        <w:endnoteReference w:id="99"/>
      </w:r>
      <w:r w:rsidRPr="009C1CC7">
        <w:rPr>
          <w:rFonts w:ascii="Times New Roman" w:hAnsi="Times New Roman"/>
          <w:sz w:val="22"/>
          <w:szCs w:val="22"/>
          <w:vertAlign w:val="superscript"/>
        </w:rPr>
        <w:t>,</w:t>
      </w:r>
      <w:r w:rsidRPr="009C1CC7">
        <w:rPr>
          <w:rStyle w:val="EndnoteReference"/>
          <w:rFonts w:ascii="Times New Roman" w:hAnsi="Times New Roman"/>
          <w:sz w:val="22"/>
          <w:szCs w:val="22"/>
        </w:rPr>
        <w:endnoteReference w:id="100"/>
      </w:r>
      <w:r w:rsidRPr="009C1CC7">
        <w:rPr>
          <w:rStyle w:val="EndnoteReference"/>
          <w:rFonts w:ascii="Times New Roman" w:hAnsi="Times New Roman"/>
          <w:sz w:val="22"/>
          <w:szCs w:val="22"/>
        </w:rPr>
        <w:t>,</w:t>
      </w:r>
      <w:r w:rsidRPr="009C1CC7">
        <w:rPr>
          <w:rStyle w:val="EndnoteReference"/>
          <w:rFonts w:ascii="Times New Roman" w:hAnsi="Times New Roman"/>
          <w:sz w:val="22"/>
          <w:szCs w:val="22"/>
        </w:rPr>
        <w:endnoteReference w:id="101"/>
      </w:r>
      <w:r w:rsidRPr="009C1CC7">
        <w:rPr>
          <w:rFonts w:ascii="Times New Roman" w:hAnsi="Times New Roman"/>
          <w:sz w:val="22"/>
          <w:szCs w:val="22"/>
          <w:vertAlign w:val="superscript"/>
        </w:rPr>
        <w:t>,</w:t>
      </w:r>
      <w:r w:rsidRPr="009C1CC7">
        <w:rPr>
          <w:rStyle w:val="EndnoteReference"/>
          <w:rFonts w:ascii="Times New Roman" w:hAnsi="Times New Roman"/>
          <w:sz w:val="22"/>
          <w:szCs w:val="22"/>
        </w:rPr>
        <w:endnoteReference w:id="102"/>
      </w:r>
      <w:r w:rsidRPr="009C1CC7">
        <w:rPr>
          <w:rFonts w:ascii="Times New Roman" w:hAnsi="Times New Roman"/>
          <w:sz w:val="22"/>
          <w:szCs w:val="22"/>
          <w:vertAlign w:val="superscript"/>
        </w:rPr>
        <w:t xml:space="preserve"> </w:t>
      </w:r>
      <w:r w:rsidR="008669F1">
        <w:rPr>
          <w:rFonts w:ascii="Times New Roman" w:hAnsi="Times New Roman"/>
          <w:sz w:val="22"/>
          <w:szCs w:val="22"/>
        </w:rPr>
        <w:t>T</w:t>
      </w:r>
      <w:r w:rsidRPr="009C1CC7">
        <w:rPr>
          <w:rFonts w:ascii="Times New Roman" w:hAnsi="Times New Roman"/>
          <w:sz w:val="22"/>
          <w:szCs w:val="22"/>
        </w:rPr>
        <w:t xml:space="preserve">hese publications confirm that antigenic imprinting plays a pivotal role in SARS‐CoV‐2 immunity to viral variants and helps explain why Omicron variants are vaccine escaping and why we see </w:t>
      </w:r>
      <w:r w:rsidRPr="009C1CC7">
        <w:rPr>
          <w:rFonts w:ascii="Times New Roman" w:hAnsi="Times New Roman"/>
          <w:b/>
          <w:sz w:val="22"/>
          <w:szCs w:val="22"/>
        </w:rPr>
        <w:t>Omicron vaccine failure</w:t>
      </w:r>
      <w:r w:rsidRPr="009C1CC7">
        <w:rPr>
          <w:rFonts w:ascii="Times New Roman" w:hAnsi="Times New Roman"/>
          <w:sz w:val="22"/>
          <w:szCs w:val="22"/>
        </w:rPr>
        <w:t>.</w:t>
      </w:r>
      <w:r w:rsidRPr="009C1CC7">
        <w:rPr>
          <w:rFonts w:ascii="Times New Roman" w:hAnsi="Times New Roman"/>
          <w:sz w:val="22"/>
          <w:szCs w:val="22"/>
          <w:vertAlign w:val="superscript"/>
        </w:rPr>
        <w:t xml:space="preserve"> </w:t>
      </w:r>
      <w:r w:rsidRPr="009C1CC7">
        <w:rPr>
          <w:rFonts w:ascii="Times New Roman" w:hAnsi="Times New Roman"/>
          <w:sz w:val="22"/>
          <w:szCs w:val="22"/>
        </w:rPr>
        <w:t xml:space="preserve">Antigenic imprinting has also been demonstrated in vaccinated subjects </w:t>
      </w:r>
      <w:r w:rsidRPr="009C1CC7">
        <w:rPr>
          <w:rFonts w:ascii="Times New Roman" w:hAnsi="Times New Roman"/>
          <w:sz w:val="22"/>
          <w:szCs w:val="22"/>
        </w:rPr>
        <w:lastRenderedPageBreak/>
        <w:t xml:space="preserve">boosted with Moderna’s mRNA-1273 or a B.1.351/B.1.617.2 (Beta/Delta) </w:t>
      </w:r>
      <w:r w:rsidRPr="00FC06E7">
        <w:rPr>
          <w:rFonts w:ascii="Times New Roman" w:hAnsi="Times New Roman"/>
          <w:b/>
          <w:bCs/>
          <w:sz w:val="22"/>
          <w:szCs w:val="22"/>
        </w:rPr>
        <w:t>bivalent vaccine</w:t>
      </w:r>
      <w:r w:rsidRPr="009C1CC7">
        <w:rPr>
          <w:rFonts w:ascii="Times New Roman" w:hAnsi="Times New Roman"/>
          <w:sz w:val="22"/>
          <w:szCs w:val="22"/>
        </w:rPr>
        <w:t xml:space="preserve"> (mRNA-1273.213). A bivalent booster induced a high percentage of memory B</w:t>
      </w:r>
      <w:r w:rsidR="008669F1">
        <w:rPr>
          <w:rFonts w:ascii="Times New Roman" w:hAnsi="Times New Roman"/>
          <w:sz w:val="22"/>
          <w:szCs w:val="22"/>
        </w:rPr>
        <w:t>-</w:t>
      </w:r>
      <w:r w:rsidRPr="009C1CC7">
        <w:rPr>
          <w:rFonts w:ascii="Times New Roman" w:hAnsi="Times New Roman"/>
          <w:sz w:val="22"/>
          <w:szCs w:val="22"/>
        </w:rPr>
        <w:t>cells (MBCs) that recognized the spike protein antigen from the original SARS-CoV-2 Wuhan Hu-1 strain</w:t>
      </w:r>
      <w:r w:rsidR="008669F1">
        <w:rPr>
          <w:rFonts w:ascii="Times New Roman" w:hAnsi="Times New Roman"/>
          <w:sz w:val="22"/>
          <w:szCs w:val="22"/>
        </w:rPr>
        <w:t>. This</w:t>
      </w:r>
      <w:r w:rsidRPr="009C1CC7">
        <w:rPr>
          <w:rFonts w:ascii="Times New Roman" w:hAnsi="Times New Roman"/>
          <w:sz w:val="22"/>
          <w:szCs w:val="22"/>
        </w:rPr>
        <w:t xml:space="preserve"> mean</w:t>
      </w:r>
      <w:r w:rsidR="008669F1">
        <w:rPr>
          <w:rFonts w:ascii="Times New Roman" w:hAnsi="Times New Roman"/>
          <w:sz w:val="22"/>
          <w:szCs w:val="22"/>
        </w:rPr>
        <w:t>s</w:t>
      </w:r>
      <w:r w:rsidRPr="009C1CC7">
        <w:rPr>
          <w:rFonts w:ascii="Times New Roman" w:hAnsi="Times New Roman"/>
          <w:sz w:val="22"/>
          <w:szCs w:val="22"/>
        </w:rPr>
        <w:t xml:space="preserve"> the MBCs generated by the primary vaccination dominated the recall response induced by the bivalent booster (preprint).</w:t>
      </w:r>
      <w:r w:rsidRPr="009C1CC7">
        <w:rPr>
          <w:rStyle w:val="EndnoteReference"/>
          <w:rFonts w:ascii="Times New Roman" w:hAnsi="Times New Roman"/>
          <w:sz w:val="22"/>
          <w:szCs w:val="22"/>
        </w:rPr>
        <w:endnoteReference w:id="103"/>
      </w:r>
      <w:r w:rsidRPr="009C1CC7">
        <w:rPr>
          <w:rFonts w:ascii="Times New Roman" w:hAnsi="Times New Roman"/>
          <w:sz w:val="22"/>
          <w:szCs w:val="22"/>
        </w:rPr>
        <w:t xml:space="preserve"> This bivalent vaccine finding has </w:t>
      </w:r>
      <w:r w:rsidRPr="00FC06E7">
        <w:rPr>
          <w:rFonts w:ascii="Times New Roman" w:hAnsi="Times New Roman"/>
          <w:b/>
          <w:bCs/>
          <w:sz w:val="22"/>
          <w:szCs w:val="22"/>
        </w:rPr>
        <w:t>important implications</w:t>
      </w:r>
      <w:r w:rsidRPr="009C1CC7">
        <w:rPr>
          <w:rFonts w:ascii="Times New Roman" w:hAnsi="Times New Roman"/>
          <w:sz w:val="22"/>
          <w:szCs w:val="22"/>
        </w:rPr>
        <w:t xml:space="preserve"> for </w:t>
      </w:r>
      <w:r w:rsidR="00414C38">
        <w:rPr>
          <w:rFonts w:ascii="Times New Roman" w:hAnsi="Times New Roman"/>
          <w:b/>
          <w:bCs/>
          <w:sz w:val="22"/>
          <w:szCs w:val="22"/>
        </w:rPr>
        <w:t>countries with high</w:t>
      </w:r>
      <w:r w:rsidRPr="00FC06E7">
        <w:rPr>
          <w:rFonts w:ascii="Times New Roman" w:hAnsi="Times New Roman"/>
          <w:b/>
          <w:bCs/>
          <w:sz w:val="22"/>
          <w:szCs w:val="22"/>
        </w:rPr>
        <w:t xml:space="preserve"> </w:t>
      </w:r>
      <w:r w:rsidR="00414C38">
        <w:rPr>
          <w:rFonts w:ascii="Times New Roman" w:hAnsi="Times New Roman"/>
          <w:b/>
          <w:bCs/>
          <w:sz w:val="22"/>
          <w:szCs w:val="22"/>
        </w:rPr>
        <w:t>rates</w:t>
      </w:r>
      <w:r w:rsidRPr="009C1CC7">
        <w:rPr>
          <w:rFonts w:ascii="Times New Roman" w:hAnsi="Times New Roman"/>
          <w:sz w:val="22"/>
          <w:szCs w:val="22"/>
        </w:rPr>
        <w:t xml:space="preserve"> that used the original </w:t>
      </w:r>
      <w:r w:rsidR="008669F1" w:rsidRPr="009C1CC7">
        <w:rPr>
          <w:rFonts w:ascii="Times New Roman" w:hAnsi="Times New Roman"/>
          <w:sz w:val="22"/>
          <w:szCs w:val="22"/>
        </w:rPr>
        <w:t xml:space="preserve">Wuhan Hu-1 </w:t>
      </w:r>
      <w:r w:rsidRPr="009C1CC7">
        <w:rPr>
          <w:rFonts w:ascii="Times New Roman" w:hAnsi="Times New Roman"/>
          <w:sz w:val="22"/>
          <w:szCs w:val="22"/>
        </w:rPr>
        <w:t>strain vaccine</w:t>
      </w:r>
      <w:r w:rsidR="007041A6">
        <w:rPr>
          <w:rFonts w:ascii="Times New Roman" w:hAnsi="Times New Roman"/>
          <w:sz w:val="22"/>
          <w:szCs w:val="22"/>
        </w:rPr>
        <w:t>, like New Zealand, England, Scotland, Canada, etc</w:t>
      </w:r>
      <w:r w:rsidR="00FC06E7">
        <w:rPr>
          <w:rFonts w:ascii="Times New Roman" w:hAnsi="Times New Roman"/>
          <w:sz w:val="22"/>
          <w:szCs w:val="22"/>
        </w:rPr>
        <w:t xml:space="preserve">. and </w:t>
      </w:r>
      <w:r w:rsidR="00DB4153">
        <w:rPr>
          <w:rFonts w:ascii="Times New Roman" w:hAnsi="Times New Roman"/>
          <w:sz w:val="22"/>
          <w:szCs w:val="22"/>
        </w:rPr>
        <w:t>subsequently</w:t>
      </w:r>
      <w:r w:rsidR="00FC06E7">
        <w:rPr>
          <w:rFonts w:ascii="Times New Roman" w:hAnsi="Times New Roman"/>
          <w:sz w:val="22"/>
          <w:szCs w:val="22"/>
        </w:rPr>
        <w:t xml:space="preserve"> attempt to use </w:t>
      </w:r>
      <w:r w:rsidR="00DB4153">
        <w:rPr>
          <w:rFonts w:ascii="Times New Roman" w:hAnsi="Times New Roman"/>
          <w:sz w:val="22"/>
          <w:szCs w:val="22"/>
        </w:rPr>
        <w:t xml:space="preserve">or mandate </w:t>
      </w:r>
      <w:r w:rsidR="00FC06E7">
        <w:rPr>
          <w:rFonts w:ascii="Times New Roman" w:hAnsi="Times New Roman"/>
          <w:sz w:val="22"/>
          <w:szCs w:val="22"/>
        </w:rPr>
        <w:t xml:space="preserve">a bi-/multi-valent vaccine as </w:t>
      </w:r>
      <w:r w:rsidR="00FC06E7" w:rsidRPr="00FC06E7">
        <w:rPr>
          <w:rFonts w:ascii="Times New Roman" w:hAnsi="Times New Roman"/>
          <w:b/>
          <w:bCs/>
          <w:sz w:val="22"/>
          <w:szCs w:val="22"/>
        </w:rPr>
        <w:t>new pandemic waves arrive</w:t>
      </w:r>
      <w:r w:rsidRPr="009C1CC7">
        <w:rPr>
          <w:rFonts w:ascii="Times New Roman" w:hAnsi="Times New Roman"/>
          <w:sz w:val="22"/>
          <w:szCs w:val="22"/>
        </w:rPr>
        <w:t>.</w:t>
      </w:r>
    </w:p>
    <w:p w14:paraId="22C64653" w14:textId="7973B2B1" w:rsidR="00967E2E" w:rsidRDefault="00967E2E" w:rsidP="00EA003A">
      <w:pPr>
        <w:rPr>
          <w:rFonts w:cstheme="minorHAnsi"/>
        </w:rPr>
      </w:pPr>
      <w:r w:rsidRPr="00A162AF">
        <w:t xml:space="preserve">Antigenic imprinting is thus </w:t>
      </w:r>
      <w:r w:rsidR="00674616">
        <w:t>a</w:t>
      </w:r>
      <w:r w:rsidRPr="00A162AF">
        <w:t xml:space="preserve"> </w:t>
      </w:r>
      <w:r w:rsidRPr="00A162AF">
        <w:rPr>
          <w:b/>
          <w:bCs w:val="0"/>
        </w:rPr>
        <w:t>double-edged sword</w:t>
      </w:r>
      <w:r w:rsidRPr="00A162AF">
        <w:t xml:space="preserve"> because it can provide a rapid means of population protection upon </w:t>
      </w:r>
      <w:r w:rsidR="007041A6">
        <w:t>(re)</w:t>
      </w:r>
      <w:r w:rsidRPr="00A162AF">
        <w:t xml:space="preserve">infection </w:t>
      </w:r>
      <w:r w:rsidR="007041A6">
        <w:t xml:space="preserve">with a slightly drifted </w:t>
      </w:r>
      <w:r w:rsidRPr="00A162AF">
        <w:t xml:space="preserve">strain or be an obstacle to </w:t>
      </w:r>
      <w:r>
        <w:t xml:space="preserve">achieving </w:t>
      </w:r>
      <w:r w:rsidRPr="00A162AF">
        <w:t>population protecti</w:t>
      </w:r>
      <w:r>
        <w:t>on</w:t>
      </w:r>
      <w:r w:rsidRPr="00A162AF">
        <w:t xml:space="preserve"> </w:t>
      </w:r>
      <w:r w:rsidR="007041A6">
        <w:t>in the face of significant mutation typical of error-prone RNA viruses</w:t>
      </w:r>
      <w:r w:rsidR="00674616">
        <w:t xml:space="preserve"> during pandemics</w:t>
      </w:r>
      <w:r w:rsidR="007041A6">
        <w:t xml:space="preserve">. This is </w:t>
      </w:r>
      <w:r w:rsidRPr="00A162AF">
        <w:t xml:space="preserve">because </w:t>
      </w:r>
      <w:r w:rsidR="007041A6">
        <w:t>antigenic imprinting</w:t>
      </w:r>
      <w:r w:rsidRPr="00A162AF">
        <w:t xml:space="preserve"> comes at the expense of generating new protective </w:t>
      </w:r>
      <w:r w:rsidR="001F375F">
        <w:t xml:space="preserve">immune </w:t>
      </w:r>
      <w:r w:rsidRPr="00A162AF">
        <w:t xml:space="preserve">responses against antigenically distinct epitopes resulting in </w:t>
      </w:r>
      <w:r w:rsidR="00FC06E7">
        <w:rPr>
          <w:b/>
          <w:bCs w:val="0"/>
        </w:rPr>
        <w:t>vaccine failure</w:t>
      </w:r>
      <w:r w:rsidRPr="00A162AF">
        <w:t>.</w:t>
      </w:r>
      <w:r w:rsidRPr="00A162AF">
        <w:rPr>
          <w:rStyle w:val="EndnoteReference"/>
        </w:rPr>
        <w:endnoteReference w:id="104"/>
      </w:r>
      <w:r w:rsidRPr="00A162AF">
        <w:rPr>
          <w:vertAlign w:val="superscript"/>
        </w:rPr>
        <w:t>,</w:t>
      </w:r>
      <w:r w:rsidRPr="00A162AF">
        <w:rPr>
          <w:rStyle w:val="EndnoteReference"/>
        </w:rPr>
        <w:endnoteReference w:id="105"/>
      </w:r>
      <w:r w:rsidRPr="0005768D">
        <w:rPr>
          <w:rFonts w:cstheme="minorHAnsi"/>
        </w:rPr>
        <w:t xml:space="preserve"> </w:t>
      </w:r>
      <w:r>
        <w:rPr>
          <w:rFonts w:cstheme="minorHAnsi"/>
        </w:rPr>
        <w:t xml:space="preserve">Antigenic imprinting </w:t>
      </w:r>
      <w:r w:rsidR="00FC06E7">
        <w:rPr>
          <w:rFonts w:cstheme="minorHAnsi"/>
        </w:rPr>
        <w:t xml:space="preserve">thus </w:t>
      </w:r>
      <w:r>
        <w:rPr>
          <w:rFonts w:cstheme="minorHAnsi"/>
        </w:rPr>
        <w:t xml:space="preserve">explains why </w:t>
      </w:r>
      <w:r w:rsidR="00FC06E7">
        <w:rPr>
          <w:rFonts w:cstheme="minorHAnsi"/>
        </w:rPr>
        <w:t xml:space="preserve">zoonotic </w:t>
      </w:r>
      <w:r>
        <w:rPr>
          <w:rFonts w:cstheme="minorHAnsi"/>
        </w:rPr>
        <w:t xml:space="preserve">mutation-prone respiratory RNA viruses are problematic to vaccine </w:t>
      </w:r>
      <w:r w:rsidRPr="00DB4153">
        <w:rPr>
          <w:rFonts w:cstheme="minorHAnsi"/>
          <w:b/>
          <w:bCs w:val="0"/>
        </w:rPr>
        <w:t>innovators</w:t>
      </w:r>
      <w:r>
        <w:rPr>
          <w:rFonts w:cstheme="minorHAnsi"/>
        </w:rPr>
        <w:t xml:space="preserve"> and global</w:t>
      </w:r>
      <w:r w:rsidR="00F63700">
        <w:rPr>
          <w:rFonts w:cstheme="minorHAnsi"/>
        </w:rPr>
        <w:t>/national</w:t>
      </w:r>
      <w:r>
        <w:rPr>
          <w:rFonts w:cstheme="minorHAnsi"/>
        </w:rPr>
        <w:t xml:space="preserve"> </w:t>
      </w:r>
      <w:r w:rsidR="00FC06E7">
        <w:rPr>
          <w:rFonts w:cstheme="minorHAnsi"/>
        </w:rPr>
        <w:t>vaccination</w:t>
      </w:r>
      <w:r>
        <w:rPr>
          <w:rFonts w:cstheme="minorHAnsi"/>
        </w:rPr>
        <w:t xml:space="preserve"> </w:t>
      </w:r>
      <w:r w:rsidRPr="00DB4153">
        <w:rPr>
          <w:rFonts w:cstheme="minorHAnsi"/>
          <w:b/>
          <w:bCs w:val="0"/>
        </w:rPr>
        <w:t>strategi</w:t>
      </w:r>
      <w:r w:rsidR="00F63700" w:rsidRPr="00DB4153">
        <w:rPr>
          <w:rFonts w:cstheme="minorHAnsi"/>
          <w:b/>
          <w:bCs w:val="0"/>
        </w:rPr>
        <w:t>sts</w:t>
      </w:r>
      <w:r w:rsidR="00F63700">
        <w:rPr>
          <w:rFonts w:cstheme="minorHAnsi"/>
        </w:rPr>
        <w:t xml:space="preserve"> during pandemics (</w:t>
      </w:r>
      <w:r w:rsidR="00F63700">
        <w:t xml:space="preserve">i.e., WHO, </w:t>
      </w:r>
      <w:r w:rsidR="00DB4153">
        <w:t>healthcare agencies, d</w:t>
      </w:r>
      <w:r w:rsidR="00F63700">
        <w:t xml:space="preserve">rug </w:t>
      </w:r>
      <w:r w:rsidR="00DB4153">
        <w:t>r</w:t>
      </w:r>
      <w:r w:rsidR="00F63700">
        <w:t>egulators)</w:t>
      </w:r>
      <w:r>
        <w:rPr>
          <w:rFonts w:cstheme="minorHAnsi"/>
        </w:rPr>
        <w:t>.</w:t>
      </w:r>
    </w:p>
    <w:p w14:paraId="1F613F0F" w14:textId="6FCAD3D6" w:rsidR="00787E1D" w:rsidRDefault="007B642B" w:rsidP="000F4768">
      <w:pPr>
        <w:rPr>
          <w:rFonts w:cs="Times New Roman"/>
        </w:rPr>
      </w:pPr>
      <w:r>
        <w:rPr>
          <w:rFonts w:cs="Times New Roman"/>
        </w:rPr>
        <w:t>A</w:t>
      </w:r>
      <w:r w:rsidR="00F63700">
        <w:rPr>
          <w:rFonts w:cs="Times New Roman"/>
        </w:rPr>
        <w:t xml:space="preserve">ntigenic imprinting </w:t>
      </w:r>
      <w:r>
        <w:rPr>
          <w:rFonts w:cs="Times New Roman"/>
        </w:rPr>
        <w:t>raises</w:t>
      </w:r>
      <w:r w:rsidR="00F63700">
        <w:rPr>
          <w:rFonts w:cs="Times New Roman"/>
        </w:rPr>
        <w:t xml:space="preserve"> </w:t>
      </w:r>
      <w:r w:rsidR="000F4768" w:rsidRPr="00733998">
        <w:rPr>
          <w:rFonts w:cs="Times New Roman"/>
          <w:b/>
          <w:bCs w:val="0"/>
        </w:rPr>
        <w:t>two</w:t>
      </w:r>
      <w:r w:rsidR="00F63700" w:rsidRPr="00733998">
        <w:rPr>
          <w:rFonts w:cs="Times New Roman"/>
          <w:b/>
          <w:bCs w:val="0"/>
        </w:rPr>
        <w:t xml:space="preserve"> </w:t>
      </w:r>
      <w:r w:rsidR="00414C38">
        <w:rPr>
          <w:rFonts w:cs="Times New Roman"/>
          <w:b/>
          <w:bCs w:val="0"/>
        </w:rPr>
        <w:t>critical</w:t>
      </w:r>
      <w:r w:rsidRPr="00733998">
        <w:rPr>
          <w:rFonts w:cs="Times New Roman"/>
          <w:b/>
          <w:bCs w:val="0"/>
        </w:rPr>
        <w:t xml:space="preserve"> issues</w:t>
      </w:r>
      <w:r w:rsidR="00F63700">
        <w:rPr>
          <w:rFonts w:cs="Times New Roman"/>
        </w:rPr>
        <w:t xml:space="preserve">. Firstly, </w:t>
      </w:r>
      <w:r>
        <w:rPr>
          <w:rFonts w:cs="Times New Roman"/>
        </w:rPr>
        <w:t xml:space="preserve">in my view, </w:t>
      </w:r>
      <w:r w:rsidR="000F4768">
        <w:rPr>
          <w:rFonts w:cs="Times New Roman"/>
        </w:rPr>
        <w:t>with ADE and viral mutation</w:t>
      </w:r>
      <w:r w:rsidR="004B3751">
        <w:rPr>
          <w:rFonts w:cs="Times New Roman"/>
        </w:rPr>
        <w:t xml:space="preserve"> as a </w:t>
      </w:r>
      <w:r w:rsidR="004B3751" w:rsidRPr="004B3751">
        <w:rPr>
          <w:rFonts w:cs="Times New Roman"/>
          <w:b/>
          <w:bCs w:val="0"/>
        </w:rPr>
        <w:t>Trinity</w:t>
      </w:r>
      <w:r w:rsidR="000F4768">
        <w:rPr>
          <w:rFonts w:cs="Times New Roman"/>
        </w:rPr>
        <w:t xml:space="preserve">, it should have been a </w:t>
      </w:r>
      <w:r w:rsidR="00414C38">
        <w:rPr>
          <w:rFonts w:cs="Times New Roman"/>
        </w:rPr>
        <w:t>crucial</w:t>
      </w:r>
      <w:r w:rsidR="000F4768">
        <w:rPr>
          <w:rFonts w:cs="Times New Roman"/>
        </w:rPr>
        <w:t xml:space="preserve"> part of </w:t>
      </w:r>
      <w:r w:rsidR="002949AC" w:rsidRPr="002949AC">
        <w:rPr>
          <w:rFonts w:cs="Times New Roman"/>
          <w:b/>
          <w:bCs w:val="0"/>
        </w:rPr>
        <w:t>vaccination</w:t>
      </w:r>
      <w:r w:rsidR="00F63700">
        <w:rPr>
          <w:rFonts w:cs="Times New Roman"/>
        </w:rPr>
        <w:t xml:space="preserve"> </w:t>
      </w:r>
      <w:r w:rsidR="00F63700" w:rsidRPr="00F63700">
        <w:rPr>
          <w:rFonts w:cs="Times New Roman"/>
          <w:b/>
          <w:bCs w:val="0"/>
        </w:rPr>
        <w:t>informed consent</w:t>
      </w:r>
      <w:r w:rsidR="000F4768">
        <w:rPr>
          <w:rFonts w:cs="Times New Roman"/>
        </w:rPr>
        <w:t xml:space="preserve"> (i.e., </w:t>
      </w:r>
      <w:proofErr w:type="gramStart"/>
      <w:r w:rsidR="000F4768" w:rsidRPr="002949AC">
        <w:rPr>
          <w:rFonts w:cs="Times New Roman"/>
          <w:i/>
          <w:iCs/>
        </w:rPr>
        <w:t>predictable</w:t>
      </w:r>
      <w:proofErr w:type="gramEnd"/>
      <w:r w:rsidR="00DB4153">
        <w:rPr>
          <w:rFonts w:cs="Times New Roman"/>
          <w:i/>
          <w:iCs/>
        </w:rPr>
        <w:t xml:space="preserve"> and scientifically </w:t>
      </w:r>
      <w:r w:rsidR="00227514" w:rsidRPr="002949AC">
        <w:rPr>
          <w:rFonts w:cs="Times New Roman"/>
          <w:i/>
          <w:iCs/>
        </w:rPr>
        <w:t>obvious</w:t>
      </w:r>
      <w:r w:rsidR="000F4768" w:rsidRPr="002949AC">
        <w:rPr>
          <w:rFonts w:cs="Times New Roman"/>
          <w:i/>
          <w:iCs/>
        </w:rPr>
        <w:t xml:space="preserve"> </w:t>
      </w:r>
      <w:r w:rsidRPr="002949AC">
        <w:rPr>
          <w:rFonts w:cs="Times New Roman"/>
          <w:i/>
          <w:iCs/>
        </w:rPr>
        <w:t>risks</w:t>
      </w:r>
      <w:r w:rsidR="00DB4153">
        <w:rPr>
          <w:rFonts w:cs="Times New Roman"/>
          <w:i/>
          <w:iCs/>
        </w:rPr>
        <w:t xml:space="preserve"> associated with </w:t>
      </w:r>
      <w:r w:rsidR="00EC475A">
        <w:rPr>
          <w:rFonts w:cs="Times New Roman"/>
          <w:i/>
          <w:iCs/>
        </w:rPr>
        <w:t xml:space="preserve">vaccination during </w:t>
      </w:r>
      <w:r w:rsidR="00DB4153">
        <w:rPr>
          <w:rFonts w:cs="Times New Roman"/>
          <w:i/>
          <w:iCs/>
        </w:rPr>
        <w:t>pandemic waves</w:t>
      </w:r>
      <w:r w:rsidR="00EC475A">
        <w:rPr>
          <w:rFonts w:cs="Times New Roman"/>
          <w:i/>
          <w:iCs/>
        </w:rPr>
        <w:t xml:space="preserve"> for mutation-prone viruses</w:t>
      </w:r>
      <w:r w:rsidR="000F4768">
        <w:rPr>
          <w:rFonts w:cs="Times New Roman"/>
        </w:rPr>
        <w:t>)</w:t>
      </w:r>
      <w:r w:rsidR="00F63700">
        <w:rPr>
          <w:rFonts w:cs="Times New Roman"/>
        </w:rPr>
        <w:t>.</w:t>
      </w:r>
      <w:r w:rsidR="000F4768">
        <w:rPr>
          <w:rFonts w:cs="Times New Roman"/>
        </w:rPr>
        <w:t xml:space="preserve"> Secondly, Omicron variants could </w:t>
      </w:r>
      <w:r w:rsidR="000F4768" w:rsidRPr="000F4768">
        <w:rPr>
          <w:rFonts w:cs="Times New Roman"/>
          <w:b/>
          <w:bCs w:val="0"/>
        </w:rPr>
        <w:t>revert</w:t>
      </w:r>
      <w:r w:rsidR="00787E1D" w:rsidRPr="000F4768">
        <w:rPr>
          <w:rFonts w:cs="Times New Roman"/>
          <w:b/>
          <w:bCs w:val="0"/>
        </w:rPr>
        <w:t xml:space="preserve"> to a more virulent</w:t>
      </w:r>
      <w:r w:rsidR="00787E1D" w:rsidRPr="00EA2807">
        <w:rPr>
          <w:rFonts w:cs="Times New Roman"/>
        </w:rPr>
        <w:t xml:space="preserve"> </w:t>
      </w:r>
      <w:r>
        <w:rPr>
          <w:rFonts w:cs="Times New Roman"/>
        </w:rPr>
        <w:t>form</w:t>
      </w:r>
      <w:r w:rsidR="00787E1D">
        <w:rPr>
          <w:rFonts w:cs="Times New Roman"/>
        </w:rPr>
        <w:t xml:space="preserve"> (i.e., cause increased disease)</w:t>
      </w:r>
      <w:r w:rsidR="000F4768">
        <w:rPr>
          <w:rFonts w:cs="Times New Roman"/>
        </w:rPr>
        <w:t xml:space="preserve">, </w:t>
      </w:r>
      <w:r w:rsidR="00787E1D">
        <w:rPr>
          <w:rFonts w:cs="Times New Roman"/>
        </w:rPr>
        <w:t xml:space="preserve">which would </w:t>
      </w:r>
      <w:r w:rsidR="000F4768">
        <w:rPr>
          <w:rFonts w:cs="Times New Roman"/>
        </w:rPr>
        <w:t>go</w:t>
      </w:r>
      <w:r w:rsidR="00787E1D">
        <w:rPr>
          <w:rFonts w:cs="Times New Roman"/>
        </w:rPr>
        <w:t xml:space="preserve"> </w:t>
      </w:r>
      <w:r w:rsidR="00FF72C4">
        <w:rPr>
          <w:rFonts w:cs="Times New Roman"/>
        </w:rPr>
        <w:t xml:space="preserve">largely </w:t>
      </w:r>
      <w:r w:rsidR="00787E1D" w:rsidRPr="00733998">
        <w:rPr>
          <w:rFonts w:cs="Times New Roman"/>
          <w:b/>
          <w:bCs w:val="0"/>
        </w:rPr>
        <w:t>uncontested</w:t>
      </w:r>
      <w:r w:rsidR="00787E1D">
        <w:rPr>
          <w:rFonts w:cs="Times New Roman"/>
        </w:rPr>
        <w:t xml:space="preserve"> by an effective </w:t>
      </w:r>
      <w:r w:rsidR="00DA2A2C">
        <w:rPr>
          <w:rFonts w:cs="Times New Roman"/>
        </w:rPr>
        <w:t xml:space="preserve">vaccine-induced </w:t>
      </w:r>
      <w:r w:rsidR="00787E1D">
        <w:rPr>
          <w:rFonts w:cs="Times New Roman"/>
        </w:rPr>
        <w:t>immune response upon (re)infection</w:t>
      </w:r>
      <w:r w:rsidR="000F4768">
        <w:rPr>
          <w:rFonts w:cs="Times New Roman"/>
        </w:rPr>
        <w:t xml:space="preserve">, </w:t>
      </w:r>
      <w:r>
        <w:rPr>
          <w:rFonts w:cs="Times New Roman"/>
        </w:rPr>
        <w:t xml:space="preserve">potentially </w:t>
      </w:r>
      <w:r w:rsidR="000F4768">
        <w:rPr>
          <w:rFonts w:cs="Times New Roman"/>
        </w:rPr>
        <w:t xml:space="preserve">even </w:t>
      </w:r>
      <w:r w:rsidR="00DA2A2C">
        <w:rPr>
          <w:rFonts w:cs="Times New Roman"/>
        </w:rPr>
        <w:t>with</w:t>
      </w:r>
      <w:r w:rsidR="000F4768">
        <w:rPr>
          <w:rFonts w:cs="Times New Roman"/>
        </w:rPr>
        <w:t xml:space="preserve"> </w:t>
      </w:r>
      <w:r>
        <w:rPr>
          <w:rFonts w:cs="Times New Roman"/>
        </w:rPr>
        <w:t xml:space="preserve">second-generation </w:t>
      </w:r>
      <w:r w:rsidR="000F4768">
        <w:rPr>
          <w:rFonts w:cs="Times New Roman"/>
        </w:rPr>
        <w:t>bivalent/multivalent vaccines</w:t>
      </w:r>
      <w:r w:rsidR="00787E1D" w:rsidRPr="00EA2807">
        <w:rPr>
          <w:rFonts w:cs="Times New Roman"/>
        </w:rPr>
        <w:t xml:space="preserve">. </w:t>
      </w:r>
      <w:r>
        <w:rPr>
          <w:rFonts w:cs="Times New Roman"/>
        </w:rPr>
        <w:t>R</w:t>
      </w:r>
      <w:r w:rsidR="00787E1D" w:rsidRPr="007B642B">
        <w:rPr>
          <w:rFonts w:cs="Times New Roman"/>
        </w:rPr>
        <w:t>eversion</w:t>
      </w:r>
      <w:r w:rsidR="00787E1D">
        <w:rPr>
          <w:rFonts w:cs="Times New Roman"/>
        </w:rPr>
        <w:t xml:space="preserve"> to virulence </w:t>
      </w:r>
      <w:r w:rsidR="00787E1D" w:rsidRPr="00EA2807">
        <w:rPr>
          <w:rFonts w:cs="Times New Roman"/>
        </w:rPr>
        <w:t xml:space="preserve">was highlighted </w:t>
      </w:r>
      <w:r w:rsidR="00674616">
        <w:rPr>
          <w:rFonts w:cs="Times New Roman"/>
        </w:rPr>
        <w:t>this year</w:t>
      </w:r>
      <w:r w:rsidR="00787E1D">
        <w:rPr>
          <w:rFonts w:cs="Times New Roman"/>
        </w:rPr>
        <w:t xml:space="preserve"> when</w:t>
      </w:r>
      <w:r w:rsidR="00787E1D" w:rsidRPr="00EA2807">
        <w:rPr>
          <w:rFonts w:cs="Times New Roman"/>
        </w:rPr>
        <w:t xml:space="preserve"> </w:t>
      </w:r>
      <w:r w:rsidR="00787E1D">
        <w:rPr>
          <w:rFonts w:cs="Times New Roman"/>
        </w:rPr>
        <w:t xml:space="preserve">a recombinant </w:t>
      </w:r>
      <w:r w:rsidR="00787E1D" w:rsidRPr="00EA2807">
        <w:rPr>
          <w:rFonts w:cs="Times New Roman"/>
        </w:rPr>
        <w:t>Delta-Omicr</w:t>
      </w:r>
      <w:r w:rsidR="00787E1D">
        <w:rPr>
          <w:rFonts w:cs="Times New Roman"/>
        </w:rPr>
        <w:t>on variant emerged</w:t>
      </w:r>
      <w:r w:rsidR="00787E1D" w:rsidRPr="00EA2807">
        <w:rPr>
          <w:rFonts w:cs="Times New Roman"/>
        </w:rPr>
        <w:t>.</w:t>
      </w:r>
      <w:r w:rsidR="00787E1D" w:rsidRPr="00EA2807">
        <w:rPr>
          <w:rFonts w:cs="Times New Roman"/>
          <w:vertAlign w:val="superscript"/>
        </w:rPr>
        <w:endnoteReference w:id="106"/>
      </w:r>
      <w:r w:rsidR="00787E1D">
        <w:rPr>
          <w:rFonts w:cs="Times New Roman"/>
        </w:rPr>
        <w:t xml:space="preserve"> </w:t>
      </w:r>
      <w:r w:rsidR="00787E1D" w:rsidRPr="00EA2807">
        <w:rPr>
          <w:rFonts w:cs="Times New Roman"/>
        </w:rPr>
        <w:t>This publication states, “</w:t>
      </w:r>
      <w:r w:rsidR="00787E1D" w:rsidRPr="0041212D">
        <w:rPr>
          <w:rFonts w:cs="Times New Roman"/>
          <w:i/>
        </w:rPr>
        <w:t>This recombinant exhibits immune escape properties similar to Omicron, while its behavior in mice expressing the human ACE2 receptor is more similar to Delta</w:t>
      </w:r>
      <w:r w:rsidR="00787E1D" w:rsidRPr="00EA2807">
        <w:rPr>
          <w:rFonts w:cs="Times New Roman"/>
        </w:rPr>
        <w:t xml:space="preserve">” (i.e., </w:t>
      </w:r>
      <w:r w:rsidR="00787E1D">
        <w:rPr>
          <w:rFonts w:cs="Times New Roman"/>
        </w:rPr>
        <w:t xml:space="preserve">the data showed it </w:t>
      </w:r>
      <w:r w:rsidR="00787E1D" w:rsidRPr="00EA2807">
        <w:rPr>
          <w:rFonts w:cs="Times New Roman"/>
        </w:rPr>
        <w:t>was more pathogenic).</w:t>
      </w:r>
      <w:r w:rsidR="00787E1D" w:rsidRPr="00EA2807">
        <w:rPr>
          <w:rFonts w:cs="Times New Roman"/>
          <w:vertAlign w:val="superscript"/>
        </w:rPr>
        <w:endnoteReference w:id="107"/>
      </w:r>
      <w:r w:rsidR="00787E1D">
        <w:rPr>
          <w:rFonts w:cs="Times New Roman"/>
        </w:rPr>
        <w:t xml:space="preserve"> </w:t>
      </w:r>
    </w:p>
    <w:p w14:paraId="013DBF1E" w14:textId="3EFD40AF" w:rsidR="00075993" w:rsidRPr="004106AD" w:rsidRDefault="00AA1CDB" w:rsidP="004C5C79">
      <w:pPr>
        <w:pStyle w:val="Heading3"/>
      </w:pPr>
      <w:bookmarkStart w:id="55" w:name="_Toc509513489"/>
      <w:bookmarkStart w:id="56" w:name="_Toc510678498"/>
      <w:bookmarkStart w:id="57" w:name="_Toc510880002"/>
      <w:bookmarkStart w:id="58" w:name="_Toc512275131"/>
      <w:bookmarkStart w:id="59" w:name="_Toc512360346"/>
      <w:bookmarkStart w:id="60" w:name="_Toc516645030"/>
      <w:bookmarkStart w:id="61" w:name="_Toc111367990"/>
      <w:bookmarkStart w:id="62" w:name="_Toc118041794"/>
      <w:bookmarkStart w:id="63" w:name="_Toc121035126"/>
      <w:bookmarkStart w:id="64" w:name="_Toc516645040"/>
      <w:bookmarkStart w:id="65" w:name="_Toc111367998"/>
      <w:r>
        <w:t xml:space="preserve">Did </w:t>
      </w:r>
      <w:r w:rsidR="00733998">
        <w:t xml:space="preserve">ADE, </w:t>
      </w:r>
      <w:r w:rsidR="00674616">
        <w:t>Antigenic Imprinting</w:t>
      </w:r>
      <w:r w:rsidR="001F375F">
        <w:t xml:space="preserve">, </w:t>
      </w:r>
      <w:r w:rsidR="00246A8B">
        <w:t xml:space="preserve">and </w:t>
      </w:r>
      <w:r w:rsidR="001F375F">
        <w:t>Viral Mutation</w:t>
      </w:r>
      <w:r>
        <w:t xml:space="preserve"> </w:t>
      </w:r>
      <w:r w:rsidR="00424CEA">
        <w:t xml:space="preserve">Risks </w:t>
      </w:r>
      <w:r w:rsidR="007829B5" w:rsidRPr="00733998">
        <w:rPr>
          <w:u w:val="single"/>
        </w:rPr>
        <w:t>Versus</w:t>
      </w:r>
      <w:r w:rsidR="007829B5">
        <w:t xml:space="preserve"> </w:t>
      </w:r>
      <w:r>
        <w:t xml:space="preserve">High Influenza-like </w:t>
      </w:r>
      <w:r w:rsidR="00075993">
        <w:t xml:space="preserve">Survival Rates </w:t>
      </w:r>
      <w:r>
        <w:t>in Sub-70</w:t>
      </w:r>
      <w:r w:rsidR="00E56024">
        <w:t xml:space="preserve"> </w:t>
      </w:r>
      <w:r>
        <w:t>y</w:t>
      </w:r>
      <w:r w:rsidR="00E56024">
        <w:t>ea</w:t>
      </w:r>
      <w:r>
        <w:t>r</w:t>
      </w:r>
      <w:r w:rsidR="00E56024">
        <w:t xml:space="preserve"> Demographics</w:t>
      </w:r>
      <w:r>
        <w:t xml:space="preserve"> </w:t>
      </w:r>
      <w:r w:rsidR="00075993">
        <w:t>and Superior Natural Immunity</w:t>
      </w:r>
      <w:r w:rsidR="00674616">
        <w:t xml:space="preserve"> </w:t>
      </w:r>
      <w:r w:rsidR="00075993">
        <w:t>Support</w:t>
      </w:r>
      <w:bookmarkEnd w:id="55"/>
      <w:bookmarkEnd w:id="56"/>
      <w:bookmarkEnd w:id="57"/>
      <w:bookmarkEnd w:id="58"/>
      <w:bookmarkEnd w:id="59"/>
      <w:bookmarkEnd w:id="60"/>
      <w:r w:rsidR="00075993">
        <w:t xml:space="preserve"> </w:t>
      </w:r>
      <w:r w:rsidR="00424CEA">
        <w:t xml:space="preserve">Whole </w:t>
      </w:r>
      <w:r w:rsidR="00383A1A">
        <w:t>Population</w:t>
      </w:r>
      <w:r w:rsidR="00075993">
        <w:t xml:space="preserve"> Vaccination</w:t>
      </w:r>
      <w:bookmarkEnd w:id="61"/>
      <w:bookmarkEnd w:id="62"/>
      <w:r w:rsidR="00383A1A">
        <w:t>?</w:t>
      </w:r>
      <w:bookmarkEnd w:id="63"/>
    </w:p>
    <w:p w14:paraId="38D9953A" w14:textId="0A40483F" w:rsidR="00075993" w:rsidRDefault="00075993" w:rsidP="00075993">
      <w:pPr>
        <w:rPr>
          <w:rFonts w:cs="Times New Roman"/>
        </w:rPr>
      </w:pPr>
      <w:r>
        <w:t xml:space="preserve">Meta-analysis studies covering the 2020 phase of the pandemic confirmed </w:t>
      </w:r>
      <w:r>
        <w:rPr>
          <w:rFonts w:cs="Times New Roman"/>
        </w:rPr>
        <w:t xml:space="preserve">a median </w:t>
      </w:r>
      <w:r w:rsidRPr="00390010">
        <w:rPr>
          <w:rFonts w:cs="Times New Roman"/>
        </w:rPr>
        <w:t xml:space="preserve">infection fatality rate </w:t>
      </w:r>
      <w:r>
        <w:rPr>
          <w:rFonts w:cs="Times New Roman"/>
        </w:rPr>
        <w:t>of</w:t>
      </w:r>
      <w:r w:rsidRPr="00390010">
        <w:rPr>
          <w:rFonts w:cs="Times New Roman"/>
        </w:rPr>
        <w:t xml:space="preserve"> </w:t>
      </w:r>
      <w:r>
        <w:rPr>
          <w:rFonts w:cs="Times New Roman"/>
        </w:rPr>
        <w:t>0.15%</w:t>
      </w:r>
      <w:r>
        <w:rPr>
          <w:rStyle w:val="EndnoteReference"/>
          <w:rFonts w:cs="Times New Roman"/>
        </w:rPr>
        <w:endnoteReference w:id="108"/>
      </w:r>
      <w:r>
        <w:rPr>
          <w:rFonts w:cs="Times New Roman"/>
        </w:rPr>
        <w:t xml:space="preserve"> to 0.27%, which reduced to a </w:t>
      </w:r>
      <w:r w:rsidRPr="00E97070">
        <w:rPr>
          <w:rFonts w:cs="Times New Roman"/>
          <w:b/>
          <w:bCs w:val="0"/>
        </w:rPr>
        <w:t xml:space="preserve">median </w:t>
      </w:r>
      <w:r>
        <w:rPr>
          <w:rFonts w:cs="Times New Roman"/>
          <w:b/>
          <w:bCs w:val="0"/>
        </w:rPr>
        <w:t xml:space="preserve">of </w:t>
      </w:r>
      <w:r w:rsidRPr="00E97070">
        <w:rPr>
          <w:rFonts w:cs="Times New Roman"/>
          <w:b/>
          <w:bCs w:val="0"/>
        </w:rPr>
        <w:t>0.05%</w:t>
      </w:r>
      <w:r>
        <w:rPr>
          <w:rFonts w:cs="Times New Roman"/>
        </w:rPr>
        <w:t xml:space="preserve"> for people younger than 70 years of age (i.e., 50 per 100,000 infected).</w:t>
      </w:r>
      <w:r>
        <w:rPr>
          <w:rStyle w:val="EndnoteReference"/>
          <w:rFonts w:cs="Times New Roman"/>
        </w:rPr>
        <w:endnoteReference w:id="109"/>
      </w:r>
      <w:r>
        <w:rPr>
          <w:rFonts w:cs="Times New Roman"/>
        </w:rPr>
        <w:t xml:space="preserve">  This means those over 70 years of age carried the burden of COVID-19 disease and death and were at the most risk of severe disease. </w:t>
      </w:r>
      <w:r w:rsidR="0061525B">
        <w:rPr>
          <w:rFonts w:cs="Times New Roman"/>
        </w:rPr>
        <w:t>By comparison, the</w:t>
      </w:r>
      <w:r w:rsidR="00614206" w:rsidRPr="00DE615B">
        <w:rPr>
          <w:rFonts w:cs="Times New Roman"/>
        </w:rPr>
        <w:t xml:space="preserve"> estimated </w:t>
      </w:r>
      <w:r w:rsidR="0061525B">
        <w:rPr>
          <w:rFonts w:cs="Times New Roman"/>
        </w:rPr>
        <w:t xml:space="preserve">global </w:t>
      </w:r>
      <w:r w:rsidR="00614206" w:rsidRPr="00DE615B">
        <w:rPr>
          <w:rFonts w:cs="Times New Roman"/>
        </w:rPr>
        <w:t xml:space="preserve">mortality rate for </w:t>
      </w:r>
      <w:r w:rsidR="00614206" w:rsidRPr="00244132">
        <w:rPr>
          <w:rFonts w:cs="Times New Roman"/>
          <w:b/>
          <w:bCs w:val="0"/>
        </w:rPr>
        <w:t>seasonal influenza was 0.04%</w:t>
      </w:r>
      <w:r w:rsidR="00614206" w:rsidRPr="00DE615B">
        <w:rPr>
          <w:rFonts w:cs="Times New Roman"/>
        </w:rPr>
        <w:t xml:space="preserve">, </w:t>
      </w:r>
      <w:r w:rsidR="00414C38">
        <w:rPr>
          <w:rFonts w:cs="Times New Roman"/>
        </w:rPr>
        <w:t>similar to COVID-19 for those under</w:t>
      </w:r>
      <w:r w:rsidR="00614206">
        <w:rPr>
          <w:rFonts w:cs="Times New Roman"/>
        </w:rPr>
        <w:t xml:space="preserve"> </w:t>
      </w:r>
      <w:r w:rsidR="00614206" w:rsidRPr="00DE615B">
        <w:rPr>
          <w:rFonts w:cs="Times New Roman"/>
        </w:rPr>
        <w:t>70</w:t>
      </w:r>
      <w:r w:rsidR="00614206">
        <w:rPr>
          <w:rFonts w:cs="Times New Roman"/>
        </w:rPr>
        <w:t xml:space="preserve"> </w:t>
      </w:r>
      <w:r w:rsidR="00614206" w:rsidRPr="00DE615B">
        <w:rPr>
          <w:rFonts w:cs="Times New Roman"/>
        </w:rPr>
        <w:t>y</w:t>
      </w:r>
      <w:r w:rsidR="00614206">
        <w:rPr>
          <w:rFonts w:cs="Times New Roman"/>
        </w:rPr>
        <w:t>ea</w:t>
      </w:r>
      <w:r w:rsidR="00614206" w:rsidRPr="00DE615B">
        <w:rPr>
          <w:rFonts w:cs="Times New Roman"/>
        </w:rPr>
        <w:t>rs</w:t>
      </w:r>
      <w:r w:rsidR="001F375F">
        <w:rPr>
          <w:rFonts w:cs="Times New Roman"/>
        </w:rPr>
        <w:t xml:space="preserve"> of age</w:t>
      </w:r>
      <w:r w:rsidR="00614206" w:rsidRPr="00DE615B">
        <w:rPr>
          <w:rFonts w:cs="Times New Roman"/>
        </w:rPr>
        <w:t>.</w:t>
      </w:r>
      <w:r w:rsidR="00614206" w:rsidRPr="00DE615B">
        <w:rPr>
          <w:rStyle w:val="EndnoteReference"/>
          <w:rFonts w:cs="Times New Roman"/>
        </w:rPr>
        <w:endnoteReference w:id="110"/>
      </w:r>
    </w:p>
    <w:p w14:paraId="0E3E95CF" w14:textId="6EF41AEE" w:rsidR="00075993" w:rsidRPr="00DE615B" w:rsidRDefault="00075993" w:rsidP="00075993">
      <w:pPr>
        <w:rPr>
          <w:rFonts w:cs="Times New Roman"/>
        </w:rPr>
      </w:pPr>
      <w:r w:rsidRPr="00DE615B">
        <w:t>Two global reviews covering 2020</w:t>
      </w:r>
      <w:r w:rsidR="00674616">
        <w:t>, the worst part of the pandemic</w:t>
      </w:r>
      <w:r w:rsidR="00614206">
        <w:t>,</w:t>
      </w:r>
      <w:r w:rsidRPr="00DE615B">
        <w:t xml:space="preserve"> revealed </w:t>
      </w:r>
      <w:r w:rsidRPr="00DE615B">
        <w:rPr>
          <w:b/>
          <w:bCs w:val="0"/>
        </w:rPr>
        <w:t>high survival rates</w:t>
      </w:r>
      <w:r w:rsidRPr="00DE615B">
        <w:t xml:space="preserve"> in healthy </w:t>
      </w:r>
      <w:r w:rsidRPr="00DE615B">
        <w:lastRenderedPageBreak/>
        <w:t>adults, youth, and kids (</w:t>
      </w:r>
      <w:r w:rsidRPr="00DE615B">
        <w:rPr>
          <w:i/>
        </w:rPr>
        <w:t>Study-1:</w:t>
      </w:r>
      <w:r w:rsidRPr="00DE615B">
        <w:rPr>
          <w:rStyle w:val="EndnoteReference"/>
          <w:i/>
        </w:rPr>
        <w:endnoteReference w:id="111"/>
      </w:r>
      <w:r w:rsidRPr="00DE615B">
        <w:rPr>
          <w:i/>
        </w:rPr>
        <w:t xml:space="preserve"> 0-19yr: 99.9973%, 20-29yr: 99.986%, 30-39yr: 99.969%. 40-49yr: 99.918%. Study-2:</w:t>
      </w:r>
      <w:r w:rsidRPr="00DE615B">
        <w:rPr>
          <w:rStyle w:val="EndnoteReference"/>
          <w:i/>
        </w:rPr>
        <w:endnoteReference w:id="112"/>
      </w:r>
      <w:r w:rsidRPr="00DE615B">
        <w:rPr>
          <w:i/>
        </w:rPr>
        <w:t xml:space="preserve"> 0-34yrs: 99.996%. 35-44yrs: 99.932%</w:t>
      </w:r>
      <w:r w:rsidRPr="00DE615B">
        <w:t xml:space="preserve">). For risk calibration, SARS-CoV-2 fatality rates for 0-34yr age groups were on par with automobile and other accident fatalities (Study-2). Furthermore, mortality rates for </w:t>
      </w:r>
      <w:r w:rsidR="00614206">
        <w:t>those young</w:t>
      </w:r>
      <w:r w:rsidR="003E2721">
        <w:t>er</w:t>
      </w:r>
      <w:r w:rsidR="00614206">
        <w:t xml:space="preserve"> than </w:t>
      </w:r>
      <w:r w:rsidRPr="00DE615B">
        <w:t>18</w:t>
      </w:r>
      <w:r w:rsidR="00614206">
        <w:t xml:space="preserve"> </w:t>
      </w:r>
      <w:r w:rsidRPr="00DE615B">
        <w:t>y</w:t>
      </w:r>
      <w:r w:rsidR="00614206">
        <w:t>ea</w:t>
      </w:r>
      <w:r w:rsidRPr="00DE615B">
        <w:t xml:space="preserve">rs </w:t>
      </w:r>
      <w:r w:rsidR="003E2721">
        <w:t xml:space="preserve">old </w:t>
      </w:r>
      <w:r w:rsidRPr="00DE615B">
        <w:t xml:space="preserve">were less than 0.003%, or 3 per 100,000, </w:t>
      </w:r>
      <w:r w:rsidRPr="00DE615B">
        <w:rPr>
          <w:b/>
          <w:bCs w:val="0"/>
        </w:rPr>
        <w:t>comparable to influenza</w:t>
      </w:r>
      <w:r w:rsidRPr="00DE615B">
        <w:t xml:space="preserve"> (CDC, Table 2).</w:t>
      </w:r>
      <w:r w:rsidRPr="00DE615B">
        <w:rPr>
          <w:vertAlign w:val="superscript"/>
        </w:rPr>
        <w:endnoteReference w:id="113"/>
      </w:r>
      <w:r w:rsidRPr="00DE615B">
        <w:rPr>
          <w:vertAlign w:val="superscript"/>
        </w:rPr>
        <w:t xml:space="preserve"> </w:t>
      </w:r>
      <w:r w:rsidR="007278DC">
        <w:t>In my view, s</w:t>
      </w:r>
      <w:r w:rsidR="007278DC" w:rsidRPr="00DE615B">
        <w:t>urvival rates for kids,</w:t>
      </w:r>
      <w:r w:rsidR="007278DC" w:rsidRPr="00DE615B">
        <w:rPr>
          <w:rStyle w:val="EndnoteReference"/>
          <w:rFonts w:cs="Times New Roman"/>
        </w:rPr>
        <w:endnoteReference w:id="114"/>
      </w:r>
      <w:r w:rsidR="007278DC" w:rsidRPr="00DE615B">
        <w:t xml:space="preserve"> youth, and working-age adults were higher than </w:t>
      </w:r>
      <w:r w:rsidR="007278DC">
        <w:t xml:space="preserve">government healthcare and media </w:t>
      </w:r>
      <w:r w:rsidR="007278DC" w:rsidRPr="00DE615B">
        <w:t>narratives suggested.</w:t>
      </w:r>
    </w:p>
    <w:p w14:paraId="59E3B72C" w14:textId="1016072D" w:rsidR="00B73AA3" w:rsidRPr="001C36B4" w:rsidRDefault="00B73AA3" w:rsidP="00F6481C">
      <w:pPr>
        <w:rPr>
          <w:color w:val="00B0F0"/>
        </w:rPr>
      </w:pPr>
      <w:r w:rsidRPr="00D522EA">
        <w:t>Omicron</w:t>
      </w:r>
      <w:r>
        <w:t>’s</w:t>
      </w:r>
      <w:r w:rsidRPr="00D522EA">
        <w:t xml:space="preserve"> </w:t>
      </w:r>
      <w:r>
        <w:t>disease</w:t>
      </w:r>
      <w:r w:rsidRPr="00D522EA">
        <w:t xml:space="preserve"> severity </w:t>
      </w:r>
      <w:r>
        <w:t xml:space="preserve">was </w:t>
      </w:r>
      <w:r w:rsidRPr="00B73AA3">
        <w:rPr>
          <w:b/>
          <w:bCs w:val="0"/>
        </w:rPr>
        <w:t>significantly lower</w:t>
      </w:r>
      <w:r>
        <w:t xml:space="preserve"> than</w:t>
      </w:r>
      <w:r w:rsidRPr="00E32E52">
        <w:t xml:space="preserve"> </w:t>
      </w:r>
      <w:r w:rsidR="001F375F">
        <w:t xml:space="preserve">for </w:t>
      </w:r>
      <w:r>
        <w:t>Delta</w:t>
      </w:r>
      <w:r w:rsidRPr="00E32E52">
        <w:t xml:space="preserve"> (</w:t>
      </w:r>
      <w:r>
        <w:t xml:space="preserve">i.e., </w:t>
      </w:r>
      <w:r w:rsidRPr="00E32E52">
        <w:t>&gt;50-70%</w:t>
      </w:r>
      <w:r>
        <w:t>, p &lt; .05</w:t>
      </w:r>
      <w:r w:rsidR="001F375F">
        <w:t xml:space="preserve"> for </w:t>
      </w:r>
      <w:r w:rsidRPr="00D90BC9">
        <w:rPr>
          <w:i/>
        </w:rPr>
        <w:t>progression to symptomatic disease, hospital admission, ICU admission, mechanical ventilation, length of stay, and death</w:t>
      </w:r>
      <w:r w:rsidRPr="00E32E52">
        <w:t>)</w:t>
      </w:r>
      <w:r>
        <w:t xml:space="preserve"> but was </w:t>
      </w:r>
      <w:r w:rsidRPr="00D522EA">
        <w:t xml:space="preserve">associated with much higher transmissibility than </w:t>
      </w:r>
      <w:r>
        <w:t>earlier</w:t>
      </w:r>
      <w:r w:rsidRPr="00D522EA">
        <w:t xml:space="preserve"> </w:t>
      </w:r>
      <w:r>
        <w:t xml:space="preserve">SARS-CoV-2 </w:t>
      </w:r>
      <w:r w:rsidRPr="00D522EA">
        <w:t>variants</w:t>
      </w:r>
      <w:r>
        <w:t>.</w:t>
      </w:r>
      <w:r w:rsidRPr="00B73AA3">
        <w:rPr>
          <w:vertAlign w:val="superscript"/>
        </w:rPr>
        <w:endnoteReference w:id="115"/>
      </w:r>
      <w:r w:rsidRPr="00B73AA3">
        <w:rPr>
          <w:vertAlign w:val="superscript"/>
        </w:rPr>
        <w:t>,</w:t>
      </w:r>
      <w:r w:rsidRPr="00B73AA3">
        <w:rPr>
          <w:vertAlign w:val="superscript"/>
        </w:rPr>
        <w:endnoteReference w:id="116"/>
      </w:r>
      <w:r w:rsidRPr="00B73AA3">
        <w:rPr>
          <w:vertAlign w:val="superscript"/>
        </w:rPr>
        <w:t>,</w:t>
      </w:r>
      <w:r w:rsidRPr="00B73AA3">
        <w:rPr>
          <w:vertAlign w:val="superscript"/>
        </w:rPr>
        <w:endnoteReference w:id="117"/>
      </w:r>
      <w:r w:rsidRPr="00B73AA3">
        <w:rPr>
          <w:vertAlign w:val="superscript"/>
        </w:rPr>
        <w:t>,</w:t>
      </w:r>
      <w:r w:rsidRPr="00B73AA3">
        <w:rPr>
          <w:vertAlign w:val="superscript"/>
        </w:rPr>
        <w:endnoteReference w:id="118"/>
      </w:r>
      <w:r w:rsidRPr="00B73AA3">
        <w:rPr>
          <w:vertAlign w:val="superscript"/>
        </w:rPr>
        <w:t>,</w:t>
      </w:r>
      <w:r w:rsidRPr="00B73AA3">
        <w:rPr>
          <w:vertAlign w:val="superscript"/>
        </w:rPr>
        <w:endnoteReference w:id="119"/>
      </w:r>
      <w:r w:rsidRPr="00B73AA3">
        <w:rPr>
          <w:vertAlign w:val="superscript"/>
        </w:rPr>
        <w:t>,</w:t>
      </w:r>
      <w:r w:rsidRPr="00B73AA3">
        <w:rPr>
          <w:vertAlign w:val="superscript"/>
        </w:rPr>
        <w:endnoteReference w:id="120"/>
      </w:r>
      <w:r w:rsidRPr="00B73AA3">
        <w:rPr>
          <w:vertAlign w:val="superscript"/>
        </w:rPr>
        <w:t>,</w:t>
      </w:r>
      <w:r w:rsidRPr="00B73AA3">
        <w:rPr>
          <w:vertAlign w:val="superscript"/>
        </w:rPr>
        <w:endnoteReference w:id="121"/>
      </w:r>
      <w:r w:rsidRPr="00B73AA3">
        <w:rPr>
          <w:vertAlign w:val="superscript"/>
        </w:rPr>
        <w:t>,</w:t>
      </w:r>
      <w:r w:rsidRPr="00B73AA3">
        <w:rPr>
          <w:vertAlign w:val="superscript"/>
        </w:rPr>
        <w:endnoteReference w:id="122"/>
      </w:r>
      <w:r w:rsidRPr="00B73AA3">
        <w:rPr>
          <w:vertAlign w:val="superscript"/>
        </w:rPr>
        <w:t>,</w:t>
      </w:r>
      <w:r w:rsidRPr="00B73AA3">
        <w:rPr>
          <w:vertAlign w:val="superscript"/>
        </w:rPr>
        <w:endnoteReference w:id="123"/>
      </w:r>
      <w:r w:rsidRPr="00B73AA3">
        <w:rPr>
          <w:vertAlign w:val="superscript"/>
        </w:rPr>
        <w:t xml:space="preserve"> </w:t>
      </w:r>
      <w:r w:rsidR="00F6481C">
        <w:rPr>
          <w:color w:val="000000" w:themeColor="text1"/>
        </w:rPr>
        <w:t>T</w:t>
      </w:r>
      <w:r w:rsidRPr="00AD4846">
        <w:rPr>
          <w:color w:val="000000" w:themeColor="text1"/>
        </w:rPr>
        <w:t xml:space="preserve">he </w:t>
      </w:r>
      <w:r>
        <w:rPr>
          <w:color w:val="000000" w:themeColor="text1"/>
        </w:rPr>
        <w:t>COVID-19</w:t>
      </w:r>
      <w:r w:rsidRPr="00AD4846">
        <w:rPr>
          <w:color w:val="000000" w:themeColor="text1"/>
        </w:rPr>
        <w:t xml:space="preserve"> pandemic </w:t>
      </w:r>
      <w:r>
        <w:rPr>
          <w:color w:val="000000" w:themeColor="text1"/>
        </w:rPr>
        <w:t xml:space="preserve">from the </w:t>
      </w:r>
      <w:r w:rsidRPr="005D15C6">
        <w:rPr>
          <w:rFonts w:cs="Times New Roman"/>
        </w:rPr>
        <w:t>Wuhan Hu-1</w:t>
      </w:r>
      <w:r>
        <w:rPr>
          <w:rFonts w:cs="Times New Roman"/>
        </w:rPr>
        <w:t xml:space="preserve"> </w:t>
      </w:r>
      <w:r>
        <w:rPr>
          <w:color w:val="000000" w:themeColor="text1"/>
        </w:rPr>
        <w:t xml:space="preserve">to the </w:t>
      </w:r>
      <w:r w:rsidRPr="00AD4846">
        <w:rPr>
          <w:color w:val="000000" w:themeColor="text1"/>
        </w:rPr>
        <w:t>Omicron appear</w:t>
      </w:r>
      <w:r w:rsidR="00F6481C">
        <w:rPr>
          <w:color w:val="000000" w:themeColor="text1"/>
        </w:rPr>
        <w:t>ed</w:t>
      </w:r>
      <w:r w:rsidRPr="00AD4846">
        <w:rPr>
          <w:color w:val="000000" w:themeColor="text1"/>
        </w:rPr>
        <w:t xml:space="preserve"> to follow </w:t>
      </w:r>
      <w:r w:rsidR="00F6481C">
        <w:rPr>
          <w:color w:val="000000" w:themeColor="text1"/>
        </w:rPr>
        <w:t xml:space="preserve">a trend </w:t>
      </w:r>
      <w:r w:rsidRPr="00AD4846">
        <w:rPr>
          <w:color w:val="000000" w:themeColor="text1"/>
        </w:rPr>
        <w:t xml:space="preserve">from higher virulence and lower transmissibility in the first pandemic wave to </w:t>
      </w:r>
      <w:r>
        <w:rPr>
          <w:color w:val="000000" w:themeColor="text1"/>
        </w:rPr>
        <w:t>higher levels</w:t>
      </w:r>
      <w:r w:rsidRPr="00AD4846">
        <w:rPr>
          <w:color w:val="000000" w:themeColor="text1"/>
        </w:rPr>
        <w:t xml:space="preserve"> of transmission with </w:t>
      </w:r>
      <w:r w:rsidRPr="00C039E0">
        <w:rPr>
          <w:b/>
          <w:bCs w:val="0"/>
          <w:color w:val="000000" w:themeColor="text1"/>
        </w:rPr>
        <w:t>significantly lower virulence</w:t>
      </w:r>
      <w:r w:rsidRPr="00AD4846">
        <w:rPr>
          <w:color w:val="000000" w:themeColor="text1"/>
        </w:rPr>
        <w:t xml:space="preserve"> in the Omicron wave (</w:t>
      </w:r>
      <w:r w:rsidRPr="00AD4846">
        <w:rPr>
          <w:i/>
          <w:color w:val="000000" w:themeColor="text1"/>
        </w:rPr>
        <w:t>see OWID graphic, global.</w:t>
      </w:r>
      <w:r w:rsidRPr="00AD4846">
        <w:rPr>
          <w:rStyle w:val="EndnoteReference"/>
          <w:i/>
          <w:color w:val="000000" w:themeColor="text1"/>
        </w:rPr>
        <w:endnoteReference w:id="124"/>
      </w:r>
      <w:r w:rsidRPr="00AD4846">
        <w:rPr>
          <w:i/>
          <w:color w:val="000000" w:themeColor="text1"/>
        </w:rPr>
        <w:t xml:space="preserve"> UKHSA Figures 53, 58 and pgs.65, 75,</w:t>
      </w:r>
      <w:r w:rsidRPr="00AD4846">
        <w:rPr>
          <w:rStyle w:val="EndnoteReference"/>
          <w:i/>
          <w:color w:val="000000" w:themeColor="text1"/>
        </w:rPr>
        <w:endnoteReference w:id="125"/>
      </w:r>
      <w:r w:rsidRPr="00AD4846">
        <w:rPr>
          <w:i/>
          <w:color w:val="000000" w:themeColor="text1"/>
        </w:rPr>
        <w:t xml:space="preserve"> Scotland data: Figures 7 and 11.</w:t>
      </w:r>
      <w:r w:rsidRPr="00AD4846">
        <w:rPr>
          <w:rStyle w:val="EndnoteReference"/>
          <w:color w:val="000000" w:themeColor="text1"/>
        </w:rPr>
        <w:endnoteReference w:id="126"/>
      </w:r>
      <w:r w:rsidRPr="00AD4846">
        <w:rPr>
          <w:color w:val="000000" w:themeColor="text1"/>
        </w:rPr>
        <w:t xml:space="preserve">). This suggests transmissibility </w:t>
      </w:r>
      <w:r>
        <w:rPr>
          <w:color w:val="000000" w:themeColor="text1"/>
        </w:rPr>
        <w:t xml:space="preserve">was </w:t>
      </w:r>
      <w:r w:rsidRPr="00AD4846">
        <w:rPr>
          <w:color w:val="000000" w:themeColor="text1"/>
        </w:rPr>
        <w:t xml:space="preserve">a Darwinian trait during </w:t>
      </w:r>
      <w:r>
        <w:rPr>
          <w:color w:val="000000" w:themeColor="text1"/>
        </w:rPr>
        <w:t xml:space="preserve">this </w:t>
      </w:r>
      <w:r w:rsidRPr="00AD4846">
        <w:rPr>
          <w:color w:val="000000" w:themeColor="text1"/>
        </w:rPr>
        <w:t xml:space="preserve">pandemic, or rather sick-moribund people don’t transmit </w:t>
      </w:r>
      <w:r>
        <w:rPr>
          <w:color w:val="000000" w:themeColor="text1"/>
        </w:rPr>
        <w:t>the</w:t>
      </w:r>
      <w:r w:rsidRPr="00AD4846">
        <w:rPr>
          <w:color w:val="000000" w:themeColor="text1"/>
        </w:rPr>
        <w:t xml:space="preserve"> virus as well as asymptomatic or mildly ill and publicly circulating people. </w:t>
      </w:r>
      <w:r w:rsidR="00F6481C">
        <w:rPr>
          <w:color w:val="000000" w:themeColor="text1"/>
        </w:rPr>
        <w:t xml:space="preserve">This appears similar to </w:t>
      </w:r>
      <w:r w:rsidR="00244132">
        <w:rPr>
          <w:color w:val="000000" w:themeColor="text1"/>
        </w:rPr>
        <w:t xml:space="preserve">my observed trends across </w:t>
      </w:r>
      <w:r w:rsidR="00F6481C">
        <w:rPr>
          <w:color w:val="000000" w:themeColor="text1"/>
        </w:rPr>
        <w:t xml:space="preserve">500 years of </w:t>
      </w:r>
      <w:r w:rsidR="00F6481C" w:rsidRPr="00AD4846">
        <w:rPr>
          <w:color w:val="000000" w:themeColor="text1"/>
        </w:rPr>
        <w:t>influenza</w:t>
      </w:r>
      <w:r w:rsidR="00F6481C">
        <w:rPr>
          <w:color w:val="000000" w:themeColor="text1"/>
        </w:rPr>
        <w:t xml:space="preserve"> pandemics (i.e., </w:t>
      </w:r>
      <w:r w:rsidR="00733998">
        <w:rPr>
          <w:color w:val="000000" w:themeColor="text1"/>
        </w:rPr>
        <w:t xml:space="preserve">private research, </w:t>
      </w:r>
      <w:r w:rsidR="00F6481C" w:rsidRPr="001F375F">
        <w:rPr>
          <w:b/>
          <w:bCs w:val="0"/>
        </w:rPr>
        <w:t xml:space="preserve">see </w:t>
      </w:r>
      <w:hyperlink r:id="rId14" w:history="1">
        <w:r w:rsidR="00F6481C" w:rsidRPr="00733998">
          <w:rPr>
            <w:rStyle w:val="Hyperlink"/>
            <w:b/>
            <w:bCs w:val="0"/>
            <w:color w:val="0432FF"/>
          </w:rPr>
          <w:t>hyperlink</w:t>
        </w:r>
      </w:hyperlink>
      <w:r w:rsidR="00F6481C">
        <w:rPr>
          <w:color w:val="000000" w:themeColor="text1"/>
        </w:rPr>
        <w:t>).</w:t>
      </w:r>
      <w:r w:rsidR="00EC475A">
        <w:rPr>
          <w:rStyle w:val="EndnoteReference"/>
          <w:color w:val="000000" w:themeColor="text1"/>
        </w:rPr>
        <w:endnoteReference w:id="127"/>
      </w:r>
    </w:p>
    <w:p w14:paraId="10D02923" w14:textId="31E050B1" w:rsidR="00C00939" w:rsidRPr="00B9366D" w:rsidRDefault="00075993" w:rsidP="00075993">
      <w:pPr>
        <w:rPr>
          <w:szCs w:val="22"/>
        </w:rPr>
      </w:pPr>
      <w:r w:rsidRPr="0061525B">
        <w:t xml:space="preserve">In my view, by </w:t>
      </w:r>
      <w:r w:rsidR="00A96F80" w:rsidRPr="00733998">
        <w:rPr>
          <w:b/>
          <w:bCs w:val="0"/>
        </w:rPr>
        <w:t>conflating</w:t>
      </w:r>
      <w:r w:rsidR="00A96F80">
        <w:t xml:space="preserve"> high transmissibility with high virulence (esp. Omicron) and using this to motivate vaccination in </w:t>
      </w:r>
      <w:r w:rsidRPr="0061525B">
        <w:t>all population demographics</w:t>
      </w:r>
      <w:r w:rsidR="00F95681">
        <w:t>,</w:t>
      </w:r>
      <w:r w:rsidRPr="0061525B">
        <w:t xml:space="preserve"> the</w:t>
      </w:r>
      <w:r w:rsidRPr="0061525B">
        <w:rPr>
          <w:szCs w:val="22"/>
        </w:rPr>
        <w:t xml:space="preserve"> lower-risk part of humanity was </w:t>
      </w:r>
      <w:r w:rsidR="009A5CF5">
        <w:rPr>
          <w:b/>
          <w:bCs w:val="0"/>
          <w:szCs w:val="22"/>
        </w:rPr>
        <w:t>deprived</w:t>
      </w:r>
      <w:r w:rsidRPr="00244132">
        <w:rPr>
          <w:b/>
          <w:bCs w:val="0"/>
          <w:szCs w:val="22"/>
        </w:rPr>
        <w:t xml:space="preserve"> of the opportunity</w:t>
      </w:r>
      <w:r w:rsidRPr="0061525B">
        <w:rPr>
          <w:szCs w:val="22"/>
        </w:rPr>
        <w:t xml:space="preserve"> to develop natural immunity, which</w:t>
      </w:r>
      <w:r w:rsidRPr="0061525B">
        <w:t xml:space="preserve"> is superior to COVID-19 </w:t>
      </w:r>
      <w:r w:rsidR="0061525B" w:rsidRPr="0061525B">
        <w:t>vaccination</w:t>
      </w:r>
      <w:r w:rsidRPr="0061525B">
        <w:t xml:space="preserve"> (i.e., </w:t>
      </w:r>
      <w:r w:rsidRPr="00733998">
        <w:rPr>
          <w:i/>
          <w:iCs/>
        </w:rPr>
        <w:t>duration of protection, cross-protection, broader antiviral T-</w:t>
      </w:r>
      <w:proofErr w:type="gramStart"/>
      <w:r w:rsidRPr="00733998">
        <w:rPr>
          <w:i/>
          <w:iCs/>
        </w:rPr>
        <w:t>cell</w:t>
      </w:r>
      <w:proofErr w:type="gramEnd"/>
      <w:r w:rsidRPr="00733998">
        <w:rPr>
          <w:i/>
          <w:iCs/>
        </w:rPr>
        <w:t xml:space="preserve"> and B-cell immunity</w:t>
      </w:r>
      <w:r>
        <w:t>). S</w:t>
      </w:r>
      <w:r w:rsidRPr="004D1941">
        <w:t>ee 200+ publications via 2-citation links</w:t>
      </w:r>
      <w:r>
        <w:t xml:space="preserve"> to comprehend this statement of opinion.</w:t>
      </w:r>
      <w:r w:rsidRPr="004D1941">
        <w:rPr>
          <w:rStyle w:val="EndnoteReference"/>
        </w:rPr>
        <w:endnoteReference w:id="128"/>
      </w:r>
      <w:r w:rsidRPr="004D1941">
        <w:rPr>
          <w:vertAlign w:val="superscript"/>
        </w:rPr>
        <w:t>,</w:t>
      </w:r>
      <w:r w:rsidRPr="004D1941">
        <w:rPr>
          <w:rStyle w:val="EndnoteReference"/>
          <w:szCs w:val="22"/>
        </w:rPr>
        <w:endnoteReference w:id="129"/>
      </w:r>
      <w:r>
        <w:rPr>
          <w:szCs w:val="22"/>
        </w:rPr>
        <w:t xml:space="preserve"> </w:t>
      </w:r>
      <w:r w:rsidRPr="004D1941">
        <w:rPr>
          <w:szCs w:val="22"/>
        </w:rPr>
        <w:t xml:space="preserve">Governments </w:t>
      </w:r>
      <w:r>
        <w:rPr>
          <w:szCs w:val="22"/>
        </w:rPr>
        <w:t xml:space="preserve">also </w:t>
      </w:r>
      <w:r w:rsidRPr="004D1941">
        <w:rPr>
          <w:szCs w:val="22"/>
        </w:rPr>
        <w:t xml:space="preserve">had </w:t>
      </w:r>
      <w:r>
        <w:rPr>
          <w:szCs w:val="22"/>
        </w:rPr>
        <w:t>non-vaccine</w:t>
      </w:r>
      <w:r w:rsidRPr="004D1941">
        <w:rPr>
          <w:szCs w:val="22"/>
        </w:rPr>
        <w:t xml:space="preserve"> options </w:t>
      </w:r>
      <w:r>
        <w:rPr>
          <w:szCs w:val="22"/>
        </w:rPr>
        <w:t>for</w:t>
      </w:r>
      <w:r w:rsidRPr="004D1941">
        <w:rPr>
          <w:szCs w:val="22"/>
        </w:rPr>
        <w:t xml:space="preserve"> </w:t>
      </w:r>
      <w:r>
        <w:rPr>
          <w:szCs w:val="22"/>
        </w:rPr>
        <w:t xml:space="preserve">prophylactic disease </w:t>
      </w:r>
      <w:r w:rsidRPr="004D1941">
        <w:rPr>
          <w:szCs w:val="22"/>
        </w:rPr>
        <w:t>manag</w:t>
      </w:r>
      <w:r>
        <w:rPr>
          <w:szCs w:val="22"/>
        </w:rPr>
        <w:t xml:space="preserve">ement </w:t>
      </w:r>
      <w:r w:rsidR="002A5DAA">
        <w:rPr>
          <w:szCs w:val="22"/>
        </w:rPr>
        <w:t xml:space="preserve">(i.e., </w:t>
      </w:r>
      <w:r w:rsidR="000B4E3C">
        <w:rPr>
          <w:szCs w:val="22"/>
        </w:rPr>
        <w:t>I</w:t>
      </w:r>
      <w:r w:rsidR="002A5DAA">
        <w:rPr>
          <w:szCs w:val="22"/>
        </w:rPr>
        <w:t xml:space="preserve">vermectin) </w:t>
      </w:r>
      <w:r w:rsidRPr="004D1941">
        <w:rPr>
          <w:szCs w:val="22"/>
        </w:rPr>
        <w:t xml:space="preserve">without </w:t>
      </w:r>
      <w:r w:rsidR="00A43CC9">
        <w:rPr>
          <w:szCs w:val="22"/>
        </w:rPr>
        <w:t>vaccinating</w:t>
      </w:r>
      <w:r w:rsidRPr="004D1941">
        <w:rPr>
          <w:szCs w:val="22"/>
        </w:rPr>
        <w:t xml:space="preserve"> the whole population</w:t>
      </w:r>
      <w:r w:rsidR="00B73AA3">
        <w:rPr>
          <w:szCs w:val="22"/>
        </w:rPr>
        <w:t xml:space="preserve"> (</w:t>
      </w:r>
      <w:r w:rsidR="00B73AA3" w:rsidRPr="00B9366D">
        <w:rPr>
          <w:szCs w:val="22"/>
        </w:rPr>
        <w:t xml:space="preserve">section </w:t>
      </w:r>
      <w:r w:rsidR="00B9366D" w:rsidRPr="00B9366D">
        <w:rPr>
          <w:szCs w:val="22"/>
        </w:rPr>
        <w:t>2.6</w:t>
      </w:r>
      <w:r w:rsidR="00B73AA3" w:rsidRPr="00B9366D">
        <w:rPr>
          <w:szCs w:val="22"/>
        </w:rPr>
        <w:t>).</w:t>
      </w:r>
    </w:p>
    <w:p w14:paraId="667CF2B2" w14:textId="70B96532" w:rsidR="0000309D" w:rsidRPr="0000309D" w:rsidRDefault="00F32494" w:rsidP="00660BB8">
      <w:pPr>
        <w:pStyle w:val="Heading2"/>
      </w:pPr>
      <w:bookmarkStart w:id="66" w:name="_Toc509513491"/>
      <w:bookmarkStart w:id="67" w:name="_Toc510678499"/>
      <w:bookmarkStart w:id="68" w:name="_Toc510880003"/>
      <w:bookmarkStart w:id="69" w:name="_Toc512275132"/>
      <w:bookmarkStart w:id="70" w:name="_Toc512360348"/>
      <w:bookmarkStart w:id="71" w:name="_Toc516645032"/>
      <w:bookmarkStart w:id="72" w:name="_Toc111367992"/>
      <w:bookmarkStart w:id="73" w:name="_Toc121035127"/>
      <w:bookmarkEnd w:id="64"/>
      <w:bookmarkEnd w:id="65"/>
      <w:r>
        <w:t>Evidence of</w:t>
      </w:r>
      <w:r w:rsidR="006A0653">
        <w:t xml:space="preserve"> </w:t>
      </w:r>
      <w:r w:rsidR="0000309D">
        <w:t xml:space="preserve">Toxic </w:t>
      </w:r>
      <w:r w:rsidR="00572563">
        <w:t>COVID-19</w:t>
      </w:r>
      <w:r w:rsidR="008D5E53">
        <w:t xml:space="preserve"> </w:t>
      </w:r>
      <w:r w:rsidR="0000309D">
        <w:t>V</w:t>
      </w:r>
      <w:r w:rsidR="001840E7" w:rsidRPr="0000309D">
        <w:t>acci</w:t>
      </w:r>
      <w:r w:rsidR="0000309D">
        <w:t>ne L</w:t>
      </w:r>
      <w:r w:rsidR="001840E7" w:rsidRPr="0000309D">
        <w:t>ots</w:t>
      </w:r>
      <w:bookmarkEnd w:id="66"/>
      <w:bookmarkEnd w:id="67"/>
      <w:bookmarkEnd w:id="68"/>
      <w:bookmarkEnd w:id="69"/>
      <w:bookmarkEnd w:id="70"/>
      <w:bookmarkEnd w:id="71"/>
      <w:bookmarkEnd w:id="72"/>
      <w:r w:rsidR="005F6ED4">
        <w:t xml:space="preserve"> </w:t>
      </w:r>
      <w:r w:rsidR="00754551">
        <w:t>Under FDA Jurisdiction</w:t>
      </w:r>
      <w:r w:rsidR="00FA6158">
        <w:t xml:space="preserve"> </w:t>
      </w:r>
      <w:r w:rsidR="00A55C80">
        <w:t>Had</w:t>
      </w:r>
      <w:r w:rsidR="00FA6158">
        <w:t xml:space="preserve"> Global </w:t>
      </w:r>
      <w:r w:rsidR="0061525B">
        <w:t>Impli</w:t>
      </w:r>
      <w:r w:rsidR="00FA6158">
        <w:t>cations</w:t>
      </w:r>
      <w:bookmarkEnd w:id="73"/>
    </w:p>
    <w:p w14:paraId="4CC8442B" w14:textId="0066A9B5" w:rsidR="00394D69" w:rsidRDefault="005B35CC" w:rsidP="00570D19">
      <w:pPr>
        <w:rPr>
          <w:szCs w:val="22"/>
        </w:rPr>
      </w:pPr>
      <w:r w:rsidRPr="00733998">
        <w:rPr>
          <w:b/>
          <w:bCs w:val="0"/>
          <w:szCs w:val="22"/>
          <w:u w:val="single"/>
        </w:rPr>
        <w:t>The</w:t>
      </w:r>
      <w:r w:rsidR="00DB208F" w:rsidRPr="00733998">
        <w:rPr>
          <w:b/>
          <w:bCs w:val="0"/>
          <w:szCs w:val="22"/>
          <w:u w:val="single"/>
        </w:rPr>
        <w:t xml:space="preserve"> bottom line</w:t>
      </w:r>
      <w:r w:rsidR="00DB208F" w:rsidRPr="008162B0">
        <w:rPr>
          <w:szCs w:val="22"/>
        </w:rPr>
        <w:t xml:space="preserve">: </w:t>
      </w:r>
      <w:r w:rsidR="00494EA7">
        <w:t xml:space="preserve">According to </w:t>
      </w:r>
      <w:r w:rsidR="00443195">
        <w:t xml:space="preserve">my analysis of </w:t>
      </w:r>
      <w:r w:rsidR="00494EA7">
        <w:t xml:space="preserve">the US Government’s Vaccine Adverse Event Reporting </w:t>
      </w:r>
      <w:r w:rsidR="00494EA7" w:rsidRPr="00AA0A95">
        <w:t xml:space="preserve">System </w:t>
      </w:r>
      <w:r w:rsidR="00077F76" w:rsidRPr="00AA0A95">
        <w:t xml:space="preserve">data </w:t>
      </w:r>
      <w:r w:rsidR="00494EA7" w:rsidRPr="00AA0A95">
        <w:t>(VAERS)</w:t>
      </w:r>
      <w:r w:rsidR="00D90B73" w:rsidRPr="00AA0A95">
        <w:t>,</w:t>
      </w:r>
      <w:r w:rsidR="00EC1B14" w:rsidRPr="00AA0A95">
        <w:rPr>
          <w:rStyle w:val="EndnoteReference"/>
          <w:szCs w:val="22"/>
        </w:rPr>
        <w:endnoteReference w:id="130"/>
      </w:r>
      <w:r w:rsidR="00494EA7" w:rsidRPr="00AA0A95">
        <w:t xml:space="preserve"> one </w:t>
      </w:r>
      <w:r w:rsidR="00570D19" w:rsidRPr="00AA0A95">
        <w:t xml:space="preserve">year of </w:t>
      </w:r>
      <w:r w:rsidR="00572563" w:rsidRPr="00AA0A95">
        <w:rPr>
          <w:szCs w:val="22"/>
        </w:rPr>
        <w:t>COVID-19</w:t>
      </w:r>
      <w:r w:rsidR="00570D19" w:rsidRPr="00AA0A95">
        <w:t xml:space="preserve"> </w:t>
      </w:r>
      <w:r w:rsidR="00F31435" w:rsidRPr="00AA0A95">
        <w:t>vaccine</w:t>
      </w:r>
      <w:r w:rsidR="00F31435">
        <w:t>-associated</w:t>
      </w:r>
      <w:r w:rsidR="00570D19">
        <w:t xml:space="preserve"> deaths and hospitalizations </w:t>
      </w:r>
      <w:r w:rsidR="00AD6EEF">
        <w:rPr>
          <w:szCs w:val="22"/>
        </w:rPr>
        <w:t>(“</w:t>
      </w:r>
      <w:r w:rsidR="00AD6EEF">
        <w:t>adverse outcomes</w:t>
      </w:r>
      <w:r w:rsidR="00AD6EEF">
        <w:rPr>
          <w:szCs w:val="22"/>
        </w:rPr>
        <w:t>”</w:t>
      </w:r>
      <w:r w:rsidR="00CD492C">
        <w:rPr>
          <w:szCs w:val="22"/>
        </w:rPr>
        <w:t>, by 07/12/2021</w:t>
      </w:r>
      <w:r w:rsidR="00AD6EEF">
        <w:rPr>
          <w:szCs w:val="22"/>
        </w:rPr>
        <w:t xml:space="preserve">) </w:t>
      </w:r>
      <w:r w:rsidR="00570D19">
        <w:t xml:space="preserve">were equivalent in number to </w:t>
      </w:r>
      <w:r w:rsidR="00570D19" w:rsidRPr="00F8347B">
        <w:rPr>
          <w:b/>
          <w:bCs w:val="0"/>
        </w:rPr>
        <w:t>all other vaccine</w:t>
      </w:r>
      <w:r w:rsidR="007E7F4B" w:rsidRPr="00F8347B">
        <w:rPr>
          <w:b/>
          <w:bCs w:val="0"/>
        </w:rPr>
        <w:t xml:space="preserve"> adverse outcomes</w:t>
      </w:r>
      <w:r w:rsidR="00570D19">
        <w:t xml:space="preserve"> in the USA </w:t>
      </w:r>
      <w:r w:rsidR="00570D19" w:rsidRPr="002949AC">
        <w:t>over the last</w:t>
      </w:r>
      <w:r w:rsidR="00570D19" w:rsidRPr="002949AC">
        <w:rPr>
          <w:b/>
          <w:bCs w:val="0"/>
        </w:rPr>
        <w:t xml:space="preserve"> 32 and 20 years</w:t>
      </w:r>
      <w:r w:rsidR="00570D19">
        <w:t xml:space="preserve"> respectively. </w:t>
      </w:r>
      <w:r w:rsidR="00570D19">
        <w:rPr>
          <w:szCs w:val="22"/>
        </w:rPr>
        <w:t>A small minority of vaccine l</w:t>
      </w:r>
      <w:r w:rsidR="00570D19" w:rsidRPr="00184C76">
        <w:rPr>
          <w:szCs w:val="22"/>
        </w:rPr>
        <w:t>ots was assoc</w:t>
      </w:r>
      <w:r w:rsidR="00570D19">
        <w:rPr>
          <w:szCs w:val="22"/>
        </w:rPr>
        <w:t xml:space="preserve">iated with the majority of these </w:t>
      </w:r>
      <w:r w:rsidR="00572563">
        <w:rPr>
          <w:szCs w:val="22"/>
        </w:rPr>
        <w:t>COVID-19</w:t>
      </w:r>
      <w:r w:rsidR="00570D19" w:rsidRPr="00184C76">
        <w:rPr>
          <w:szCs w:val="22"/>
        </w:rPr>
        <w:t xml:space="preserve"> vaccine-re</w:t>
      </w:r>
      <w:r w:rsidR="00570D19">
        <w:rPr>
          <w:szCs w:val="22"/>
        </w:rPr>
        <w:t xml:space="preserve">lated </w:t>
      </w:r>
      <w:r w:rsidR="00570D19">
        <w:t>adverse outcomes</w:t>
      </w:r>
      <w:r w:rsidR="00570D19">
        <w:rPr>
          <w:szCs w:val="22"/>
        </w:rPr>
        <w:t xml:space="preserve">. Furthermore, </w:t>
      </w:r>
      <w:r w:rsidR="00570D19">
        <w:t xml:space="preserve">there was an uneven distribution of adverse outcomes across vaccine lots (i.e., </w:t>
      </w:r>
      <w:r w:rsidR="00570D19" w:rsidRPr="00F8347B">
        <w:rPr>
          <w:b/>
          <w:bCs w:val="0"/>
        </w:rPr>
        <w:t>skewed and peaked</w:t>
      </w:r>
      <w:r w:rsidR="00570D19">
        <w:t xml:space="preserve">). </w:t>
      </w:r>
      <w:r w:rsidR="00494EA7">
        <w:t>Most of</w:t>
      </w:r>
      <w:r w:rsidR="00570D19">
        <w:t xml:space="preserve"> these adverse outcomes were associated with a minority of lots sent to a </w:t>
      </w:r>
      <w:r w:rsidR="00570D19" w:rsidRPr="002949AC">
        <w:rPr>
          <w:b/>
          <w:bCs w:val="0"/>
        </w:rPr>
        <w:t>larger number of states</w:t>
      </w:r>
      <w:r w:rsidR="00570D19">
        <w:t xml:space="preserve">. This minority of lots had a significantly higher weighted mean and median of adverse outcomes per state per lot fraction </w:t>
      </w:r>
      <w:r w:rsidR="00A43CC9">
        <w:t>shipped</w:t>
      </w:r>
      <w:r w:rsidR="00570D19">
        <w:t xml:space="preserve"> to a state when </w:t>
      </w:r>
      <w:r w:rsidR="00570D19">
        <w:lastRenderedPageBreak/>
        <w:t>lots were sent to ≥11 states (deaths) and ≥19 states (hospitalizations)</w:t>
      </w:r>
      <w:r w:rsidR="00637086">
        <w:t xml:space="preserve"> compared with those sent to state totals below these thresholds</w:t>
      </w:r>
      <w:r w:rsidR="00570D19">
        <w:t xml:space="preserve">. These issues were replicated with all US </w:t>
      </w:r>
      <w:r w:rsidR="00572563">
        <w:t>COVID-19</w:t>
      </w:r>
      <w:r w:rsidR="00570D19">
        <w:t xml:space="preserve"> vaccine</w:t>
      </w:r>
      <w:r w:rsidR="00E84881">
        <w:t xml:space="preserve">s. </w:t>
      </w:r>
      <w:r w:rsidR="003E3D2D">
        <w:t>T</w:t>
      </w:r>
      <w:r w:rsidR="00E84881">
        <w:t>h</w:t>
      </w:r>
      <w:r w:rsidR="00494EA7">
        <w:t>ese results</w:t>
      </w:r>
      <w:r w:rsidR="00570D19">
        <w:t xml:space="preserve"> </w:t>
      </w:r>
      <w:r w:rsidR="00E84881">
        <w:t xml:space="preserve">would </w:t>
      </w:r>
      <w:r w:rsidR="00570D19">
        <w:rPr>
          <w:szCs w:val="22"/>
        </w:rPr>
        <w:t>impl</w:t>
      </w:r>
      <w:r w:rsidR="00E84881">
        <w:rPr>
          <w:szCs w:val="22"/>
        </w:rPr>
        <w:t>y</w:t>
      </w:r>
      <w:r w:rsidR="00570D19" w:rsidRPr="00112C95">
        <w:rPr>
          <w:szCs w:val="22"/>
        </w:rPr>
        <w:t xml:space="preserve"> </w:t>
      </w:r>
      <w:r w:rsidR="00570D19" w:rsidRPr="008A3BE3">
        <w:rPr>
          <w:szCs w:val="22"/>
        </w:rPr>
        <w:t xml:space="preserve">the presence of </w:t>
      </w:r>
      <w:r w:rsidR="001B18A9" w:rsidRPr="008A3BE3">
        <w:rPr>
          <w:szCs w:val="22"/>
        </w:rPr>
        <w:t xml:space="preserve">significant </w:t>
      </w:r>
      <w:r w:rsidR="00E84881" w:rsidRPr="008A3BE3">
        <w:rPr>
          <w:szCs w:val="22"/>
        </w:rPr>
        <w:t>differen</w:t>
      </w:r>
      <w:r w:rsidR="001B18A9" w:rsidRPr="008A3BE3">
        <w:rPr>
          <w:szCs w:val="22"/>
        </w:rPr>
        <w:t>ces</w:t>
      </w:r>
      <w:r w:rsidR="00E84881" w:rsidRPr="008A3BE3">
        <w:rPr>
          <w:szCs w:val="22"/>
        </w:rPr>
        <w:t xml:space="preserve"> </w:t>
      </w:r>
      <w:r w:rsidR="001B18A9" w:rsidRPr="008A3BE3">
        <w:rPr>
          <w:szCs w:val="22"/>
        </w:rPr>
        <w:t xml:space="preserve">in </w:t>
      </w:r>
      <w:r w:rsidR="00E84881" w:rsidRPr="008A3BE3">
        <w:rPr>
          <w:szCs w:val="22"/>
        </w:rPr>
        <w:t>vaccine lot</w:t>
      </w:r>
      <w:r w:rsidR="00F8347B">
        <w:rPr>
          <w:szCs w:val="22"/>
        </w:rPr>
        <w:t xml:space="preserve"> </w:t>
      </w:r>
      <w:r w:rsidR="00244132">
        <w:rPr>
          <w:szCs w:val="22"/>
        </w:rPr>
        <w:t xml:space="preserve">composition or </w:t>
      </w:r>
      <w:r w:rsidR="00201EE8" w:rsidRPr="00DB4153">
        <w:rPr>
          <w:b/>
          <w:bCs w:val="0"/>
          <w:szCs w:val="22"/>
        </w:rPr>
        <w:t>specification,</w:t>
      </w:r>
      <w:r w:rsidR="00E84881" w:rsidRPr="008A3BE3">
        <w:rPr>
          <w:szCs w:val="22"/>
        </w:rPr>
        <w:t xml:space="preserve"> </w:t>
      </w:r>
      <w:r w:rsidR="00D90B73">
        <w:rPr>
          <w:szCs w:val="22"/>
        </w:rPr>
        <w:t xml:space="preserve">or the targeted </w:t>
      </w:r>
      <w:r w:rsidR="003E3D2D">
        <w:rPr>
          <w:szCs w:val="22"/>
        </w:rPr>
        <w:t xml:space="preserve">vaccine </w:t>
      </w:r>
      <w:r w:rsidR="00D90B73">
        <w:rPr>
          <w:szCs w:val="22"/>
        </w:rPr>
        <w:t>use in high-risk demographics</w:t>
      </w:r>
      <w:r w:rsidR="00077F76">
        <w:rPr>
          <w:szCs w:val="22"/>
        </w:rPr>
        <w:t xml:space="preserve"> (i.e., the elderly)</w:t>
      </w:r>
      <w:r w:rsidR="00D90B73">
        <w:rPr>
          <w:szCs w:val="22"/>
        </w:rPr>
        <w:t xml:space="preserve"> </w:t>
      </w:r>
      <w:r w:rsidR="00077F76">
        <w:rPr>
          <w:szCs w:val="22"/>
        </w:rPr>
        <w:t xml:space="preserve">coordinated via a </w:t>
      </w:r>
      <w:r w:rsidR="00077F76" w:rsidRPr="00077F76">
        <w:rPr>
          <w:b/>
          <w:bCs w:val="0"/>
          <w:szCs w:val="22"/>
        </w:rPr>
        <w:t>central vaccine distribution mechanism</w:t>
      </w:r>
      <w:r w:rsidR="00570D19" w:rsidRPr="008A3BE3">
        <w:rPr>
          <w:szCs w:val="22"/>
        </w:rPr>
        <w:t>.</w:t>
      </w:r>
      <w:r w:rsidR="00570D19">
        <w:rPr>
          <w:szCs w:val="22"/>
        </w:rPr>
        <w:t xml:space="preserve"> </w:t>
      </w:r>
      <w:r w:rsidR="00570D19" w:rsidRPr="00112C95">
        <w:rPr>
          <w:szCs w:val="22"/>
        </w:rPr>
        <w:t xml:space="preserve">Ninety percent of all vaccine-related </w:t>
      </w:r>
      <w:r w:rsidR="00AD6EEF">
        <w:t>adverse outcomes</w:t>
      </w:r>
      <w:r w:rsidR="00AD6EEF">
        <w:rPr>
          <w:szCs w:val="22"/>
        </w:rPr>
        <w:t xml:space="preserve"> </w:t>
      </w:r>
      <w:r w:rsidR="00570D19" w:rsidRPr="00112C95">
        <w:rPr>
          <w:szCs w:val="22"/>
        </w:rPr>
        <w:t xml:space="preserve">were associated with mRNA </w:t>
      </w:r>
      <w:r w:rsidR="00570D19">
        <w:rPr>
          <w:szCs w:val="22"/>
        </w:rPr>
        <w:t>gene-therapy-</w:t>
      </w:r>
      <w:r w:rsidR="00570D19" w:rsidRPr="00112C95">
        <w:rPr>
          <w:szCs w:val="22"/>
        </w:rPr>
        <w:t>vaccines</w:t>
      </w:r>
      <w:r w:rsidR="00E84881">
        <w:rPr>
          <w:szCs w:val="22"/>
        </w:rPr>
        <w:t>.</w:t>
      </w:r>
      <w:r w:rsidR="00E84881" w:rsidRPr="00112C95">
        <w:rPr>
          <w:szCs w:val="22"/>
        </w:rPr>
        <w:t xml:space="preserve"> </w:t>
      </w:r>
    </w:p>
    <w:p w14:paraId="3E855A81" w14:textId="7920B633" w:rsidR="00B672BA" w:rsidRDefault="00B672BA" w:rsidP="00B672BA">
      <w:r>
        <w:t>There were</w:t>
      </w:r>
      <w:r w:rsidRPr="000300E5">
        <w:t xml:space="preserve"> 20,556 lots associated with </w:t>
      </w:r>
      <w:r w:rsidR="006A66C9">
        <w:t xml:space="preserve">unique </w:t>
      </w:r>
      <w:r w:rsidRPr="000300E5">
        <w:t>lot numbers and adve</w:t>
      </w:r>
      <w:r>
        <w:t>rse outcomes</w:t>
      </w:r>
      <w:r w:rsidR="00E84881">
        <w:t xml:space="preserve"> after one year of </w:t>
      </w:r>
      <w:r w:rsidR="00F31435">
        <w:t>population-level</w:t>
      </w:r>
      <w:r w:rsidR="00E84881">
        <w:t xml:space="preserve"> </w:t>
      </w:r>
      <w:r w:rsidR="00F31435">
        <w:t xml:space="preserve">vaccine </w:t>
      </w:r>
      <w:r w:rsidR="00E84881">
        <w:t>use in the USA</w:t>
      </w:r>
      <w:r w:rsidRPr="000300E5">
        <w:t xml:space="preserve">. </w:t>
      </w:r>
      <w:r w:rsidR="00572563">
        <w:t>COVID-19</w:t>
      </w:r>
      <w:r w:rsidRPr="000300E5">
        <w:t xml:space="preserve"> vaccine-related deaths were equivalent to 32 years of all vaccine-related deaths in the USA, </w:t>
      </w:r>
      <w:r>
        <w:t>comprising</w:t>
      </w:r>
      <w:r w:rsidRPr="000300E5">
        <w:t xml:space="preserve"> 15.4yrs for BNT162b2</w:t>
      </w:r>
      <w:r w:rsidR="006A66C9">
        <w:t xml:space="preserve"> (Comirnaty)</w:t>
      </w:r>
      <w:r w:rsidRPr="000300E5">
        <w:t xml:space="preserve">, 13.2yrs for Spikevax, and 3.2yrs for Janssen’s </w:t>
      </w:r>
      <w:r w:rsidR="00572563">
        <w:t>COVID-19</w:t>
      </w:r>
      <w:r w:rsidRPr="000300E5">
        <w:t xml:space="preserve"> vaccine. </w:t>
      </w:r>
      <w:r w:rsidR="00572563">
        <w:rPr>
          <w:szCs w:val="22"/>
        </w:rPr>
        <w:t>COVID-19</w:t>
      </w:r>
      <w:r w:rsidRPr="0049037D">
        <w:rPr>
          <w:szCs w:val="22"/>
        </w:rPr>
        <w:t xml:space="preserve"> vaccine-related hospitalizations were equivalent to 20 years of all vaccine-related hospitalizations in the USA, comprising 10.5 years for </w:t>
      </w:r>
      <w:r w:rsidR="00F8347B">
        <w:t>Comirnaty</w:t>
      </w:r>
      <w:r w:rsidRPr="0049037D">
        <w:rPr>
          <w:szCs w:val="22"/>
        </w:rPr>
        <w:t>, 7.6 years for</w:t>
      </w:r>
      <w:r w:rsidR="00F8347B">
        <w:rPr>
          <w:szCs w:val="22"/>
        </w:rPr>
        <w:t xml:space="preserve"> </w:t>
      </w:r>
      <w:r w:rsidR="00F8347B" w:rsidRPr="000300E5">
        <w:t>Spikevax</w:t>
      </w:r>
      <w:r w:rsidRPr="0049037D">
        <w:rPr>
          <w:szCs w:val="22"/>
        </w:rPr>
        <w:t>, and 3.2 years for Janssen</w:t>
      </w:r>
      <w:r>
        <w:rPr>
          <w:szCs w:val="22"/>
        </w:rPr>
        <w:t>’s</w:t>
      </w:r>
      <w:r w:rsidRPr="0049037D">
        <w:rPr>
          <w:szCs w:val="22"/>
        </w:rPr>
        <w:t xml:space="preserve"> </w:t>
      </w:r>
      <w:r w:rsidR="00572563">
        <w:rPr>
          <w:szCs w:val="22"/>
        </w:rPr>
        <w:t>COVID-19</w:t>
      </w:r>
      <w:r w:rsidRPr="0049037D">
        <w:rPr>
          <w:szCs w:val="22"/>
        </w:rPr>
        <w:t xml:space="preserve"> vaccine.</w:t>
      </w:r>
      <w:r w:rsidR="00AD5D0F">
        <w:rPr>
          <w:szCs w:val="22"/>
        </w:rPr>
        <w:t xml:space="preserve"> </w:t>
      </w:r>
    </w:p>
    <w:p w14:paraId="1CEDD2C5" w14:textId="40C97368" w:rsidR="00B672BA" w:rsidRDefault="00B672BA" w:rsidP="00B672BA">
      <w:r w:rsidRPr="000300E5">
        <w:t xml:space="preserve">There were 10,428 deaths, of which 7,259 were associated with 775 lots identified </w:t>
      </w:r>
      <w:r w:rsidR="009F6A6B">
        <w:t>by</w:t>
      </w:r>
      <w:r w:rsidRPr="000300E5">
        <w:t xml:space="preserve"> a lot number.</w:t>
      </w:r>
      <w:r>
        <w:t xml:space="preserve"> This yielded a mean </w:t>
      </w:r>
      <w:r w:rsidR="00095E92">
        <w:t xml:space="preserve">of </w:t>
      </w:r>
      <w:r>
        <w:t>9.4 (95% confidence interval</w:t>
      </w:r>
      <w:r w:rsidRPr="000300E5">
        <w:t xml:space="preserve"> 8.9-9.8, minimum 1, maximum 142) and </w:t>
      </w:r>
      <w:r w:rsidR="00A17FF2">
        <w:t xml:space="preserve">a </w:t>
      </w:r>
      <w:r w:rsidRPr="000300E5">
        <w:t xml:space="preserve">median </w:t>
      </w:r>
      <w:r w:rsidR="00095E92">
        <w:t xml:space="preserve">of </w:t>
      </w:r>
      <w:r w:rsidRPr="000300E5">
        <w:t xml:space="preserve">1.0 death per lot. The number of lot deaths demonstrated </w:t>
      </w:r>
      <w:r w:rsidR="00760A41">
        <w:t>skewness</w:t>
      </w:r>
      <w:r w:rsidRPr="000300E5">
        <w:t xml:space="preserve"> and peakedness, indicating an </w:t>
      </w:r>
      <w:r>
        <w:t>uneven</w:t>
      </w:r>
      <w:r w:rsidRPr="000300E5">
        <w:t xml:space="preserve"> distribution among lots. Fifty-seven and 118 lots identified </w:t>
      </w:r>
      <w:r w:rsidR="009F6A6B">
        <w:t>by</w:t>
      </w:r>
      <w:r w:rsidRPr="000300E5">
        <w:t xml:space="preserve"> lot numbers accounted for half and three-quarters</w:t>
      </w:r>
      <w:r w:rsidR="00555DE9">
        <w:t xml:space="preserve"> </w:t>
      </w:r>
      <w:r w:rsidRPr="000300E5">
        <w:t xml:space="preserve">of all </w:t>
      </w:r>
      <w:r w:rsidR="00572563">
        <w:t>COVID-19</w:t>
      </w:r>
      <w:r w:rsidRPr="000300E5">
        <w:t xml:space="preserve"> vaccine-associated deaths</w:t>
      </w:r>
      <w:r w:rsidR="00555DE9">
        <w:t>,</w:t>
      </w:r>
      <w:r w:rsidR="00555DE9" w:rsidRPr="00555DE9">
        <w:t xml:space="preserve"> </w:t>
      </w:r>
      <w:r w:rsidR="00555DE9" w:rsidRPr="000300E5">
        <w:t>respectively</w:t>
      </w:r>
      <w:r w:rsidRPr="000300E5">
        <w:t xml:space="preserve">. A minority of </w:t>
      </w:r>
      <w:r w:rsidR="00572563">
        <w:t>COVID-19</w:t>
      </w:r>
      <w:r w:rsidRPr="000300E5">
        <w:t xml:space="preserve"> vaccine lots sent to 11 or more states (n = 123 of 775) accounted for </w:t>
      </w:r>
      <w:r>
        <w:t>75%</w:t>
      </w:r>
      <w:r w:rsidRPr="000300E5">
        <w:t xml:space="preserve"> of all deaths and were associated with a weighted</w:t>
      </w:r>
      <w:r w:rsidR="00F8347B">
        <w:t>-</w:t>
      </w:r>
      <w:r w:rsidRPr="000300E5">
        <w:t xml:space="preserve"> mean of 2.54 and </w:t>
      </w:r>
      <w:r w:rsidR="00555DE9">
        <w:t xml:space="preserve">a </w:t>
      </w:r>
      <w:r w:rsidRPr="000300E5">
        <w:t xml:space="preserve">median of 2.36 deaths per state per lot fraction sent to </w:t>
      </w:r>
      <w:r>
        <w:t>a</w:t>
      </w:r>
      <w:r w:rsidRPr="000300E5">
        <w:t xml:space="preserve"> state. By contrast</w:t>
      </w:r>
      <w:r w:rsidR="00760A41">
        <w:t>,</w:t>
      </w:r>
      <w:r w:rsidRPr="000300E5">
        <w:t xml:space="preserve"> those lots sent to 10 or </w:t>
      </w:r>
      <w:r w:rsidR="00760A41">
        <w:t>fewer</w:t>
      </w:r>
      <w:r w:rsidRPr="000300E5">
        <w:t xml:space="preserve"> states were associated with a weighted</w:t>
      </w:r>
      <w:r w:rsidR="00F8347B">
        <w:t xml:space="preserve">- </w:t>
      </w:r>
      <w:r w:rsidRPr="000300E5">
        <w:t>mean of 1.30 and</w:t>
      </w:r>
      <w:r w:rsidR="00760A41">
        <w:t xml:space="preserve"> </w:t>
      </w:r>
      <w:r w:rsidR="00555DE9">
        <w:t xml:space="preserve">a </w:t>
      </w:r>
      <w:r w:rsidRPr="000300E5">
        <w:t>median of 1.00</w:t>
      </w:r>
      <w:r>
        <w:t xml:space="preserve"> </w:t>
      </w:r>
      <w:r w:rsidRPr="000300E5">
        <w:t xml:space="preserve">deaths per state per lot fraction sent to </w:t>
      </w:r>
      <w:r>
        <w:t>a</w:t>
      </w:r>
      <w:r w:rsidRPr="000300E5">
        <w:t xml:space="preserve"> state. These weighted mean and median</w:t>
      </w:r>
      <w:r>
        <w:t>-shape</w:t>
      </w:r>
      <w:r w:rsidRPr="000300E5">
        <w:t xml:space="preserve"> differences </w:t>
      </w:r>
      <w:r>
        <w:t>were statistically significant (Welch’s unpaired T-test and Mann-Whitney U-test</w:t>
      </w:r>
      <w:r w:rsidR="00555DE9">
        <w:t>,</w:t>
      </w:r>
      <w:r>
        <w:t xml:space="preserve"> respectively, all p &lt; .0001). </w:t>
      </w:r>
    </w:p>
    <w:p w14:paraId="6ABB831D" w14:textId="5AF0B0BE" w:rsidR="00B672BA" w:rsidRPr="005B38AE" w:rsidRDefault="00B672BA" w:rsidP="00B672BA">
      <w:r w:rsidRPr="005B38AE">
        <w:t xml:space="preserve">There were 48,851 hospitalizations, of which 33,632 were associated with 2,508 lots identified with a lot number. This yielded a mean </w:t>
      </w:r>
      <w:r w:rsidR="00095E92">
        <w:t xml:space="preserve">of </w:t>
      </w:r>
      <w:r w:rsidRPr="005B38AE">
        <w:t xml:space="preserve">13.4 (95% confidence interval 12.9-13.9, minimum 1, maximum 489) and </w:t>
      </w:r>
      <w:r w:rsidR="00555DE9">
        <w:t xml:space="preserve">a </w:t>
      </w:r>
      <w:r w:rsidRPr="005B38AE">
        <w:t>median</w:t>
      </w:r>
      <w:r w:rsidR="00095E92">
        <w:t xml:space="preserve"> of</w:t>
      </w:r>
      <w:r w:rsidRPr="005B38AE">
        <w:t xml:space="preserve"> 1.0 hospitalizations per lot. The number of lot hospitalizations demonstrated skewness and peakedness, indicating an </w:t>
      </w:r>
      <w:r>
        <w:t>uneven</w:t>
      </w:r>
      <w:r w:rsidRPr="005B38AE">
        <w:t xml:space="preserve"> distribution among lots. Eighty-four and 165 lots identified with lot numbers accounted for half and three-quarters of all </w:t>
      </w:r>
      <w:r w:rsidR="00572563">
        <w:t>COVID-19</w:t>
      </w:r>
      <w:r w:rsidRPr="005B38AE">
        <w:t xml:space="preserve"> vaccine-associated hospitalizations</w:t>
      </w:r>
      <w:r w:rsidR="00555DE9">
        <w:t>,</w:t>
      </w:r>
      <w:r w:rsidR="00555DE9" w:rsidRPr="00555DE9">
        <w:t xml:space="preserve"> </w:t>
      </w:r>
      <w:r w:rsidR="00555DE9" w:rsidRPr="005B38AE">
        <w:t>respectively</w:t>
      </w:r>
      <w:r w:rsidRPr="005B38AE">
        <w:t xml:space="preserve">. A minority of </w:t>
      </w:r>
      <w:r w:rsidR="00572563">
        <w:t>COVID-19</w:t>
      </w:r>
      <w:r w:rsidRPr="005B38AE">
        <w:t xml:space="preserve"> vaccine lots sent to 19 or more states (n = 203 of 2,508) accounted for 84% of all hospitalizations and were associated with a weighted</w:t>
      </w:r>
      <w:r w:rsidR="00A62495">
        <w:t xml:space="preserve">- </w:t>
      </w:r>
      <w:r w:rsidRPr="005B38AE">
        <w:t>mean of 4.66 and median of 4.31 hospitalizations per state per lot fraction sent to a state. By contrast</w:t>
      </w:r>
      <w:r w:rsidR="005A38AC">
        <w:t>,</w:t>
      </w:r>
      <w:r w:rsidRPr="005B38AE">
        <w:t xml:space="preserve"> those lots sent to 18 or </w:t>
      </w:r>
      <w:r w:rsidR="005A38AC">
        <w:t>fewer</w:t>
      </w:r>
      <w:r w:rsidRPr="005B38AE">
        <w:t xml:space="preserve"> states were associated with a weighted</w:t>
      </w:r>
      <w:r w:rsidR="00A62495">
        <w:t xml:space="preserve">- </w:t>
      </w:r>
      <w:r w:rsidRPr="005B38AE">
        <w:t>mean of 1.42 and</w:t>
      </w:r>
      <w:r w:rsidR="005A38AC">
        <w:t xml:space="preserve"> </w:t>
      </w:r>
      <w:r w:rsidR="00555DE9">
        <w:t xml:space="preserve">a </w:t>
      </w:r>
      <w:r w:rsidRPr="005B38AE">
        <w:t>median of 1.00 hospitalizations per state per lot fraction sent to a state. These weighted mean and median</w:t>
      </w:r>
      <w:r w:rsidR="00450422">
        <w:t>-shape</w:t>
      </w:r>
      <w:r w:rsidRPr="005B38AE">
        <w:t xml:space="preserve"> differences were statistically significant </w:t>
      </w:r>
      <w:r>
        <w:t>(Welch’s unpaired T-test and Mann-Whitney U-test</w:t>
      </w:r>
      <w:r w:rsidR="00555DE9">
        <w:t>,</w:t>
      </w:r>
      <w:r>
        <w:t xml:space="preserve"> respectively, all p &lt; .0001)</w:t>
      </w:r>
      <w:r w:rsidRPr="005B38AE">
        <w:t xml:space="preserve">. </w:t>
      </w:r>
    </w:p>
    <w:p w14:paraId="78DC9133" w14:textId="619E3F02" w:rsidR="00765F06" w:rsidRDefault="00AA0A95" w:rsidP="00765F06">
      <w:r>
        <w:lastRenderedPageBreak/>
        <w:t>A Chi-square goodness-of-fit test demonstrated the observed distribution of total COVID-19 vaccine-related deaths and hospitalizations when grouped by ≥11 states and ≤10 states (deaths), and ≥19 states and ≤18 states (hospitalizations) differed significantly from their expected distributions (all p &lt; .00001).</w:t>
      </w:r>
      <w:r w:rsidR="00765F06">
        <w:t xml:space="preserve"> The e</w:t>
      </w:r>
      <w:r w:rsidR="00765F06" w:rsidRPr="00C41ADD">
        <w:t xml:space="preserve">xpected </w:t>
      </w:r>
      <w:r w:rsidR="00765F06">
        <w:t>total lot-associated</w:t>
      </w:r>
      <w:r w:rsidR="00765F06" w:rsidRPr="00C41ADD">
        <w:t xml:space="preserve"> </w:t>
      </w:r>
      <w:r w:rsidR="00765F06">
        <w:t>adverse outcomes were derived by proportioning the observed lot-associated</w:t>
      </w:r>
      <w:r w:rsidR="00765F06" w:rsidRPr="00C41ADD">
        <w:t xml:space="preserve"> </w:t>
      </w:r>
      <w:r w:rsidR="00765F06">
        <w:t>adverse outcomes according to the tota</w:t>
      </w:r>
      <w:r w:rsidR="00037168">
        <w:t>ls</w:t>
      </w:r>
      <w:r w:rsidR="00765F06">
        <w:t xml:space="preserve"> (i.e., by groupings </w:t>
      </w:r>
      <w:r w:rsidR="00765F06" w:rsidRPr="00AA138E">
        <w:t>≥11 or ≤10</w:t>
      </w:r>
      <w:r w:rsidR="00765F06">
        <w:t xml:space="preserve"> for deaths and </w:t>
      </w:r>
      <w:r w:rsidR="00765F06" w:rsidRPr="00AA138E">
        <w:t>≥19 or ≤18 states</w:t>
      </w:r>
      <w:r w:rsidR="00765F06">
        <w:t xml:space="preserve"> for hospitalizations) and the t</w:t>
      </w:r>
      <w:r w:rsidR="00765F06" w:rsidRPr="00C41ADD">
        <w:t>otal number of states lots were sent to</w:t>
      </w:r>
      <w:r w:rsidR="00765F06">
        <w:t>.</w:t>
      </w:r>
    </w:p>
    <w:p w14:paraId="299282CC" w14:textId="3623D49A" w:rsidR="009A7B6D" w:rsidRPr="00B0605A" w:rsidRDefault="00B0605A" w:rsidP="00257CDC">
      <w:r>
        <w:t xml:space="preserve">This analysis was done with an appreciation that </w:t>
      </w:r>
      <w:r w:rsidRPr="00B0605A">
        <w:t>VAERS data must be interpreted with caution</w:t>
      </w:r>
      <w:r w:rsidR="00A43CC9">
        <w:t>,</w:t>
      </w:r>
      <w:r w:rsidRPr="00B0605A">
        <w:t xml:space="preserve"> </w:t>
      </w:r>
      <w:r>
        <w:t>given</w:t>
      </w:r>
      <w:r w:rsidRPr="00B0605A">
        <w:t xml:space="preserve"> the inherent limitations of passive </w:t>
      </w:r>
      <w:r>
        <w:t xml:space="preserve">pharmacovigilance </w:t>
      </w:r>
      <w:r w:rsidRPr="00B0605A">
        <w:t>surveillance</w:t>
      </w:r>
      <w:r>
        <w:t xml:space="preserve"> systems. The primary use of the VAERS, therefore, should be for early s</w:t>
      </w:r>
      <w:r w:rsidRPr="00B0605A">
        <w:t xml:space="preserve">afety signal detection </w:t>
      </w:r>
      <w:r>
        <w:t xml:space="preserve">and directing </w:t>
      </w:r>
      <w:r w:rsidR="005A222C">
        <w:t xml:space="preserve">regulatory and </w:t>
      </w:r>
      <w:r>
        <w:t>medical research investigation</w:t>
      </w:r>
      <w:r w:rsidRPr="00B0605A">
        <w:t>.</w:t>
      </w:r>
      <w:r>
        <w:rPr>
          <w:rStyle w:val="EndnoteReference"/>
          <w:szCs w:val="22"/>
          <w:vertAlign w:val="baseline"/>
        </w:rPr>
        <w:t xml:space="preserve"> This explains why I confined my analysis to serious adverse outcomes </w:t>
      </w:r>
      <w:r>
        <w:rPr>
          <w:szCs w:val="22"/>
        </w:rPr>
        <w:t xml:space="preserve">associated with </w:t>
      </w:r>
      <w:r w:rsidRPr="005A3AC8">
        <w:rPr>
          <w:b/>
          <w:bCs w:val="0"/>
          <w:szCs w:val="22"/>
        </w:rPr>
        <w:t>lot numbers</w:t>
      </w:r>
      <w:r>
        <w:rPr>
          <w:szCs w:val="22"/>
        </w:rPr>
        <w:t>, thus providing a direct association with the COVID-19 gene-therapy-vaccine.</w:t>
      </w:r>
      <w:r w:rsidRPr="00C72C61">
        <w:rPr>
          <w:rStyle w:val="EndnoteReference"/>
          <w:szCs w:val="22"/>
        </w:rPr>
        <w:endnoteReference w:id="131"/>
      </w:r>
      <w:r>
        <w:t xml:space="preserve"> In reflecting on the </w:t>
      </w:r>
      <w:r w:rsidR="00555DE9">
        <w:t>issues mentioned above</w:t>
      </w:r>
      <w:r>
        <w:t xml:space="preserve">, </w:t>
      </w:r>
      <w:r w:rsidR="00257CDC" w:rsidRPr="00B371B1">
        <w:t xml:space="preserve">the combination of an unprecedented level of </w:t>
      </w:r>
      <w:r w:rsidR="00572563" w:rsidRPr="00B371B1">
        <w:t>COVID-19</w:t>
      </w:r>
      <w:r w:rsidR="00257CDC" w:rsidRPr="00B371B1">
        <w:t xml:space="preserve"> </w:t>
      </w:r>
      <w:r w:rsidR="00450422" w:rsidRPr="00B371B1">
        <w:t>vaccine-associated</w:t>
      </w:r>
      <w:r w:rsidR="00257CDC" w:rsidRPr="00B371B1">
        <w:t xml:space="preserve"> deaths and hospitalizations</w:t>
      </w:r>
      <w:r w:rsidR="00926479" w:rsidRPr="00B371B1">
        <w:t xml:space="preserve">, a </w:t>
      </w:r>
      <w:r w:rsidR="00B371B1" w:rsidRPr="003A431A">
        <w:rPr>
          <w:color w:val="000000" w:themeColor="text1"/>
          <w:szCs w:val="22"/>
        </w:rPr>
        <w:t xml:space="preserve">skewness-peakedness </w:t>
      </w:r>
      <w:r w:rsidR="00257CDC" w:rsidRPr="00B371B1">
        <w:t>of adverse outcomes across vaccine lots</w:t>
      </w:r>
      <w:r w:rsidR="00926479" w:rsidRPr="00B371B1">
        <w:t xml:space="preserve">, and a </w:t>
      </w:r>
      <w:r w:rsidR="00B371B1">
        <w:t>US S</w:t>
      </w:r>
      <w:r w:rsidR="00926479" w:rsidRPr="00B371B1">
        <w:t>tate clustering pattern</w:t>
      </w:r>
      <w:r w:rsidR="009A7B6D" w:rsidRPr="00B371B1">
        <w:t xml:space="preserve"> of adverse outcomes</w:t>
      </w:r>
      <w:r>
        <w:t xml:space="preserve"> </w:t>
      </w:r>
      <w:r w:rsidRPr="00AD5D0F">
        <w:t>all</w:t>
      </w:r>
      <w:r w:rsidR="00926479" w:rsidRPr="00AD5D0F">
        <w:t xml:space="preserve"> linked to lot numbers </w:t>
      </w:r>
      <w:r w:rsidR="00257CDC" w:rsidRPr="00AD5D0F">
        <w:t>should</w:t>
      </w:r>
      <w:r w:rsidR="00257CDC" w:rsidRPr="00B371B1">
        <w:t xml:space="preserve"> have alerted the FDA and Center for Disease Control </w:t>
      </w:r>
      <w:r w:rsidR="00AA1D17" w:rsidRPr="00B371B1">
        <w:t>(CDC)</w:t>
      </w:r>
      <w:r w:rsidR="00B371B1">
        <w:t xml:space="preserve"> </w:t>
      </w:r>
      <w:r w:rsidR="00257CDC" w:rsidRPr="00B371B1">
        <w:t xml:space="preserve">there was a </w:t>
      </w:r>
      <w:r w:rsidR="00257CDC" w:rsidRPr="00B371B1">
        <w:rPr>
          <w:b/>
        </w:rPr>
        <w:t>safety problem in need of investigation</w:t>
      </w:r>
      <w:r w:rsidR="00B371B1" w:rsidRPr="00B371B1">
        <w:rPr>
          <w:szCs w:val="22"/>
        </w:rPr>
        <w:t>.</w:t>
      </w:r>
      <w:r w:rsidR="00B371B1">
        <w:rPr>
          <w:szCs w:val="22"/>
        </w:rPr>
        <w:t xml:space="preserve"> I</w:t>
      </w:r>
      <w:r w:rsidR="00462546">
        <w:rPr>
          <w:bCs w:val="0"/>
        </w:rPr>
        <w:t>n my view, th</w:t>
      </w:r>
      <w:r w:rsidR="007172A3" w:rsidRPr="007172A3">
        <w:rPr>
          <w:bCs w:val="0"/>
        </w:rPr>
        <w:t>at investigation should have occurred</w:t>
      </w:r>
      <w:r w:rsidR="00696B7C">
        <w:rPr>
          <w:b/>
        </w:rPr>
        <w:t xml:space="preserve"> </w:t>
      </w:r>
      <w:r w:rsidR="00CD492C">
        <w:t>before approving expanded vaccine use</w:t>
      </w:r>
      <w:r w:rsidR="00CD492C" w:rsidRPr="0091366E">
        <w:t xml:space="preserve"> </w:t>
      </w:r>
      <w:r w:rsidR="00B92CA0">
        <w:t xml:space="preserve">in young </w:t>
      </w:r>
      <w:r w:rsidR="00F95E10">
        <w:t>children</w:t>
      </w:r>
      <w:r w:rsidR="00B92CA0">
        <w:t xml:space="preserve">, youth, </w:t>
      </w:r>
      <w:r w:rsidR="00D239F8">
        <w:t xml:space="preserve">and </w:t>
      </w:r>
      <w:r w:rsidR="00B92CA0">
        <w:t>pregnant women</w:t>
      </w:r>
      <w:r w:rsidR="00CD492C">
        <w:t xml:space="preserve">, </w:t>
      </w:r>
      <w:r w:rsidR="003F0306">
        <w:t xml:space="preserve">for </w:t>
      </w:r>
      <w:r w:rsidR="00A62495">
        <w:t xml:space="preserve">adult </w:t>
      </w:r>
      <w:r w:rsidR="00CD492C">
        <w:t xml:space="preserve">boosters, and </w:t>
      </w:r>
      <w:r w:rsidR="00A62495">
        <w:t>before</w:t>
      </w:r>
      <w:r w:rsidR="00CD492C">
        <w:t xml:space="preserve"> </w:t>
      </w:r>
      <w:r w:rsidR="00A62495">
        <w:t>enforcing</w:t>
      </w:r>
      <w:r w:rsidR="00CD492C">
        <w:t xml:space="preserve"> Government mandates</w:t>
      </w:r>
      <w:r w:rsidR="00B371B1">
        <w:t xml:space="preserve"> on employees</w:t>
      </w:r>
      <w:r w:rsidR="00CD492C">
        <w:t>.</w:t>
      </w:r>
      <w:r w:rsidR="00CD492C">
        <w:rPr>
          <w:szCs w:val="22"/>
        </w:rPr>
        <w:t xml:space="preserve"> </w:t>
      </w:r>
      <w:r w:rsidR="00CD492C" w:rsidRPr="00AF6E8E">
        <w:rPr>
          <w:iCs/>
          <w:szCs w:val="22"/>
        </w:rPr>
        <w:t>Did th</w:t>
      </w:r>
      <w:r w:rsidR="00AA1D17" w:rsidRPr="00AF6E8E">
        <w:rPr>
          <w:iCs/>
          <w:szCs w:val="22"/>
        </w:rPr>
        <w:t xml:space="preserve">e FDA </w:t>
      </w:r>
      <w:r w:rsidR="00B371B1">
        <w:rPr>
          <w:iCs/>
          <w:szCs w:val="22"/>
        </w:rPr>
        <w:t>and</w:t>
      </w:r>
      <w:r w:rsidR="00B371B1" w:rsidRPr="00AF6E8E">
        <w:rPr>
          <w:iCs/>
          <w:szCs w:val="22"/>
        </w:rPr>
        <w:t xml:space="preserve"> CDC </w:t>
      </w:r>
      <w:r w:rsidR="00AA1D17" w:rsidRPr="00AF6E8E">
        <w:rPr>
          <w:iCs/>
          <w:szCs w:val="22"/>
        </w:rPr>
        <w:t xml:space="preserve">meet </w:t>
      </w:r>
      <w:r w:rsidR="00B371B1">
        <w:rPr>
          <w:iCs/>
          <w:szCs w:val="22"/>
        </w:rPr>
        <w:t>their</w:t>
      </w:r>
      <w:r w:rsidR="00AA1D17" w:rsidRPr="00AF6E8E">
        <w:rPr>
          <w:iCs/>
          <w:szCs w:val="22"/>
        </w:rPr>
        <w:t xml:space="preserve"> </w:t>
      </w:r>
      <w:r w:rsidR="00AA1D17" w:rsidRPr="00A62495">
        <w:rPr>
          <w:b/>
          <w:bCs w:val="0"/>
          <w:iCs/>
          <w:szCs w:val="22"/>
        </w:rPr>
        <w:t>commitment</w:t>
      </w:r>
      <w:r w:rsidR="00CD492C" w:rsidRPr="00A62495">
        <w:rPr>
          <w:b/>
          <w:bCs w:val="0"/>
          <w:iCs/>
          <w:szCs w:val="22"/>
        </w:rPr>
        <w:t xml:space="preserve"> to review</w:t>
      </w:r>
      <w:r w:rsidR="00CD492C" w:rsidRPr="00AF6E8E">
        <w:rPr>
          <w:iCs/>
          <w:szCs w:val="22"/>
        </w:rPr>
        <w:t xml:space="preserve"> the VAERS and other safety data </w:t>
      </w:r>
      <w:r w:rsidR="000416D7">
        <w:rPr>
          <w:iCs/>
          <w:szCs w:val="22"/>
        </w:rPr>
        <w:t xml:space="preserve">by </w:t>
      </w:r>
      <w:r w:rsidR="00CD492C" w:rsidRPr="00AF6E8E">
        <w:rPr>
          <w:iCs/>
          <w:szCs w:val="22"/>
        </w:rPr>
        <w:t>utilizing statistical data-</w:t>
      </w:r>
      <w:r w:rsidR="00AA1D17" w:rsidRPr="00AF6E8E">
        <w:rPr>
          <w:iCs/>
          <w:szCs w:val="22"/>
        </w:rPr>
        <w:t>mining methods to detect safety</w:t>
      </w:r>
      <w:r w:rsidR="00CD492C" w:rsidRPr="00AF6E8E">
        <w:rPr>
          <w:iCs/>
          <w:szCs w:val="22"/>
        </w:rPr>
        <w:t xml:space="preserve"> signals via a weekly and bi-weekly process (pg.6)</w:t>
      </w:r>
      <w:r w:rsidR="00696B7C" w:rsidRPr="00AF6E8E">
        <w:rPr>
          <w:iCs/>
          <w:szCs w:val="22"/>
        </w:rPr>
        <w:t>?</w:t>
      </w:r>
      <w:r w:rsidR="00CD492C" w:rsidRPr="008162B0">
        <w:rPr>
          <w:rStyle w:val="EndnoteReference"/>
          <w:rFonts w:cs="Times New Roman"/>
          <w:szCs w:val="22"/>
          <w:lang w:eastAsia="en-US"/>
        </w:rPr>
        <w:endnoteReference w:id="132"/>
      </w:r>
    </w:p>
    <w:p w14:paraId="3DE409C2" w14:textId="0EE41449" w:rsidR="002D6BC5" w:rsidRPr="005A3AC8" w:rsidRDefault="00A4396B" w:rsidP="002D6BC5">
      <w:pPr>
        <w:rPr>
          <w:szCs w:val="22"/>
        </w:rPr>
      </w:pPr>
      <w:r>
        <w:rPr>
          <w:szCs w:val="22"/>
        </w:rPr>
        <w:t>It</w:t>
      </w:r>
      <w:r w:rsidR="002D6BC5">
        <w:rPr>
          <w:szCs w:val="22"/>
        </w:rPr>
        <w:t xml:space="preserve"> is </w:t>
      </w:r>
      <w:r>
        <w:rPr>
          <w:szCs w:val="22"/>
        </w:rPr>
        <w:t xml:space="preserve">extremely </w:t>
      </w:r>
      <w:r w:rsidR="002D6BC5">
        <w:rPr>
          <w:szCs w:val="22"/>
        </w:rPr>
        <w:t xml:space="preserve">concerning </w:t>
      </w:r>
      <w:r>
        <w:rPr>
          <w:szCs w:val="22"/>
        </w:rPr>
        <w:t xml:space="preserve">that after one year of </w:t>
      </w:r>
      <w:r w:rsidR="005A222C">
        <w:rPr>
          <w:szCs w:val="22"/>
        </w:rPr>
        <w:t xml:space="preserve">COVID-19 vaccine use </w:t>
      </w:r>
      <w:r>
        <w:rPr>
          <w:szCs w:val="22"/>
        </w:rPr>
        <w:t xml:space="preserve">and unprecedented levels of serious adverse outcomes </w:t>
      </w:r>
      <w:r w:rsidR="002D6BC5">
        <w:rPr>
          <w:szCs w:val="22"/>
        </w:rPr>
        <w:t>th</w:t>
      </w:r>
      <w:r w:rsidR="005A222C">
        <w:rPr>
          <w:szCs w:val="22"/>
        </w:rPr>
        <w:t>e</w:t>
      </w:r>
      <w:r w:rsidR="002D6BC5">
        <w:rPr>
          <w:szCs w:val="22"/>
        </w:rPr>
        <w:t xml:space="preserve"> </w:t>
      </w:r>
      <w:r w:rsidR="00B0605A">
        <w:rPr>
          <w:szCs w:val="22"/>
        </w:rPr>
        <w:t xml:space="preserve">observed </w:t>
      </w:r>
      <w:r w:rsidR="002D6BC5">
        <w:rPr>
          <w:szCs w:val="22"/>
        </w:rPr>
        <w:t xml:space="preserve">level </w:t>
      </w:r>
      <w:r w:rsidR="00B0605A">
        <w:rPr>
          <w:szCs w:val="22"/>
        </w:rPr>
        <w:t>of serious</w:t>
      </w:r>
      <w:r w:rsidR="005A222C">
        <w:rPr>
          <w:szCs w:val="22"/>
        </w:rPr>
        <w:t xml:space="preserve"> or </w:t>
      </w:r>
      <w:r w:rsidR="00B0605A">
        <w:rPr>
          <w:szCs w:val="22"/>
        </w:rPr>
        <w:t xml:space="preserve">severe adverse events </w:t>
      </w:r>
      <w:r w:rsidR="005A222C">
        <w:rPr>
          <w:szCs w:val="22"/>
        </w:rPr>
        <w:t xml:space="preserve">(SAE) </w:t>
      </w:r>
      <w:r w:rsidR="00B0605A">
        <w:rPr>
          <w:szCs w:val="22"/>
        </w:rPr>
        <w:t>was potentially</w:t>
      </w:r>
      <w:r w:rsidR="002D6BC5" w:rsidRPr="00C72C61">
        <w:rPr>
          <w:szCs w:val="22"/>
        </w:rPr>
        <w:t xml:space="preserve"> </w:t>
      </w:r>
      <w:r w:rsidR="002D6BC5" w:rsidRPr="002D6BC5">
        <w:rPr>
          <w:b/>
          <w:bCs w:val="0"/>
          <w:szCs w:val="22"/>
        </w:rPr>
        <w:t>highly under-reported</w:t>
      </w:r>
      <w:r w:rsidR="00C810C6">
        <w:rPr>
          <w:b/>
          <w:bCs w:val="0"/>
          <w:szCs w:val="22"/>
        </w:rPr>
        <w:t>.</w:t>
      </w:r>
      <w:r w:rsidR="002D6BC5">
        <w:rPr>
          <w:szCs w:val="22"/>
        </w:rPr>
        <w:t xml:space="preserve"> </w:t>
      </w:r>
      <w:r w:rsidR="00C810C6">
        <w:rPr>
          <w:szCs w:val="22"/>
        </w:rPr>
        <w:t>Independent VAERS research show</w:t>
      </w:r>
      <w:r w:rsidR="009A5CF5">
        <w:rPr>
          <w:szCs w:val="22"/>
        </w:rPr>
        <w:t>ed</w:t>
      </w:r>
      <w:r w:rsidR="00C810C6">
        <w:rPr>
          <w:szCs w:val="22"/>
        </w:rPr>
        <w:t xml:space="preserve"> the observed SAE r</w:t>
      </w:r>
      <w:r w:rsidR="00B0605A">
        <w:rPr>
          <w:szCs w:val="22"/>
        </w:rPr>
        <w:t xml:space="preserve">elative to expected </w:t>
      </w:r>
      <w:r w:rsidR="00C810C6">
        <w:rPr>
          <w:szCs w:val="22"/>
        </w:rPr>
        <w:t xml:space="preserve">SAE </w:t>
      </w:r>
      <w:r w:rsidR="00B0605A">
        <w:rPr>
          <w:szCs w:val="22"/>
        </w:rPr>
        <w:t xml:space="preserve">based on </w:t>
      </w:r>
      <w:r w:rsidR="00C810C6">
        <w:rPr>
          <w:szCs w:val="22"/>
        </w:rPr>
        <w:t xml:space="preserve">the </w:t>
      </w:r>
      <w:r w:rsidR="00B0605A">
        <w:rPr>
          <w:szCs w:val="22"/>
        </w:rPr>
        <w:t xml:space="preserve">Comirnaty Phase 3 clinical study </w:t>
      </w:r>
      <w:r w:rsidR="005A222C">
        <w:rPr>
          <w:szCs w:val="22"/>
        </w:rPr>
        <w:t>SAE</w:t>
      </w:r>
      <w:r w:rsidR="00B0605A">
        <w:rPr>
          <w:szCs w:val="22"/>
        </w:rPr>
        <w:t xml:space="preserve"> </w:t>
      </w:r>
      <w:r w:rsidR="00C810C6">
        <w:rPr>
          <w:szCs w:val="22"/>
        </w:rPr>
        <w:t xml:space="preserve">rate </w:t>
      </w:r>
      <w:r w:rsidR="00B0605A">
        <w:rPr>
          <w:szCs w:val="22"/>
        </w:rPr>
        <w:t xml:space="preserve">and vaccine doses administered </w:t>
      </w:r>
      <w:r w:rsidR="00C810C6">
        <w:rPr>
          <w:szCs w:val="22"/>
        </w:rPr>
        <w:t xml:space="preserve">showed an </w:t>
      </w:r>
      <w:r w:rsidR="00C810C6" w:rsidRPr="005A3AC8">
        <w:rPr>
          <w:b/>
          <w:bCs w:val="0"/>
          <w:szCs w:val="22"/>
        </w:rPr>
        <w:t>U</w:t>
      </w:r>
      <w:r w:rsidR="002D6BC5" w:rsidRPr="005A3AC8">
        <w:rPr>
          <w:b/>
          <w:bCs w:val="0"/>
          <w:szCs w:val="22"/>
        </w:rPr>
        <w:t xml:space="preserve">nder Reporting Factor </w:t>
      </w:r>
      <w:r w:rsidR="00C810C6" w:rsidRPr="005A3AC8">
        <w:rPr>
          <w:b/>
          <w:bCs w:val="0"/>
          <w:szCs w:val="22"/>
        </w:rPr>
        <w:t>of</w:t>
      </w:r>
      <w:r w:rsidR="002D6BC5" w:rsidRPr="005A3AC8">
        <w:rPr>
          <w:b/>
          <w:bCs w:val="0"/>
          <w:szCs w:val="22"/>
        </w:rPr>
        <w:t xml:space="preserve"> 31</w:t>
      </w:r>
      <w:r w:rsidR="00C810C6" w:rsidRPr="005A3AC8">
        <w:rPr>
          <w:b/>
          <w:bCs w:val="0"/>
          <w:szCs w:val="22"/>
        </w:rPr>
        <w:t xml:space="preserve"> times</w:t>
      </w:r>
      <w:r w:rsidR="00C810C6">
        <w:rPr>
          <w:szCs w:val="22"/>
        </w:rPr>
        <w:t xml:space="preserve"> (data </w:t>
      </w:r>
      <w:r w:rsidR="005A222C">
        <w:rPr>
          <w:szCs w:val="22"/>
        </w:rPr>
        <w:t>to 06/08/2021</w:t>
      </w:r>
      <w:r w:rsidR="002D6BC5">
        <w:rPr>
          <w:szCs w:val="22"/>
        </w:rPr>
        <w:t>)</w:t>
      </w:r>
      <w:r w:rsidR="00B0605A">
        <w:rPr>
          <w:szCs w:val="22"/>
        </w:rPr>
        <w:t>.</w:t>
      </w:r>
      <w:r w:rsidR="005A222C" w:rsidRPr="00C72C61">
        <w:rPr>
          <w:rStyle w:val="EndnoteReference"/>
        </w:rPr>
        <w:endnoteReference w:id="133"/>
      </w:r>
      <w:r w:rsidR="005A222C" w:rsidRPr="00C72C61">
        <w:rPr>
          <w:vertAlign w:val="superscript"/>
        </w:rPr>
        <w:t xml:space="preserve"> </w:t>
      </w:r>
      <w:r w:rsidR="00B0605A">
        <w:rPr>
          <w:szCs w:val="22"/>
        </w:rPr>
        <w:t xml:space="preserve"> Furthermore, </w:t>
      </w:r>
      <w:r w:rsidR="00C810C6">
        <w:rPr>
          <w:szCs w:val="22"/>
        </w:rPr>
        <w:t>this</w:t>
      </w:r>
      <w:r w:rsidR="005A222C">
        <w:rPr>
          <w:szCs w:val="22"/>
        </w:rPr>
        <w:t xml:space="preserve"> prior cited VAERS </w:t>
      </w:r>
      <w:r w:rsidR="00C810C6">
        <w:rPr>
          <w:szCs w:val="22"/>
        </w:rPr>
        <w:t>research provided</w:t>
      </w:r>
      <w:r w:rsidR="002D6BC5">
        <w:rPr>
          <w:szCs w:val="22"/>
        </w:rPr>
        <w:t xml:space="preserve"> evidence </w:t>
      </w:r>
      <w:r w:rsidR="00B0605A">
        <w:rPr>
          <w:szCs w:val="22"/>
        </w:rPr>
        <w:t>for</w:t>
      </w:r>
      <w:r w:rsidR="002D6BC5">
        <w:rPr>
          <w:szCs w:val="22"/>
        </w:rPr>
        <w:t xml:space="preserve"> </w:t>
      </w:r>
      <w:r w:rsidR="002D6BC5" w:rsidRPr="002D6BC5">
        <w:rPr>
          <w:b/>
          <w:bCs w:val="0"/>
          <w:szCs w:val="22"/>
        </w:rPr>
        <w:t>deleted and delayed entry</w:t>
      </w:r>
      <w:r w:rsidR="002D6BC5">
        <w:rPr>
          <w:szCs w:val="22"/>
        </w:rPr>
        <w:t xml:space="preserve"> of reports and the </w:t>
      </w:r>
      <w:r w:rsidR="002D6BC5" w:rsidRPr="005A222C">
        <w:rPr>
          <w:b/>
          <w:bCs w:val="0"/>
          <w:szCs w:val="22"/>
        </w:rPr>
        <w:t>re-coding</w:t>
      </w:r>
      <w:r w:rsidR="002D6BC5" w:rsidRPr="002D6BC5">
        <w:rPr>
          <w:szCs w:val="22"/>
        </w:rPr>
        <w:t xml:space="preserve"> from </w:t>
      </w:r>
      <w:r w:rsidR="002D6BC5" w:rsidRPr="002D6BC5">
        <w:rPr>
          <w:b/>
          <w:bCs w:val="0"/>
          <w:szCs w:val="22"/>
        </w:rPr>
        <w:t>severe to mild</w:t>
      </w:r>
      <w:r w:rsidR="00C810C6">
        <w:rPr>
          <w:szCs w:val="22"/>
        </w:rPr>
        <w:t xml:space="preserve">, </w:t>
      </w:r>
      <w:r w:rsidR="00C810C6" w:rsidRPr="00C810C6">
        <w:rPr>
          <w:szCs w:val="22"/>
        </w:rPr>
        <w:t xml:space="preserve">further </w:t>
      </w:r>
      <w:r w:rsidR="00C810C6" w:rsidRPr="00C810C6">
        <w:t>exaggerating the under-reporting.</w:t>
      </w:r>
      <w:r w:rsidR="00C810C6">
        <w:rPr>
          <w:vertAlign w:val="superscript"/>
        </w:rPr>
        <w:t xml:space="preserve"> </w:t>
      </w:r>
      <w:r w:rsidR="005A222C">
        <w:t>Historically, h</w:t>
      </w:r>
      <w:r w:rsidR="002D6BC5" w:rsidRPr="00C72C61">
        <w:rPr>
          <w:szCs w:val="22"/>
        </w:rPr>
        <w:t>ealthcare professionals</w:t>
      </w:r>
      <w:r w:rsidR="002D6BC5">
        <w:rPr>
          <w:szCs w:val="22"/>
        </w:rPr>
        <w:t xml:space="preserve">, </w:t>
      </w:r>
      <w:r w:rsidR="002D6BC5" w:rsidRPr="00C72C61">
        <w:rPr>
          <w:szCs w:val="22"/>
        </w:rPr>
        <w:t>for which VAERS reporting is mandatory</w:t>
      </w:r>
      <w:r w:rsidR="002D6BC5">
        <w:rPr>
          <w:szCs w:val="22"/>
        </w:rPr>
        <w:t>,</w:t>
      </w:r>
      <w:r w:rsidR="002D6BC5" w:rsidRPr="00C72C61">
        <w:rPr>
          <w:szCs w:val="22"/>
        </w:rPr>
        <w:t xml:space="preserve"> and vaccine companies comprise</w:t>
      </w:r>
      <w:r w:rsidR="005A222C">
        <w:rPr>
          <w:szCs w:val="22"/>
        </w:rPr>
        <w:t>d</w:t>
      </w:r>
      <w:r w:rsidR="002D6BC5" w:rsidRPr="00C72C61">
        <w:rPr>
          <w:szCs w:val="22"/>
        </w:rPr>
        <w:t xml:space="preserve"> the majority of these VAERS submissions</w:t>
      </w:r>
      <w:r w:rsidR="005A222C">
        <w:rPr>
          <w:szCs w:val="22"/>
        </w:rPr>
        <w:t xml:space="preserve"> (68%)</w:t>
      </w:r>
      <w:r w:rsidR="002D6BC5" w:rsidRPr="00C72C61">
        <w:t>, meaning the VAERS data has</w:t>
      </w:r>
      <w:r w:rsidR="005A3AC8">
        <w:t xml:space="preserve"> some</w:t>
      </w:r>
      <w:r w:rsidR="002D6BC5" w:rsidRPr="00C72C61">
        <w:t xml:space="preserve"> </w:t>
      </w:r>
      <w:r w:rsidR="002D6BC5" w:rsidRPr="00C72C61">
        <w:rPr>
          <w:b/>
          <w:bCs w:val="0"/>
        </w:rPr>
        <w:t>validity</w:t>
      </w:r>
      <w:r w:rsidR="002D6BC5" w:rsidRPr="00C72C61">
        <w:t xml:space="preserve"> in highlighting safety signals worthy of </w:t>
      </w:r>
      <w:r w:rsidR="00C810C6" w:rsidRPr="00C72C61">
        <w:t>regulato</w:t>
      </w:r>
      <w:r w:rsidR="00C810C6">
        <w:t xml:space="preserve">ry and </w:t>
      </w:r>
      <w:r w:rsidR="00C810C6" w:rsidRPr="00C72C61">
        <w:t>medical</w:t>
      </w:r>
      <w:r w:rsidR="00C810C6">
        <w:t xml:space="preserve"> </w:t>
      </w:r>
      <w:r w:rsidR="009A5CF5">
        <w:t>hypothesis-driven</w:t>
      </w:r>
      <w:r w:rsidR="00C810C6">
        <w:t xml:space="preserve"> </w:t>
      </w:r>
      <w:r w:rsidR="002D6BC5" w:rsidRPr="00C72C61">
        <w:t>investigation</w:t>
      </w:r>
      <w:r w:rsidR="00B0605A">
        <w:t>.</w:t>
      </w:r>
      <w:r w:rsidR="002D6BC5" w:rsidRPr="00C72C61">
        <w:rPr>
          <w:rStyle w:val="EndnoteReference"/>
          <w:szCs w:val="22"/>
        </w:rPr>
        <w:endnoteReference w:id="134"/>
      </w:r>
      <w:r w:rsidR="002D6BC5" w:rsidRPr="00C72C61">
        <w:rPr>
          <w:szCs w:val="22"/>
          <w:vertAlign w:val="superscript"/>
        </w:rPr>
        <w:t xml:space="preserve"> </w:t>
      </w:r>
      <w:r w:rsidR="002D6BC5">
        <w:rPr>
          <w:szCs w:val="22"/>
          <w:vertAlign w:val="superscript"/>
        </w:rPr>
        <w:t xml:space="preserve"> </w:t>
      </w:r>
      <w:r w:rsidR="005A3AC8">
        <w:rPr>
          <w:szCs w:val="22"/>
        </w:rPr>
        <w:t>Was this done?</w:t>
      </w:r>
    </w:p>
    <w:p w14:paraId="47D99A1B" w14:textId="4562E7DA" w:rsidR="00B30D92" w:rsidRDefault="00986A5C" w:rsidP="00AD5D0F">
      <w:pPr>
        <w:rPr>
          <w:szCs w:val="22"/>
        </w:rPr>
      </w:pPr>
      <w:r w:rsidRPr="00127E29">
        <w:rPr>
          <w:szCs w:val="22"/>
        </w:rPr>
        <w:t xml:space="preserve">To give a safety </w:t>
      </w:r>
      <w:r w:rsidR="00AD5D0F">
        <w:rPr>
          <w:szCs w:val="22"/>
        </w:rPr>
        <w:t xml:space="preserve">perspective </w:t>
      </w:r>
      <w:r w:rsidRPr="00127E29">
        <w:rPr>
          <w:szCs w:val="22"/>
        </w:rPr>
        <w:t xml:space="preserve">to the above data regarding </w:t>
      </w:r>
      <w:r w:rsidRPr="00127E29">
        <w:rPr>
          <w:b/>
          <w:bCs w:val="0"/>
          <w:szCs w:val="22"/>
        </w:rPr>
        <w:t>market withdrawals</w:t>
      </w:r>
      <w:r w:rsidR="00C72362" w:rsidRPr="00127E29">
        <w:rPr>
          <w:b/>
          <w:bCs w:val="0"/>
          <w:szCs w:val="22"/>
        </w:rPr>
        <w:t xml:space="preserve"> on safety grounds</w:t>
      </w:r>
      <w:r w:rsidR="00A43CC9" w:rsidRPr="00127E29">
        <w:rPr>
          <w:b/>
          <w:bCs w:val="0"/>
          <w:szCs w:val="22"/>
        </w:rPr>
        <w:t>,</w:t>
      </w:r>
      <w:r w:rsidRPr="00127E29">
        <w:t xml:space="preserve"> three vaccine withdrawals occurred in the USA between 1976 and 2019: one for swine flu (53 deaths, Guillain Barre Syndrome one case per 100,000 vaccinated, 45 million vaccinated),</w:t>
      </w:r>
      <w:r w:rsidRPr="00127E29">
        <w:rPr>
          <w:rStyle w:val="EndnoteReference"/>
        </w:rPr>
        <w:endnoteReference w:id="135"/>
      </w:r>
      <w:r w:rsidRPr="00127E29">
        <w:rPr>
          <w:szCs w:val="22"/>
        </w:rPr>
        <w:t xml:space="preserve"> Rotashield (15 cases of intussusception, 1 case per 10,000 vaccinated),</w:t>
      </w:r>
      <w:r w:rsidRPr="00127E29">
        <w:rPr>
          <w:rStyle w:val="EndnoteReference"/>
          <w:szCs w:val="22"/>
        </w:rPr>
        <w:endnoteReference w:id="136"/>
      </w:r>
      <w:r w:rsidRPr="00127E29">
        <w:rPr>
          <w:szCs w:val="22"/>
        </w:rPr>
        <w:t xml:space="preserve"> and Nasalflu (Bell’s Palsy, 13 excess cases per 10,000 </w:t>
      </w:r>
      <w:r w:rsidRPr="00127E29">
        <w:rPr>
          <w:szCs w:val="22"/>
        </w:rPr>
        <w:lastRenderedPageBreak/>
        <w:t>vaccinated).</w:t>
      </w:r>
      <w:r w:rsidRPr="00127E29">
        <w:rPr>
          <w:rStyle w:val="EndnoteReference"/>
          <w:szCs w:val="22"/>
        </w:rPr>
        <w:endnoteReference w:id="137"/>
      </w:r>
      <w:r w:rsidRPr="00127E29">
        <w:rPr>
          <w:szCs w:val="22"/>
        </w:rPr>
        <w:t xml:space="preserve"> </w:t>
      </w:r>
      <w:r w:rsidR="00E1558D" w:rsidRPr="00127E29">
        <w:rPr>
          <w:szCs w:val="22"/>
        </w:rPr>
        <w:t>Th</w:t>
      </w:r>
      <w:r w:rsidR="007825CD">
        <w:rPr>
          <w:szCs w:val="22"/>
        </w:rPr>
        <w:t>at</w:t>
      </w:r>
      <w:r w:rsidR="00E1558D" w:rsidRPr="00127E29">
        <w:rPr>
          <w:szCs w:val="22"/>
        </w:rPr>
        <w:t xml:space="preserve"> was the </w:t>
      </w:r>
      <w:r w:rsidR="00E1558D" w:rsidRPr="00E1558D">
        <w:rPr>
          <w:b/>
          <w:bCs w:val="0"/>
          <w:szCs w:val="22"/>
        </w:rPr>
        <w:t>old normal</w:t>
      </w:r>
      <w:r w:rsidR="00E1558D" w:rsidRPr="00127E29">
        <w:rPr>
          <w:szCs w:val="22"/>
        </w:rPr>
        <w:t>.</w:t>
      </w:r>
      <w:r w:rsidR="00E1558D">
        <w:rPr>
          <w:szCs w:val="22"/>
        </w:rPr>
        <w:t xml:space="preserve"> </w:t>
      </w:r>
      <w:r w:rsidR="0003012B" w:rsidRPr="008210F6">
        <w:rPr>
          <w:szCs w:val="22"/>
        </w:rPr>
        <w:t>Giving further perspective for a high</w:t>
      </w:r>
      <w:r w:rsidR="003A4163">
        <w:rPr>
          <w:szCs w:val="22"/>
        </w:rPr>
        <w:t xml:space="preserve"> market </w:t>
      </w:r>
      <w:r w:rsidR="0003012B" w:rsidRPr="008210F6">
        <w:rPr>
          <w:szCs w:val="22"/>
        </w:rPr>
        <w:t xml:space="preserve">volume </w:t>
      </w:r>
      <w:r w:rsidR="00037168">
        <w:rPr>
          <w:szCs w:val="22"/>
        </w:rPr>
        <w:t xml:space="preserve">seasonal flu </w:t>
      </w:r>
      <w:r w:rsidR="0003012B" w:rsidRPr="008210F6">
        <w:rPr>
          <w:szCs w:val="22"/>
        </w:rPr>
        <w:t>vaccine used each year</w:t>
      </w:r>
      <w:r w:rsidR="0003012B">
        <w:rPr>
          <w:szCs w:val="22"/>
        </w:rPr>
        <w:t xml:space="preserve"> (i.e., 2018-19: </w:t>
      </w:r>
      <w:r w:rsidR="0003012B" w:rsidRPr="008210F6">
        <w:rPr>
          <w:szCs w:val="22"/>
        </w:rPr>
        <w:t xml:space="preserve">169 million </w:t>
      </w:r>
      <w:r w:rsidR="0003012B">
        <w:rPr>
          <w:szCs w:val="22"/>
        </w:rPr>
        <w:t xml:space="preserve">doses were distributed, but </w:t>
      </w:r>
      <w:r w:rsidR="0003012B" w:rsidRPr="008210F6">
        <w:rPr>
          <w:szCs w:val="22"/>
        </w:rPr>
        <w:t>not all got utilized),</w:t>
      </w:r>
      <w:r w:rsidR="00AD5D0F" w:rsidRPr="008210F6">
        <w:rPr>
          <w:rStyle w:val="EndnoteReference"/>
          <w:szCs w:val="22"/>
        </w:rPr>
        <w:endnoteReference w:id="138"/>
      </w:r>
      <w:r w:rsidR="00AD5D0F" w:rsidRPr="008210F6">
        <w:rPr>
          <w:szCs w:val="22"/>
        </w:rPr>
        <w:t xml:space="preserve"> </w:t>
      </w:r>
      <w:r w:rsidR="0003012B" w:rsidRPr="008210F6">
        <w:rPr>
          <w:szCs w:val="22"/>
        </w:rPr>
        <w:t>COVID-19 vaccine-related deaths were equivalent to 10 years</w:t>
      </w:r>
      <w:r w:rsidR="00B30D92">
        <w:rPr>
          <w:szCs w:val="22"/>
        </w:rPr>
        <w:t>,</w:t>
      </w:r>
      <w:r w:rsidR="0003012B" w:rsidRPr="008210F6">
        <w:rPr>
          <w:szCs w:val="22"/>
        </w:rPr>
        <w:t xml:space="preserve"> </w:t>
      </w:r>
      <w:r w:rsidR="0003012B">
        <w:rPr>
          <w:szCs w:val="22"/>
        </w:rPr>
        <w:t xml:space="preserve">and hospitalizations equivalent to 5.4 years </w:t>
      </w:r>
      <w:r w:rsidR="0003012B" w:rsidRPr="008210F6">
        <w:rPr>
          <w:szCs w:val="22"/>
        </w:rPr>
        <w:t xml:space="preserve">of all seasonal influenza vaccine-related deaths </w:t>
      </w:r>
      <w:r w:rsidR="0003012B">
        <w:rPr>
          <w:szCs w:val="22"/>
        </w:rPr>
        <w:t xml:space="preserve">and hospitalizations respectively </w:t>
      </w:r>
      <w:r w:rsidR="0003012B" w:rsidRPr="008210F6">
        <w:rPr>
          <w:szCs w:val="22"/>
        </w:rPr>
        <w:t xml:space="preserve">in the USA. </w:t>
      </w:r>
      <w:bookmarkStart w:id="74" w:name="_Toc516645033"/>
      <w:bookmarkStart w:id="75" w:name="_Toc111367993"/>
      <w:r w:rsidR="00B30D92">
        <w:rPr>
          <w:szCs w:val="22"/>
        </w:rPr>
        <w:t>According to the web archive, 632 million doses had been administered in the first year of its launch.</w:t>
      </w:r>
      <w:r w:rsidR="00B30D92">
        <w:rPr>
          <w:rStyle w:val="EndnoteReference"/>
          <w:szCs w:val="22"/>
        </w:rPr>
        <w:endnoteReference w:id="139"/>
      </w:r>
      <w:r w:rsidR="00B30D92">
        <w:rPr>
          <w:szCs w:val="22"/>
        </w:rPr>
        <w:t xml:space="preserve"> </w:t>
      </w:r>
      <w:r w:rsidR="00F41FBD" w:rsidRPr="007D5BDF">
        <w:rPr>
          <w:szCs w:val="22"/>
        </w:rPr>
        <w:t xml:space="preserve">As of </w:t>
      </w:r>
      <w:r w:rsidR="00F41FBD">
        <w:rPr>
          <w:szCs w:val="22"/>
        </w:rPr>
        <w:t>01/12/</w:t>
      </w:r>
      <w:r w:rsidR="00F41FBD" w:rsidRPr="007D5BDF">
        <w:rPr>
          <w:szCs w:val="22"/>
        </w:rPr>
        <w:t xml:space="preserve">2022, the VAERS database showed there were </w:t>
      </w:r>
      <w:r w:rsidR="00F41FBD" w:rsidRPr="00FE0032">
        <w:rPr>
          <w:szCs w:val="22"/>
        </w:rPr>
        <w:t xml:space="preserve">18,557 </w:t>
      </w:r>
      <w:r w:rsidR="00F41FBD" w:rsidRPr="007D5BDF">
        <w:rPr>
          <w:szCs w:val="22"/>
        </w:rPr>
        <w:t xml:space="preserve">deaths and </w:t>
      </w:r>
      <w:r w:rsidR="00F41FBD" w:rsidRPr="00FE0032">
        <w:rPr>
          <w:szCs w:val="22"/>
        </w:rPr>
        <w:t>89,085</w:t>
      </w:r>
      <w:r w:rsidR="00F41FBD" w:rsidRPr="007D5BDF">
        <w:rPr>
          <w:szCs w:val="22"/>
        </w:rPr>
        <w:t xml:space="preserve"> hospitalizations associated with </w:t>
      </w:r>
      <w:r w:rsidR="00F41FBD">
        <w:rPr>
          <w:szCs w:val="22"/>
        </w:rPr>
        <w:t>COVID-19</w:t>
      </w:r>
      <w:r w:rsidR="00F41FBD" w:rsidRPr="007D5BDF">
        <w:rPr>
          <w:szCs w:val="22"/>
        </w:rPr>
        <w:t xml:space="preserve"> vaccination in the USA since EUA approval, </w:t>
      </w:r>
      <w:r w:rsidR="00F41FBD">
        <w:rPr>
          <w:szCs w:val="22"/>
        </w:rPr>
        <w:t>representing</w:t>
      </w:r>
      <w:r w:rsidR="00F41FBD" w:rsidRPr="007D5BDF">
        <w:rPr>
          <w:szCs w:val="22"/>
        </w:rPr>
        <w:t xml:space="preserve"> a </w:t>
      </w:r>
      <w:r w:rsidR="00F41FBD">
        <w:rPr>
          <w:szCs w:val="22"/>
        </w:rPr>
        <w:t>78</w:t>
      </w:r>
      <w:r w:rsidR="00F41FBD" w:rsidRPr="007D5BDF">
        <w:rPr>
          <w:szCs w:val="22"/>
        </w:rPr>
        <w:t xml:space="preserve">% and </w:t>
      </w:r>
      <w:r w:rsidR="00F41FBD">
        <w:rPr>
          <w:szCs w:val="22"/>
        </w:rPr>
        <w:t>82</w:t>
      </w:r>
      <w:r w:rsidR="00F41FBD" w:rsidRPr="007D5BDF">
        <w:rPr>
          <w:szCs w:val="22"/>
        </w:rPr>
        <w:t>% increase respectively since my last VAERS data download on 07/12/2021.</w:t>
      </w:r>
      <w:r w:rsidR="00F41FBD" w:rsidRPr="00127E29">
        <w:rPr>
          <w:rStyle w:val="EndnoteReference"/>
          <w:szCs w:val="22"/>
        </w:rPr>
        <w:endnoteReference w:id="140"/>
      </w:r>
      <w:r w:rsidR="00F41FBD">
        <w:rPr>
          <w:szCs w:val="22"/>
        </w:rPr>
        <w:t xml:space="preserve"> When will all COVID-19 vaccines be </w:t>
      </w:r>
      <w:r w:rsidR="00F41FBD" w:rsidRPr="00F41FBD">
        <w:rPr>
          <w:b/>
          <w:bCs w:val="0"/>
          <w:szCs w:val="22"/>
        </w:rPr>
        <w:t>withdrawn from the market</w:t>
      </w:r>
      <w:r w:rsidR="00F41FBD">
        <w:rPr>
          <w:szCs w:val="22"/>
        </w:rPr>
        <w:t>?</w:t>
      </w:r>
    </w:p>
    <w:p w14:paraId="7394B304" w14:textId="3AF14741" w:rsidR="00B672BA" w:rsidRPr="00443404" w:rsidRDefault="00006A63" w:rsidP="00AD5D0F">
      <w:pPr>
        <w:pStyle w:val="Heading3"/>
      </w:pPr>
      <w:bookmarkStart w:id="76" w:name="_Toc121035128"/>
      <w:r>
        <w:t>Vaccine Development Experts Identif</w:t>
      </w:r>
      <w:r w:rsidR="00A77013">
        <w:t>ied</w:t>
      </w:r>
      <w:r>
        <w:t xml:space="preserve"> </w:t>
      </w:r>
      <w:r w:rsidR="005F6ED4">
        <w:t xml:space="preserve">Vaccine </w:t>
      </w:r>
      <w:r>
        <w:t xml:space="preserve">Safety </w:t>
      </w:r>
      <w:r w:rsidR="002A1C71">
        <w:t>Signals</w:t>
      </w:r>
      <w:r w:rsidR="00F21EA8">
        <w:t xml:space="preserve"> </w:t>
      </w:r>
      <w:r w:rsidR="00794F06">
        <w:t>from</w:t>
      </w:r>
      <w:r>
        <w:t xml:space="preserve"> VAERS</w:t>
      </w:r>
      <w:bookmarkEnd w:id="74"/>
      <w:bookmarkEnd w:id="75"/>
      <w:r w:rsidR="005F6ED4">
        <w:t xml:space="preserve"> Data</w:t>
      </w:r>
      <w:bookmarkEnd w:id="76"/>
    </w:p>
    <w:p w14:paraId="61478675" w14:textId="2BAF6107" w:rsidR="00B9798A" w:rsidRPr="00AF6E8E" w:rsidRDefault="00B9798A" w:rsidP="00B9798A">
      <w:pPr>
        <w:rPr>
          <w:b/>
          <w:color w:val="000000" w:themeColor="text1"/>
          <w:u w:val="single"/>
        </w:rPr>
      </w:pPr>
      <w:r w:rsidRPr="00AF6E8E">
        <w:rPr>
          <w:color w:val="000000" w:themeColor="text1"/>
        </w:rPr>
        <w:t xml:space="preserve">A detailed analysis of the VAERS data </w:t>
      </w:r>
      <w:r w:rsidR="00A15179" w:rsidRPr="00AF6E8E">
        <w:rPr>
          <w:color w:val="000000" w:themeColor="text1"/>
        </w:rPr>
        <w:t>was</w:t>
      </w:r>
      <w:r w:rsidRPr="00AF6E8E">
        <w:rPr>
          <w:color w:val="000000" w:themeColor="text1"/>
        </w:rPr>
        <w:t xml:space="preserve"> </w:t>
      </w:r>
      <w:r w:rsidR="00A62495">
        <w:rPr>
          <w:color w:val="000000" w:themeColor="text1"/>
        </w:rPr>
        <w:t xml:space="preserve">also </w:t>
      </w:r>
      <w:r w:rsidRPr="00AF6E8E">
        <w:rPr>
          <w:color w:val="000000" w:themeColor="text1"/>
        </w:rPr>
        <w:t xml:space="preserve">undertaken by </w:t>
      </w:r>
      <w:r w:rsidR="00A0435F">
        <w:rPr>
          <w:color w:val="000000" w:themeColor="text1"/>
        </w:rPr>
        <w:t xml:space="preserve">several </w:t>
      </w:r>
      <w:r w:rsidRPr="00AF6E8E">
        <w:rPr>
          <w:color w:val="000000" w:themeColor="text1"/>
        </w:rPr>
        <w:t>vaccine industry professionals at “How Bad is my Batch”</w:t>
      </w:r>
      <w:r w:rsidR="007D0BDE">
        <w:rPr>
          <w:color w:val="000000" w:themeColor="text1"/>
        </w:rPr>
        <w:t xml:space="preserve"> </w:t>
      </w:r>
      <w:r w:rsidR="007D0BDE">
        <w:t>(“HBIMB team”)</w:t>
      </w:r>
      <w:r w:rsidR="00A43CC9">
        <w:t>,</w:t>
      </w:r>
      <w:r w:rsidR="00257CDC" w:rsidRPr="00AF6E8E">
        <w:rPr>
          <w:rStyle w:val="EndnoteReference"/>
          <w:color w:val="000000" w:themeColor="text1"/>
        </w:rPr>
        <w:endnoteReference w:id="141"/>
      </w:r>
      <w:r w:rsidRPr="00AF6E8E">
        <w:rPr>
          <w:color w:val="000000" w:themeColor="text1"/>
        </w:rPr>
        <w:t xml:space="preserve"> including Dr</w:t>
      </w:r>
      <w:r w:rsidR="00861F7A" w:rsidRPr="00AF6E8E">
        <w:rPr>
          <w:color w:val="000000" w:themeColor="text1"/>
        </w:rPr>
        <w:t>.</w:t>
      </w:r>
      <w:r w:rsidRPr="00AF6E8E">
        <w:rPr>
          <w:color w:val="000000" w:themeColor="text1"/>
        </w:rPr>
        <w:t xml:space="preserve"> Mike Yeadon (</w:t>
      </w:r>
      <w:r w:rsidRPr="00AF6E8E">
        <w:rPr>
          <w:i/>
          <w:color w:val="000000" w:themeColor="text1"/>
        </w:rPr>
        <w:t>former Vice President &amp; Chief Scientific Officer of Allergy &amp; Respiratory at Pfizer Global R&amp;D</w:t>
      </w:r>
      <w:r w:rsidR="00B92CA0" w:rsidRPr="00AF6E8E">
        <w:rPr>
          <w:color w:val="000000" w:themeColor="text1"/>
        </w:rPr>
        <w:t>).</w:t>
      </w:r>
      <w:r w:rsidRPr="00AF6E8E">
        <w:rPr>
          <w:rStyle w:val="EndnoteReference"/>
          <w:color w:val="000000" w:themeColor="text1"/>
        </w:rPr>
        <w:endnoteReference w:id="142"/>
      </w:r>
    </w:p>
    <w:p w14:paraId="2194C855" w14:textId="60E1EA40" w:rsidR="00B9798A" w:rsidRPr="000350F8" w:rsidRDefault="00CD492C" w:rsidP="00B9798A">
      <w:r>
        <w:t>Based on their analysis</w:t>
      </w:r>
      <w:r w:rsidR="00A43CC9">
        <w:t>,</w:t>
      </w:r>
      <w:r>
        <w:t xml:space="preserve"> the following s</w:t>
      </w:r>
      <w:r w:rsidR="00B9798A" w:rsidRPr="000350F8">
        <w:t xml:space="preserve">trong VAERS safety signals </w:t>
      </w:r>
      <w:r>
        <w:t>were identified</w:t>
      </w:r>
      <w:r w:rsidR="00B9798A" w:rsidRPr="000350F8">
        <w:t>:</w:t>
      </w:r>
      <w:r w:rsidR="00257CDC" w:rsidRPr="00257CDC">
        <w:rPr>
          <w:rStyle w:val="EndnoteReference"/>
          <w:color w:val="0000FF"/>
          <w:szCs w:val="22"/>
        </w:rPr>
        <w:t xml:space="preserve"> </w:t>
      </w:r>
    </w:p>
    <w:p w14:paraId="63D62218" w14:textId="6CF53EA5" w:rsidR="00B9798A" w:rsidRPr="000350F8" w:rsidRDefault="00B9798A" w:rsidP="00B9798A">
      <w:pPr>
        <w:pStyle w:val="ListParagraph"/>
        <w:numPr>
          <w:ilvl w:val="0"/>
          <w:numId w:val="4"/>
        </w:numPr>
        <w:spacing w:after="120"/>
        <w:ind w:left="270" w:hanging="270"/>
      </w:pPr>
      <w:r w:rsidRPr="000350F8">
        <w:t>Toxic lots were part of a mathematical series of lot numbers: for example, Pfizer lots with the same first two letters (i.e., EN, EP, ER, EW, etc.) tended to occupy distinct ranges of adverse outcomes, with toxicity decreasing as the alphabet ascended. Within each alphabetical group</w:t>
      </w:r>
      <w:r w:rsidR="00D61477">
        <w:t>,</w:t>
      </w:r>
      <w:r w:rsidRPr="000350F8">
        <w:t xml:space="preserve"> there were some </w:t>
      </w:r>
      <w:r w:rsidR="00E5258C">
        <w:t>high-toxicity</w:t>
      </w:r>
      <w:r w:rsidRPr="000350F8">
        <w:t xml:space="preserve"> lots and a larger number of </w:t>
      </w:r>
      <w:r w:rsidR="00E5258C">
        <w:t>low-toxicity</w:t>
      </w:r>
      <w:r w:rsidRPr="000350F8">
        <w:t xml:space="preserve"> lots, with little in between (i.e., a sudden drop from the 2000 range to 37). If adverse outcomes were </w:t>
      </w:r>
      <w:r w:rsidR="00A43CC9">
        <w:t>a</w:t>
      </w:r>
      <w:r w:rsidRPr="000350F8">
        <w:t xml:space="preserve"> random result of </w:t>
      </w:r>
      <w:r w:rsidR="00A43CC9">
        <w:t>individual</w:t>
      </w:r>
      <w:r w:rsidRPr="000350F8">
        <w:t xml:space="preserve"> </w:t>
      </w:r>
      <w:r w:rsidR="00D61477" w:rsidRPr="000350F8">
        <w:t>comorbidities</w:t>
      </w:r>
      <w:r w:rsidR="00F95681">
        <w:t xml:space="preserve">, </w:t>
      </w:r>
      <w:r w:rsidRPr="000350F8">
        <w:t xml:space="preserve">then why </w:t>
      </w:r>
      <w:r w:rsidR="00861F7A">
        <w:t>were</w:t>
      </w:r>
      <w:r w:rsidRPr="000350F8">
        <w:t xml:space="preserve"> they predominantly occurring with </w:t>
      </w:r>
      <w:r w:rsidR="00A43CC9">
        <w:t xml:space="preserve">vaccine </w:t>
      </w:r>
      <w:r w:rsidRPr="000350F8">
        <w:t xml:space="preserve">lots that </w:t>
      </w:r>
      <w:r w:rsidR="00861F7A">
        <w:t>were</w:t>
      </w:r>
      <w:r w:rsidRPr="000350F8">
        <w:t xml:space="preserve"> </w:t>
      </w:r>
      <w:r w:rsidRPr="002630B7">
        <w:rPr>
          <w:i/>
          <w:iCs/>
        </w:rPr>
        <w:t>part of a mathematical</w:t>
      </w:r>
      <w:r w:rsidR="00B92CA0" w:rsidRPr="002630B7">
        <w:rPr>
          <w:i/>
          <w:iCs/>
        </w:rPr>
        <w:t>-alphabetical</w:t>
      </w:r>
      <w:r w:rsidRPr="002630B7">
        <w:rPr>
          <w:i/>
          <w:iCs/>
        </w:rPr>
        <w:t xml:space="preserve"> series</w:t>
      </w:r>
      <w:r w:rsidRPr="000350F8">
        <w:t xml:space="preserve"> (i.e., EN6198, EN6199, EN6200, EN6201, EN6202, EN6203, EN6204, EN6205, EN6206, EN6207, EN6208, or EW0150 to EW0217 for almost all deaths and disabilities in children)? Statisticians concluded </w:t>
      </w:r>
      <w:r w:rsidR="00A43CC9">
        <w:t xml:space="preserve">that </w:t>
      </w:r>
      <w:r w:rsidRPr="000350F8">
        <w:t xml:space="preserve">this safety signal was </w:t>
      </w:r>
      <w:r w:rsidRPr="002630B7">
        <w:rPr>
          <w:b/>
          <w:bCs w:val="0"/>
        </w:rPr>
        <w:t>non-random</w:t>
      </w:r>
      <w:r w:rsidRPr="000350F8">
        <w:t>.</w:t>
      </w:r>
      <w:r w:rsidRPr="000350F8">
        <w:rPr>
          <w:rStyle w:val="EndnoteReference"/>
        </w:rPr>
        <w:endnoteReference w:id="143"/>
      </w:r>
      <w:r w:rsidRPr="000350F8">
        <w:t xml:space="preserve"> </w:t>
      </w:r>
    </w:p>
    <w:p w14:paraId="284820F7" w14:textId="77B580F6" w:rsidR="00E237AF" w:rsidRPr="000350F8" w:rsidRDefault="00292D5A" w:rsidP="00E237AF">
      <w:pPr>
        <w:pStyle w:val="ListParagraph"/>
        <w:numPr>
          <w:ilvl w:val="0"/>
          <w:numId w:val="4"/>
        </w:numPr>
        <w:spacing w:after="120"/>
        <w:ind w:left="270" w:hanging="270"/>
      </w:pPr>
      <w:r>
        <w:t>Percent</w:t>
      </w:r>
      <w:r w:rsidR="00E237AF" w:rsidRPr="000350F8">
        <w:t xml:space="preserve"> mRNA </w:t>
      </w:r>
      <w:r>
        <w:t>stability</w:t>
      </w:r>
      <w:r w:rsidR="00E237AF" w:rsidRPr="000350F8">
        <w:t xml:space="preserve">: this explained </w:t>
      </w:r>
      <w:r w:rsidR="00861F7A">
        <w:t xml:space="preserve">one-third </w:t>
      </w:r>
      <w:r w:rsidR="00351DFE">
        <w:t xml:space="preserve">and half </w:t>
      </w:r>
      <w:r w:rsidR="00E237AF" w:rsidRPr="000350F8">
        <w:t>of the lot variability in deaths</w:t>
      </w:r>
      <w:r w:rsidR="00351DFE" w:rsidRPr="00351DFE">
        <w:t xml:space="preserve"> </w:t>
      </w:r>
      <w:r w:rsidR="00351DFE">
        <w:t>and serious adverse events</w:t>
      </w:r>
      <w:r w:rsidR="00A43CC9">
        <w:t>,</w:t>
      </w:r>
      <w:r w:rsidR="00351DFE">
        <w:t xml:space="preserve"> respectively</w:t>
      </w:r>
      <w:r w:rsidR="00E237AF" w:rsidRPr="000350F8">
        <w:t xml:space="preserve">, with </w:t>
      </w:r>
      <w:r w:rsidR="00E237AF">
        <w:t xml:space="preserve">a </w:t>
      </w:r>
      <w:r w:rsidR="00E237AF" w:rsidRPr="000350F8">
        <w:t xml:space="preserve">higher </w:t>
      </w:r>
      <w:r w:rsidR="00754C05">
        <w:t>percentage of</w:t>
      </w:r>
      <w:r w:rsidR="00E237AF" w:rsidRPr="000350F8">
        <w:t xml:space="preserve"> mRNA </w:t>
      </w:r>
      <w:r>
        <w:t>stability</w:t>
      </w:r>
      <w:r w:rsidR="00E237AF" w:rsidRPr="000350F8">
        <w:t xml:space="preserve"> associated with a higher rate </w:t>
      </w:r>
      <w:r w:rsidR="00B92CA0">
        <w:t xml:space="preserve">of adverse outcomes </w:t>
      </w:r>
      <w:r w:rsidR="00A62495">
        <w:t xml:space="preserve">indicating </w:t>
      </w:r>
      <w:r w:rsidR="00B92CA0">
        <w:t>the</w:t>
      </w:r>
      <w:r w:rsidR="00E237AF" w:rsidRPr="000350F8">
        <w:t xml:space="preserve"> </w:t>
      </w:r>
      <w:r w:rsidR="00E237AF" w:rsidRPr="00A62495">
        <w:rPr>
          <w:b/>
          <w:bCs w:val="0"/>
          <w:iCs/>
        </w:rPr>
        <w:t>biological</w:t>
      </w:r>
      <w:r w:rsidR="00B92CA0" w:rsidRPr="00A62495">
        <w:rPr>
          <w:b/>
          <w:bCs w:val="0"/>
          <w:iCs/>
        </w:rPr>
        <w:t xml:space="preserve">ly active </w:t>
      </w:r>
      <w:r w:rsidR="00A62495" w:rsidRPr="00A62495">
        <w:rPr>
          <w:b/>
          <w:bCs w:val="0"/>
          <w:iCs/>
        </w:rPr>
        <w:t>non-degraded mRNA</w:t>
      </w:r>
      <w:r w:rsidR="00B92CA0" w:rsidRPr="00A62495">
        <w:rPr>
          <w:b/>
          <w:bCs w:val="0"/>
          <w:iCs/>
        </w:rPr>
        <w:t xml:space="preserve"> was toxic-harmful</w:t>
      </w:r>
      <w:r w:rsidR="00E237AF" w:rsidRPr="000350F8">
        <w:t>.</w:t>
      </w:r>
      <w:r w:rsidR="00E237AF">
        <w:rPr>
          <w:rStyle w:val="EndnoteReference"/>
        </w:rPr>
        <w:endnoteReference w:id="144"/>
      </w:r>
    </w:p>
    <w:p w14:paraId="28E6DBEB" w14:textId="09214E4A" w:rsidR="00B9798A" w:rsidRPr="000350F8" w:rsidRDefault="00E237AF" w:rsidP="00B9798A">
      <w:pPr>
        <w:pStyle w:val="ListParagraph"/>
        <w:numPr>
          <w:ilvl w:val="0"/>
          <w:numId w:val="4"/>
        </w:numPr>
        <w:spacing w:after="120"/>
        <w:ind w:left="270" w:hanging="270"/>
      </w:pPr>
      <w:r>
        <w:t>US S</w:t>
      </w:r>
      <w:r w:rsidR="00B9798A" w:rsidRPr="000350F8">
        <w:t xml:space="preserve">tate bias: some states like Kentucky, Montana, Alaska, Tennessee, </w:t>
      </w:r>
      <w:r w:rsidR="00095E92">
        <w:t xml:space="preserve">and </w:t>
      </w:r>
      <w:r w:rsidR="00B9798A" w:rsidRPr="000350F8">
        <w:t xml:space="preserve">North and South Dakota experienced 4x-11x the number of deaths per 100,000 vaccinated, suggesting they received more toxic </w:t>
      </w:r>
      <w:r w:rsidR="00D61477" w:rsidRPr="000350F8">
        <w:t>batches</w:t>
      </w:r>
      <w:r w:rsidR="00B9798A" w:rsidRPr="000350F8">
        <w:t xml:space="preserve"> or these were administered to more vulnerable people.</w:t>
      </w:r>
      <w:r w:rsidR="00B9798A" w:rsidRPr="000350F8">
        <w:rPr>
          <w:rStyle w:val="EndnoteReference"/>
        </w:rPr>
        <w:endnoteReference w:id="145"/>
      </w:r>
    </w:p>
    <w:p w14:paraId="402B4213" w14:textId="5DC5162B" w:rsidR="00004349" w:rsidRPr="000350F8" w:rsidRDefault="00004349" w:rsidP="00004349">
      <w:pPr>
        <w:pStyle w:val="ListParagraph"/>
        <w:numPr>
          <w:ilvl w:val="0"/>
          <w:numId w:val="4"/>
        </w:numPr>
        <w:spacing w:after="120"/>
        <w:ind w:left="270" w:hanging="270"/>
      </w:pPr>
      <w:r w:rsidRPr="000350F8">
        <w:t xml:space="preserve">Statistical clustering around the vaccination date: a high proportion of deaths occurred on the vaccination day, with many people dying within 2 hours of vaccination. VAERS </w:t>
      </w:r>
      <w:r w:rsidR="00A62495">
        <w:t xml:space="preserve">data </w:t>
      </w:r>
      <w:r w:rsidRPr="000350F8">
        <w:t>and Pfizer</w:t>
      </w:r>
      <w:r w:rsidR="00A62495">
        <w:t>’s post-EUA 90-day adverse event report submitted to the FDA</w:t>
      </w:r>
      <w:r w:rsidRPr="000350F8">
        <w:t xml:space="preserve"> confirmed that most </w:t>
      </w:r>
      <w:r w:rsidR="00A62495">
        <w:t>deaths</w:t>
      </w:r>
      <w:r w:rsidRPr="000350F8">
        <w:t xml:space="preserve"> occurred within 24 hours of vaccination.</w:t>
      </w:r>
      <w:r w:rsidRPr="000350F8">
        <w:rPr>
          <w:vertAlign w:val="superscript"/>
        </w:rPr>
        <w:endnoteReference w:id="146"/>
      </w:r>
      <w:r w:rsidRPr="000350F8">
        <w:rPr>
          <w:vertAlign w:val="superscript"/>
        </w:rPr>
        <w:t>,</w:t>
      </w:r>
      <w:r w:rsidRPr="000350F8">
        <w:rPr>
          <w:vertAlign w:val="superscript"/>
        </w:rPr>
        <w:endnoteReference w:id="147"/>
      </w:r>
      <w:r w:rsidRPr="000350F8">
        <w:t xml:space="preserve"> Seventy percent of all individuals experiencing adverse events had an onset of </w:t>
      </w:r>
      <w:r w:rsidRPr="000350F8">
        <w:lastRenderedPageBreak/>
        <w:t xml:space="preserve">symptoms within 48 hours following </w:t>
      </w:r>
      <w:r w:rsidR="00095E92">
        <w:t xml:space="preserve">the </w:t>
      </w:r>
      <w:r w:rsidRPr="000350F8">
        <w:t>first or second doses (</w:t>
      </w:r>
      <w:r w:rsidR="00754C05">
        <w:t>Chi-square</w:t>
      </w:r>
      <w:r w:rsidRPr="000350F8">
        <w:t xml:space="preserve"> statistic, p &lt; .0001).</w:t>
      </w:r>
      <w:r w:rsidRPr="000350F8">
        <w:rPr>
          <w:rStyle w:val="EndnoteReference"/>
        </w:rPr>
        <w:endnoteReference w:id="148"/>
      </w:r>
      <w:r w:rsidRPr="000350F8">
        <w:t xml:space="preserve">      </w:t>
      </w:r>
    </w:p>
    <w:p w14:paraId="3B8FA11C" w14:textId="022A1BD1" w:rsidR="00B9798A" w:rsidRPr="000350F8" w:rsidRDefault="00B9798A" w:rsidP="00B9798A">
      <w:pPr>
        <w:pStyle w:val="ListParagraph"/>
        <w:numPr>
          <w:ilvl w:val="0"/>
          <w:numId w:val="4"/>
        </w:numPr>
        <w:spacing w:after="120"/>
        <w:ind w:left="270" w:hanging="270"/>
      </w:pPr>
      <w:r w:rsidRPr="000350F8">
        <w:t>Age bias: age explained one-third of the lot variability in deaths. Approximately three-quarters were older than 60yrs</w:t>
      </w:r>
      <w:r w:rsidR="00754C05">
        <w:t>,</w:t>
      </w:r>
      <w:r w:rsidRPr="000350F8">
        <w:t xml:space="preserve"> and one-quarter </w:t>
      </w:r>
      <w:r w:rsidR="00754C05">
        <w:t xml:space="preserve">were </w:t>
      </w:r>
      <w:r w:rsidRPr="000350F8">
        <w:t xml:space="preserve">aged 40-60yrs. </w:t>
      </w:r>
      <w:r w:rsidR="00572563">
        <w:t>COVID-19</w:t>
      </w:r>
      <w:r w:rsidRPr="000350F8">
        <w:t xml:space="preserve"> vaccines tended to afflict the old with death and the younger age groups with severe injury or chronic illness.</w:t>
      </w:r>
      <w:r w:rsidRPr="000350F8">
        <w:rPr>
          <w:vertAlign w:val="superscript"/>
        </w:rPr>
        <w:endnoteReference w:id="149"/>
      </w:r>
    </w:p>
    <w:p w14:paraId="713B4F16" w14:textId="7C782BB0" w:rsidR="00B9798A" w:rsidRPr="00A64A45" w:rsidRDefault="00B9798A" w:rsidP="00B9798A">
      <w:pPr>
        <w:pStyle w:val="ListParagraph"/>
        <w:numPr>
          <w:ilvl w:val="0"/>
          <w:numId w:val="4"/>
        </w:numPr>
        <w:spacing w:after="120"/>
        <w:ind w:left="270" w:hanging="270"/>
      </w:pPr>
      <w:r w:rsidRPr="000350F8">
        <w:t xml:space="preserve">Gender bias: women experienced far more adverse effects than men, yet this critical safety information is missing from their </w:t>
      </w:r>
      <w:r w:rsidRPr="00D239F8">
        <w:rPr>
          <w:b/>
          <w:bCs w:val="0"/>
        </w:rPr>
        <w:t>informed consent</w:t>
      </w:r>
      <w:r w:rsidR="00292D5A">
        <w:t xml:space="preserve"> </w:t>
      </w:r>
      <w:r w:rsidR="00292D5A" w:rsidRPr="00D7505F">
        <w:rPr>
          <w:b/>
          <w:bCs w:val="0"/>
        </w:rPr>
        <w:t>worldwide</w:t>
      </w:r>
      <w:r w:rsidRPr="000350F8">
        <w:t>.</w:t>
      </w:r>
      <w:r w:rsidRPr="000350F8">
        <w:rPr>
          <w:rStyle w:val="EndnoteReference"/>
        </w:rPr>
        <w:endnoteReference w:id="150"/>
      </w:r>
      <w:r w:rsidRPr="000350F8">
        <w:rPr>
          <w:vertAlign w:val="superscript"/>
        </w:rPr>
        <w:t>,</w:t>
      </w:r>
      <w:r w:rsidRPr="000350F8">
        <w:rPr>
          <w:vertAlign w:val="superscript"/>
        </w:rPr>
        <w:endnoteReference w:id="151"/>
      </w:r>
    </w:p>
    <w:p w14:paraId="01C78D3E" w14:textId="7E658084" w:rsidR="007D0BDE" w:rsidRDefault="007D0BDE" w:rsidP="007D0BDE">
      <w:r>
        <w:t>T</w:t>
      </w:r>
      <w:r w:rsidRPr="000E165B">
        <w:t xml:space="preserve">he </w:t>
      </w:r>
      <w:r>
        <w:t xml:space="preserve">HBIMB team reviewed </w:t>
      </w:r>
      <w:r w:rsidR="000E165B" w:rsidRPr="000E165B">
        <w:t xml:space="preserve">various European Medicines Agency (EMA), FDA, and Pfizer documents supporting Comirnaty’s EUA approval </w:t>
      </w:r>
      <w:r>
        <w:t>and</w:t>
      </w:r>
      <w:r w:rsidR="00A64A45" w:rsidRPr="000E165B">
        <w:t xml:space="preserve"> discovered that Pfizer utilized two different </w:t>
      </w:r>
      <w:r>
        <w:t>non-cGMP-compliant</w:t>
      </w:r>
      <w:r w:rsidR="00A64A45" w:rsidRPr="000E165B">
        <w:t xml:space="preserve"> manufacturing processes to support </w:t>
      </w:r>
      <w:r w:rsidR="002949AC">
        <w:t>its</w:t>
      </w:r>
      <w:r w:rsidR="00A64A45" w:rsidRPr="000E165B">
        <w:t xml:space="preserve"> FDA EUA approval.</w:t>
      </w:r>
      <w:r w:rsidRPr="000E165B">
        <w:rPr>
          <w:rStyle w:val="EndnoteReference"/>
        </w:rPr>
        <w:endnoteReference w:id="152"/>
      </w:r>
      <w:r w:rsidRPr="000E165B">
        <w:rPr>
          <w:vertAlign w:val="superscript"/>
        </w:rPr>
        <w:t>,</w:t>
      </w:r>
      <w:r w:rsidRPr="000E165B">
        <w:rPr>
          <w:rStyle w:val="EndnoteReference"/>
        </w:rPr>
        <w:endnoteReference w:id="153"/>
      </w:r>
      <w:r w:rsidRPr="000E165B">
        <w:rPr>
          <w:vertAlign w:val="superscript"/>
        </w:rPr>
        <w:t>,</w:t>
      </w:r>
      <w:r w:rsidRPr="000E165B">
        <w:rPr>
          <w:rStyle w:val="EndnoteReference"/>
        </w:rPr>
        <w:endnoteReference w:id="154"/>
      </w:r>
      <w:r w:rsidRPr="000E165B">
        <w:rPr>
          <w:vertAlign w:val="superscript"/>
        </w:rPr>
        <w:t xml:space="preserve"> </w:t>
      </w:r>
      <w:r w:rsidR="00A64A45" w:rsidRPr="000E165B">
        <w:t xml:space="preserve"> The mRNA drug substance was also </w:t>
      </w:r>
      <w:r w:rsidR="00A64A45" w:rsidRPr="000E165B">
        <w:rPr>
          <w:i/>
        </w:rPr>
        <w:t>highly unstable</w:t>
      </w:r>
      <w:r w:rsidR="00A64A45" w:rsidRPr="000E165B">
        <w:t xml:space="preserve"> and was </w:t>
      </w:r>
      <w:r w:rsidR="002949AC">
        <w:t xml:space="preserve">unprecedentedly </w:t>
      </w:r>
      <w:r w:rsidR="00A64A45" w:rsidRPr="000E165B">
        <w:t xml:space="preserve">permitted to contain up to 50% degraded mRNA fragments. </w:t>
      </w:r>
      <w:r w:rsidR="000E165B" w:rsidRPr="000E165B">
        <w:t xml:space="preserve">According to </w:t>
      </w:r>
      <w:r w:rsidR="005B68A3">
        <w:t>the HBIMB</w:t>
      </w:r>
      <w:r w:rsidR="002949AC">
        <w:t xml:space="preserve"> </w:t>
      </w:r>
      <w:r w:rsidR="005B68A3">
        <w:t>team</w:t>
      </w:r>
      <w:r w:rsidR="002949AC">
        <w:t>’s</w:t>
      </w:r>
      <w:r w:rsidR="000E165B" w:rsidRPr="000E165B">
        <w:t xml:space="preserve"> research, t</w:t>
      </w:r>
      <w:r w:rsidR="00A64A45" w:rsidRPr="000E165B">
        <w:t>hese mRNA degradants had not been characterized and their biological activity was unknow</w:t>
      </w:r>
      <w:r>
        <w:t>n</w:t>
      </w:r>
      <w:r w:rsidR="00960147">
        <w:t>. T</w:t>
      </w:r>
      <w:r w:rsidR="00A64A45" w:rsidRPr="005B68A3">
        <w:t xml:space="preserve">he final dose vials were also not characterized given technical issues associated with creating a </w:t>
      </w:r>
      <w:r w:rsidR="005B68A3" w:rsidRPr="005B68A3">
        <w:t xml:space="preserve">well-mixed, </w:t>
      </w:r>
      <w:r w:rsidR="00A64A45" w:rsidRPr="005B68A3">
        <w:t>homogenous</w:t>
      </w:r>
      <w:r w:rsidR="005B68A3" w:rsidRPr="005B68A3">
        <w:t xml:space="preserve">, </w:t>
      </w:r>
      <w:r w:rsidR="00A64A45" w:rsidRPr="005B68A3">
        <w:t>and consistent final dose form</w:t>
      </w:r>
      <w:r>
        <w:t xml:space="preserve"> </w:t>
      </w:r>
      <w:r w:rsidR="002949AC">
        <w:t>linked to</w:t>
      </w:r>
      <w:r w:rsidRPr="005B68A3">
        <w:t xml:space="preserve"> mRNA fragility</w:t>
      </w:r>
      <w:r w:rsidR="00A64A45" w:rsidRPr="005B68A3">
        <w:t xml:space="preserve">. This meant the active mRNA ingredient was unevenly distributed among lot vials, resulting in more and less toxic vials within the same lot, while the mRNA was then rapidly degraded. </w:t>
      </w:r>
    </w:p>
    <w:p w14:paraId="325CCC76" w14:textId="7644BE19" w:rsidR="003A295A" w:rsidRPr="00103501" w:rsidRDefault="007D0BDE" w:rsidP="007D0BDE">
      <w:r>
        <w:t>B</w:t>
      </w:r>
      <w:r w:rsidR="00A64A45" w:rsidRPr="005B68A3">
        <w:t xml:space="preserve">atches with a higher percentage of intact mRNA were </w:t>
      </w:r>
      <w:r w:rsidR="00A64A45" w:rsidRPr="00233F2B">
        <w:rPr>
          <w:b/>
          <w:bCs w:val="0"/>
          <w:iCs/>
        </w:rPr>
        <w:t>significantly more toxic</w:t>
      </w:r>
      <w:r w:rsidR="00A64A45" w:rsidRPr="005B68A3">
        <w:t xml:space="preserve">, and the relative toxicity (i.e., </w:t>
      </w:r>
      <w:r w:rsidR="00A64A45" w:rsidRPr="005B68A3">
        <w:rPr>
          <w:i/>
          <w:iCs/>
        </w:rPr>
        <w:t>percentage of serious adverse events-to-total adverse events</w:t>
      </w:r>
      <w:r w:rsidR="00A64A45" w:rsidRPr="005B68A3">
        <w:t xml:space="preserve">) dropped </w:t>
      </w:r>
      <w:r w:rsidR="00D7505F">
        <w:t xml:space="preserve">off </w:t>
      </w:r>
      <w:r w:rsidR="00A64A45" w:rsidRPr="005B68A3">
        <w:t xml:space="preserve">rapidly in the first 30-40 days post-manufacture before plateauing. Their regression modeling showed </w:t>
      </w:r>
      <w:r w:rsidR="0061044D">
        <w:t xml:space="preserve">that </w:t>
      </w:r>
      <w:r w:rsidR="00A64A45" w:rsidRPr="005B68A3">
        <w:t>more than half of the lot variability in toxicity was explained by the percentage of intact mRNA (r-squared = 0.56).</w:t>
      </w:r>
      <w:r>
        <w:t xml:space="preserve"> </w:t>
      </w:r>
      <w:r w:rsidR="00A64A45" w:rsidRPr="005B68A3">
        <w:t>Therefore, factors associated with a high percentage of intact mRNA</w:t>
      </w:r>
      <w:r w:rsidR="00960147">
        <w:t xml:space="preserve">, which </w:t>
      </w:r>
      <w:r w:rsidR="00233F2B">
        <w:t xml:space="preserve">putatively </w:t>
      </w:r>
      <w:r w:rsidR="00A64A45" w:rsidRPr="005B68A3">
        <w:t>enhanced serious adverse outcomes</w:t>
      </w:r>
      <w:r w:rsidR="0061044D">
        <w:t>,</w:t>
      </w:r>
      <w:r w:rsidR="00A64A45" w:rsidRPr="005B68A3">
        <w:t xml:space="preserve"> included proximity to the manufacturing date, shorter transit-storage times from the manufacturing site to the final place</w:t>
      </w:r>
      <w:r w:rsidR="002949AC">
        <w:t>-time</w:t>
      </w:r>
      <w:r w:rsidR="00A64A45" w:rsidRPr="005B68A3">
        <w:t xml:space="preserve"> of use, and high demand and thus </w:t>
      </w:r>
      <w:r w:rsidR="00FA347F">
        <w:t xml:space="preserve">a </w:t>
      </w:r>
      <w:r w:rsidR="00A64A45" w:rsidRPr="005B68A3">
        <w:t xml:space="preserve">shorter duration of storage (i.e., </w:t>
      </w:r>
      <w:r w:rsidR="00A64A45" w:rsidRPr="005B68A3">
        <w:rPr>
          <w:i/>
        </w:rPr>
        <w:t xml:space="preserve">created by </w:t>
      </w:r>
      <w:r w:rsidR="00233F2B" w:rsidRPr="005B68A3">
        <w:rPr>
          <w:i/>
        </w:rPr>
        <w:t>vaccine mandates</w:t>
      </w:r>
      <w:r w:rsidR="00960147">
        <w:rPr>
          <w:i/>
        </w:rPr>
        <w:t xml:space="preserve"> and</w:t>
      </w:r>
      <w:r w:rsidR="00233F2B">
        <w:rPr>
          <w:i/>
        </w:rPr>
        <w:t xml:space="preserve"> employer policies “jab</w:t>
      </w:r>
      <w:r w:rsidR="00F95E10">
        <w:rPr>
          <w:i/>
        </w:rPr>
        <w:t>bed</w:t>
      </w:r>
      <w:r w:rsidR="00233F2B">
        <w:rPr>
          <w:i/>
        </w:rPr>
        <w:t xml:space="preserve"> for job</w:t>
      </w:r>
      <w:r w:rsidR="00F95E10">
        <w:rPr>
          <w:i/>
        </w:rPr>
        <w:t>s</w:t>
      </w:r>
      <w:r w:rsidR="00233F2B">
        <w:rPr>
          <w:i/>
        </w:rPr>
        <w:t xml:space="preserve">”, conflating Omicron’s high-transmissibility with </w:t>
      </w:r>
      <w:r w:rsidR="00F95E10">
        <w:rPr>
          <w:i/>
        </w:rPr>
        <w:t xml:space="preserve">high </w:t>
      </w:r>
      <w:r w:rsidR="00233F2B">
        <w:rPr>
          <w:i/>
        </w:rPr>
        <w:t>virulence in media, etc.</w:t>
      </w:r>
      <w:r w:rsidR="00A64A45" w:rsidRPr="005B68A3">
        <w:t>).</w:t>
      </w:r>
    </w:p>
    <w:p w14:paraId="4807920A" w14:textId="4DE90A11" w:rsidR="002A1C71" w:rsidRPr="0030709E" w:rsidRDefault="002A1C71" w:rsidP="004C5C79">
      <w:pPr>
        <w:pStyle w:val="Heading3"/>
      </w:pPr>
      <w:bookmarkStart w:id="77" w:name="_Toc509513493"/>
      <w:bookmarkStart w:id="78" w:name="_Toc510678501"/>
      <w:bookmarkStart w:id="79" w:name="_Toc510880005"/>
      <w:bookmarkStart w:id="80" w:name="_Toc512275134"/>
      <w:bookmarkStart w:id="81" w:name="_Toc512360350"/>
      <w:bookmarkStart w:id="82" w:name="_Toc516645036"/>
      <w:bookmarkStart w:id="83" w:name="_Toc121035129"/>
      <w:r>
        <w:t>Comirnaty is Composed of Toxic and Hazard</w:t>
      </w:r>
      <w:bookmarkEnd w:id="77"/>
      <w:bookmarkEnd w:id="78"/>
      <w:bookmarkEnd w:id="79"/>
      <w:bookmarkEnd w:id="80"/>
      <w:bookmarkEnd w:id="81"/>
      <w:bookmarkEnd w:id="82"/>
      <w:r>
        <w:t>ous Chemicals Whose T</w:t>
      </w:r>
      <w:r w:rsidRPr="002A1C71">
        <w:t xml:space="preserve">oxicological </w:t>
      </w:r>
      <w:r>
        <w:t>P</w:t>
      </w:r>
      <w:r w:rsidRPr="002A1C71">
        <w:t xml:space="preserve">roperties were </w:t>
      </w:r>
      <w:r>
        <w:t>N</w:t>
      </w:r>
      <w:r w:rsidRPr="002A1C71">
        <w:t xml:space="preserve">ot </w:t>
      </w:r>
      <w:r>
        <w:t>F</w:t>
      </w:r>
      <w:r w:rsidRPr="002A1C71">
        <w:t xml:space="preserve">ully </w:t>
      </w:r>
      <w:r>
        <w:t>I</w:t>
      </w:r>
      <w:r w:rsidRPr="002A1C71">
        <w:t xml:space="preserve">nvestigated </w:t>
      </w:r>
      <w:r>
        <w:t>(</w:t>
      </w:r>
      <w:r w:rsidRPr="0030709E">
        <w:t>Safety Data Sheet</w:t>
      </w:r>
      <w:r w:rsidR="00D73B4B">
        <w:t xml:space="preserve"> Disclosures</w:t>
      </w:r>
      <w:r>
        <w:t>)</w:t>
      </w:r>
      <w:bookmarkEnd w:id="83"/>
    </w:p>
    <w:p w14:paraId="657A7740" w14:textId="77777777" w:rsidR="002A1C71" w:rsidRDefault="002A1C71" w:rsidP="002A1C71">
      <w:r>
        <w:rPr>
          <w:szCs w:val="22"/>
        </w:rPr>
        <w:t xml:space="preserve">The question is if the non-mRNA ingredient specifications of </w:t>
      </w:r>
      <w:r w:rsidRPr="005D3F7C">
        <w:rPr>
          <w:szCs w:val="22"/>
        </w:rPr>
        <w:t xml:space="preserve">Comirnaty </w:t>
      </w:r>
      <w:r>
        <w:rPr>
          <w:szCs w:val="22"/>
        </w:rPr>
        <w:t xml:space="preserve">were exceeded, or it contained unknown toxic substance(s), then </w:t>
      </w:r>
      <w:r w:rsidRPr="001F366E">
        <w:rPr>
          <w:szCs w:val="22"/>
        </w:rPr>
        <w:t>what</w:t>
      </w:r>
      <w:r>
        <w:rPr>
          <w:szCs w:val="22"/>
        </w:rPr>
        <w:t xml:space="preserve"> </w:t>
      </w:r>
      <w:r w:rsidRPr="001F366E">
        <w:rPr>
          <w:szCs w:val="22"/>
        </w:rPr>
        <w:t>could</w:t>
      </w:r>
      <w:r>
        <w:rPr>
          <w:szCs w:val="22"/>
        </w:rPr>
        <w:t xml:space="preserve"> theoretically be implicated?</w:t>
      </w:r>
      <w:r w:rsidRPr="000110DC">
        <w:t xml:space="preserve"> </w:t>
      </w:r>
    </w:p>
    <w:p w14:paraId="263DC87D" w14:textId="7CF0A54C" w:rsidR="002A1C71" w:rsidRPr="0007045F" w:rsidRDefault="002A1C71" w:rsidP="002A1C71">
      <w:r w:rsidRPr="005D3F7C">
        <w:rPr>
          <w:szCs w:val="22"/>
        </w:rPr>
        <w:t xml:space="preserve">Pfizer’s </w:t>
      </w:r>
      <w:r>
        <w:rPr>
          <w:szCs w:val="22"/>
        </w:rPr>
        <w:t>Safety Data Sheet (SDS)</w:t>
      </w:r>
      <w:r w:rsidRPr="005D3F7C">
        <w:rPr>
          <w:szCs w:val="22"/>
        </w:rPr>
        <w:t xml:space="preserve"> confirms Comirnaty is synonymous with BNT162b2, which is synonymous with PF-07302048</w:t>
      </w:r>
      <w:r>
        <w:rPr>
          <w:szCs w:val="22"/>
        </w:rPr>
        <w:t xml:space="preserve"> (i.e., the compound number)</w:t>
      </w:r>
      <w:r w:rsidRPr="005D3F7C">
        <w:rPr>
          <w:szCs w:val="22"/>
        </w:rPr>
        <w:t xml:space="preserve">, </w:t>
      </w:r>
      <w:r w:rsidRPr="006F1145">
        <w:rPr>
          <w:szCs w:val="22"/>
        </w:rPr>
        <w:t>all containing PF-07305885</w:t>
      </w:r>
      <w:r w:rsidRPr="005D3F7C">
        <w:rPr>
          <w:szCs w:val="22"/>
        </w:rPr>
        <w:t>. As a chemical family Comirnaty is described as “</w:t>
      </w:r>
      <w:r w:rsidRPr="00F76B8E">
        <w:rPr>
          <w:szCs w:val="22"/>
        </w:rPr>
        <w:t>Lipid Nanoparticles containing PF-07305885 (BNT162b2) and Lipids</w:t>
      </w:r>
      <w:r>
        <w:rPr>
          <w:szCs w:val="22"/>
        </w:rPr>
        <w:t>”.</w:t>
      </w:r>
      <w:r w:rsidRPr="00BA4544">
        <w:rPr>
          <w:rStyle w:val="EndnoteReference"/>
          <w:szCs w:val="22"/>
        </w:rPr>
        <w:endnoteReference w:id="155"/>
      </w:r>
      <w:r>
        <w:t xml:space="preserve"> </w:t>
      </w:r>
      <w:r>
        <w:rPr>
          <w:szCs w:val="22"/>
        </w:rPr>
        <w:t xml:space="preserve"> </w:t>
      </w:r>
      <w:r w:rsidRPr="00A55C80">
        <w:rPr>
          <w:szCs w:val="22"/>
        </w:rPr>
        <w:t xml:space="preserve">Two issues arise from the </w:t>
      </w:r>
      <w:r w:rsidRPr="00A55C80">
        <w:t>Comirnaty</w:t>
      </w:r>
      <w:r w:rsidRPr="00A55C80">
        <w:rPr>
          <w:szCs w:val="22"/>
        </w:rPr>
        <w:t xml:space="preserve"> SDS that raised questions about </w:t>
      </w:r>
      <w:r>
        <w:rPr>
          <w:szCs w:val="22"/>
        </w:rPr>
        <w:t>its</w:t>
      </w:r>
      <w:r w:rsidRPr="00A55C80">
        <w:rPr>
          <w:szCs w:val="22"/>
        </w:rPr>
        <w:t xml:space="preserve"> composition. Firstly, </w:t>
      </w:r>
      <w:r w:rsidRPr="00A55C80">
        <w:rPr>
          <w:szCs w:val="22"/>
        </w:rPr>
        <w:lastRenderedPageBreak/>
        <w:t xml:space="preserve">why </w:t>
      </w:r>
      <w:r w:rsidRPr="00A55C80">
        <w:t xml:space="preserve">is </w:t>
      </w:r>
      <w:r w:rsidRPr="00A55C80">
        <w:rPr>
          <w:szCs w:val="22"/>
        </w:rPr>
        <w:t>PF-07305885 listed as an</w:t>
      </w:r>
      <w:r w:rsidRPr="00A55C80">
        <w:t xml:space="preserve"> </w:t>
      </w:r>
      <w:r w:rsidRPr="00A55C80">
        <w:rPr>
          <w:b/>
          <w:bCs w:val="0"/>
        </w:rPr>
        <w:t>undisclosed proprietary chemical</w:t>
      </w:r>
      <w:r w:rsidRPr="00A55C80">
        <w:t xml:space="preserve"> in the SDS but </w:t>
      </w:r>
      <w:r>
        <w:t xml:space="preserve">is </w:t>
      </w:r>
      <w:r w:rsidRPr="00A55C80">
        <w:t xml:space="preserve">not </w:t>
      </w:r>
      <w:r>
        <w:t xml:space="preserve">evident </w:t>
      </w:r>
      <w:r w:rsidRPr="00A55C80">
        <w:t>in any FDA or European Medicines Agency (EMA) regulatory documents? T</w:t>
      </w:r>
      <w:r w:rsidRPr="00A55C80">
        <w:rPr>
          <w:szCs w:val="22"/>
        </w:rPr>
        <w:t xml:space="preserve">he Comirnaty compound number is PF-07302048, </w:t>
      </w:r>
      <w:r w:rsidR="0061044D">
        <w:rPr>
          <w:szCs w:val="22"/>
        </w:rPr>
        <w:t>as</w:t>
      </w:r>
      <w:r w:rsidRPr="00A55C80">
        <w:rPr>
          <w:szCs w:val="22"/>
        </w:rPr>
        <w:t xml:space="preserve"> was confirmed in FDA and EMA Documents.</w:t>
      </w:r>
      <w:r w:rsidRPr="00A55C80">
        <w:rPr>
          <w:rStyle w:val="EndnoteReference"/>
          <w:szCs w:val="22"/>
        </w:rPr>
        <w:endnoteReference w:id="156"/>
      </w:r>
      <w:r w:rsidRPr="00A55C80">
        <w:rPr>
          <w:szCs w:val="22"/>
          <w:vertAlign w:val="superscript"/>
        </w:rPr>
        <w:t>,</w:t>
      </w:r>
      <w:r w:rsidRPr="00A55C80">
        <w:rPr>
          <w:rStyle w:val="EndnoteReference"/>
          <w:szCs w:val="22"/>
        </w:rPr>
        <w:endnoteReference w:id="157"/>
      </w:r>
      <w:r w:rsidRPr="00A55C80">
        <w:rPr>
          <w:szCs w:val="22"/>
        </w:rPr>
        <w:t xml:space="preserve"> Compound PF-07302048 is distinct from PF-07305885, as detailed in the SDS section 2.2 (“Mixtures”). Compare the product contents between the cited and SDS and Table P.1-1 of the following cited document.</w:t>
      </w:r>
      <w:r w:rsidRPr="00A55C80">
        <w:rPr>
          <w:rStyle w:val="EndnoteReference"/>
          <w:szCs w:val="22"/>
        </w:rPr>
        <w:endnoteReference w:id="158"/>
      </w:r>
      <w:r>
        <w:rPr>
          <w:szCs w:val="22"/>
        </w:rPr>
        <w:t xml:space="preserve"> </w:t>
      </w:r>
      <w:r w:rsidRPr="00676F03">
        <w:rPr>
          <w:b/>
          <w:bCs w:val="0"/>
          <w:szCs w:val="22"/>
        </w:rPr>
        <w:t>What is PF-07305885?</w:t>
      </w:r>
    </w:p>
    <w:p w14:paraId="7EB56A7E" w14:textId="4DB5B5AD" w:rsidR="002A1C71" w:rsidRPr="00F901DC" w:rsidRDefault="002A1C71" w:rsidP="002A1C71">
      <w:r w:rsidRPr="00F901DC">
        <w:rPr>
          <w:szCs w:val="22"/>
        </w:rPr>
        <w:t>The SDS section 5.2 (“Specific hazards arising from the chemical”) indicate Comirnaty was nominally classified as a “Chemical” or “</w:t>
      </w:r>
      <w:r w:rsidRPr="002A1C71">
        <w:rPr>
          <w:b/>
          <w:bCs w:val="0"/>
          <w:szCs w:val="22"/>
        </w:rPr>
        <w:t>Hazardous Substance</w:t>
      </w:r>
      <w:r w:rsidRPr="00F901DC">
        <w:rPr>
          <w:szCs w:val="22"/>
        </w:rPr>
        <w:t>” as interpreted under the HSNO Act 1996 (SDS section 2).</w:t>
      </w:r>
      <w:r w:rsidRPr="00F901DC">
        <w:rPr>
          <w:rStyle w:val="EndnoteReference"/>
          <w:rFonts w:ascii="Arial" w:hAnsi="Arial" w:cs="Arial"/>
          <w:szCs w:val="22"/>
        </w:rPr>
        <w:endnoteReference w:id="159"/>
      </w:r>
      <w:r w:rsidRPr="00F901DC">
        <w:rPr>
          <w:szCs w:val="22"/>
        </w:rPr>
        <w:t xml:space="preserve"> Section 3.2 of the SDS lists two chemicals in the lipid nanoparticle formulation </w:t>
      </w:r>
      <w:r w:rsidR="00182EA7">
        <w:rPr>
          <w:szCs w:val="22"/>
        </w:rPr>
        <w:t>encapsulating</w:t>
      </w:r>
      <w:r w:rsidRPr="00F901DC">
        <w:rPr>
          <w:szCs w:val="22"/>
        </w:rPr>
        <w:t xml:space="preserve"> the mRNA, </w:t>
      </w:r>
      <w:r w:rsidRPr="002A1C71">
        <w:rPr>
          <w:b/>
          <w:bCs w:val="0"/>
          <w:szCs w:val="22"/>
        </w:rPr>
        <w:t>ALC-0315</w:t>
      </w:r>
      <w:r w:rsidRPr="00F901DC">
        <w:rPr>
          <w:szCs w:val="22"/>
        </w:rPr>
        <w:t xml:space="preserve"> (cationic lipid) and </w:t>
      </w:r>
      <w:r w:rsidRPr="002A1C71">
        <w:rPr>
          <w:b/>
          <w:bCs w:val="0"/>
          <w:szCs w:val="22"/>
        </w:rPr>
        <w:t>ALC-0159</w:t>
      </w:r>
      <w:r w:rsidRPr="00F901DC">
        <w:rPr>
          <w:szCs w:val="22"/>
        </w:rPr>
        <w:t xml:space="preserve"> (PEG-lipid). The EMA describes these chemicals as “novel” and </w:t>
      </w:r>
      <w:r w:rsidR="00B20E31">
        <w:rPr>
          <w:szCs w:val="22"/>
        </w:rPr>
        <w:t>confirms</w:t>
      </w:r>
      <w:r w:rsidRPr="00F901DC">
        <w:rPr>
          <w:szCs w:val="22"/>
        </w:rPr>
        <w:t xml:space="preserve"> </w:t>
      </w:r>
      <w:r w:rsidRPr="00573E4D">
        <w:rPr>
          <w:b/>
          <w:bCs w:val="0"/>
          <w:iCs/>
          <w:szCs w:val="22"/>
        </w:rPr>
        <w:t>complete information was not provided</w:t>
      </w:r>
      <w:r w:rsidRPr="00F901DC">
        <w:rPr>
          <w:szCs w:val="22"/>
        </w:rPr>
        <w:t>,</w:t>
      </w:r>
      <w:r w:rsidRPr="00F901DC">
        <w:rPr>
          <w:rStyle w:val="EndnoteReference"/>
          <w:szCs w:val="22"/>
        </w:rPr>
        <w:endnoteReference w:id="160"/>
      </w:r>
      <w:r w:rsidRPr="00F901DC">
        <w:rPr>
          <w:szCs w:val="22"/>
        </w:rPr>
        <w:t xml:space="preserve"> which is similarly described in the FDA document.</w:t>
      </w:r>
      <w:r w:rsidRPr="00F901DC">
        <w:rPr>
          <w:rStyle w:val="EndnoteReference"/>
          <w:szCs w:val="22"/>
        </w:rPr>
        <w:endnoteReference w:id="161"/>
      </w:r>
      <w:r w:rsidRPr="00F901DC">
        <w:rPr>
          <w:szCs w:val="22"/>
        </w:rPr>
        <w:t xml:space="preserve"> Safety data sheets for non-Comirnaty research grade versions of ALC-0159</w:t>
      </w:r>
      <w:r w:rsidRPr="00F901DC">
        <w:rPr>
          <w:rStyle w:val="EndnoteReference"/>
          <w:szCs w:val="22"/>
        </w:rPr>
        <w:endnoteReference w:id="162"/>
      </w:r>
      <w:r w:rsidRPr="00F901DC">
        <w:rPr>
          <w:szCs w:val="22"/>
        </w:rPr>
        <w:t xml:space="preserve"> and ALC-0315</w:t>
      </w:r>
      <w:r w:rsidRPr="00F901DC">
        <w:rPr>
          <w:rStyle w:val="EndnoteReference"/>
          <w:szCs w:val="22"/>
        </w:rPr>
        <w:endnoteReference w:id="163"/>
      </w:r>
      <w:r w:rsidRPr="00F901DC">
        <w:rPr>
          <w:szCs w:val="22"/>
        </w:rPr>
        <w:t xml:space="preserve"> highlight significant</w:t>
      </w:r>
      <w:r w:rsidRPr="00F901DC">
        <w:rPr>
          <w:b/>
          <w:bCs w:val="0"/>
          <w:szCs w:val="22"/>
        </w:rPr>
        <w:t xml:space="preserve"> safety and toxicity issues</w:t>
      </w:r>
      <w:r w:rsidRPr="00F901DC">
        <w:rPr>
          <w:szCs w:val="22"/>
        </w:rPr>
        <w:t>, including heart and liver damage, CNS depression, anemia, headache, lassitude, drowsiness, narcosis, cough, reproductive and teratogenic effects.</w:t>
      </w:r>
      <w:r w:rsidRPr="00F901DC">
        <w:rPr>
          <w:szCs w:val="22"/>
          <w:vertAlign w:val="superscript"/>
        </w:rPr>
        <w:t xml:space="preserve"> </w:t>
      </w:r>
      <w:r w:rsidR="00B20E31" w:rsidRPr="00B20E31">
        <w:rPr>
          <w:szCs w:val="22"/>
        </w:rPr>
        <w:t>SDS section 11.1 (“Information on hazard classes as defined in EC Regulation No. 1272/2008”)</w:t>
      </w:r>
      <w:r w:rsidR="00B20E31">
        <w:rPr>
          <w:szCs w:val="22"/>
          <w:vertAlign w:val="superscript"/>
        </w:rPr>
        <w:t xml:space="preserve"> </w:t>
      </w:r>
      <w:r w:rsidRPr="00F901DC">
        <w:rPr>
          <w:szCs w:val="22"/>
        </w:rPr>
        <w:t xml:space="preserve">warns that toxicological properties were </w:t>
      </w:r>
      <w:r w:rsidRPr="00F901DC">
        <w:rPr>
          <w:b/>
          <w:bCs w:val="0"/>
          <w:szCs w:val="22"/>
        </w:rPr>
        <w:t>not fully investigated</w:t>
      </w:r>
      <w:r w:rsidRPr="00F901DC">
        <w:rPr>
          <w:szCs w:val="22"/>
        </w:rPr>
        <w:t xml:space="preserve"> </w:t>
      </w:r>
      <w:r>
        <w:rPr>
          <w:szCs w:val="22"/>
        </w:rPr>
        <w:t>before its</w:t>
      </w:r>
      <w:r w:rsidRPr="00F901DC">
        <w:rPr>
          <w:szCs w:val="22"/>
        </w:rPr>
        <w:t xml:space="preserve"> approval.</w:t>
      </w:r>
    </w:p>
    <w:p w14:paraId="10C34CE7" w14:textId="1CAD9C8A" w:rsidR="002A1C71" w:rsidRDefault="00123FDA" w:rsidP="002A1C71">
      <w:pPr>
        <w:rPr>
          <w:szCs w:val="22"/>
        </w:rPr>
      </w:pPr>
      <w:r w:rsidRPr="00123FDA">
        <w:rPr>
          <w:szCs w:val="22"/>
        </w:rPr>
        <w:t xml:space="preserve">Comirnaty’s SDS highlights that local and systemic side effects may occur </w:t>
      </w:r>
      <w:r w:rsidR="00B20E31">
        <w:rPr>
          <w:szCs w:val="22"/>
        </w:rPr>
        <w:t>during</w:t>
      </w:r>
      <w:r w:rsidRPr="00123FDA">
        <w:rPr>
          <w:szCs w:val="22"/>
        </w:rPr>
        <w:t xml:space="preserve"> </w:t>
      </w:r>
      <w:r w:rsidR="00182EA7">
        <w:rPr>
          <w:szCs w:val="22"/>
        </w:rPr>
        <w:t xml:space="preserve">the </w:t>
      </w:r>
      <w:r w:rsidRPr="00C72362">
        <w:rPr>
          <w:b/>
          <w:bCs w:val="0"/>
          <w:szCs w:val="22"/>
        </w:rPr>
        <w:t>accidental injection</w:t>
      </w:r>
      <w:r w:rsidRPr="00123FDA">
        <w:rPr>
          <w:szCs w:val="22"/>
        </w:rPr>
        <w:t>.</w:t>
      </w:r>
      <w:r w:rsidRPr="00123FDA">
        <w:rPr>
          <w:rFonts w:cs="Times New Roman"/>
          <w:szCs w:val="22"/>
        </w:rPr>
        <w:t xml:space="preserve"> </w:t>
      </w:r>
      <w:r w:rsidR="002A1C71" w:rsidRPr="00123FDA">
        <w:rPr>
          <w:szCs w:val="22"/>
        </w:rPr>
        <w:t xml:space="preserve">The SDS section 7.1 (“Precautions for safe handling”) stipulates exposure to this hazardous chemical mixture via inhalation, and contact with the skin, eyes, and clothing should be avoided. The toxicity of Comirnaty is indicated in SDS section 4.1, which describes </w:t>
      </w:r>
      <w:r w:rsidR="002A1C71" w:rsidRPr="00573E4D">
        <w:rPr>
          <w:b/>
          <w:bCs w:val="0"/>
          <w:szCs w:val="22"/>
        </w:rPr>
        <w:t>first aid measures</w:t>
      </w:r>
      <w:r w:rsidR="002A1C71" w:rsidRPr="00123FDA">
        <w:rPr>
          <w:szCs w:val="22"/>
        </w:rPr>
        <w:t xml:space="preserve"> for inhalation, eye and skin contact, and ingestion, and instructs people to seek medical attention. Section 8 advises </w:t>
      </w:r>
      <w:r w:rsidR="00B20E31">
        <w:rPr>
          <w:szCs w:val="22"/>
        </w:rPr>
        <w:t>using</w:t>
      </w:r>
      <w:r w:rsidR="002A1C71" w:rsidRPr="00123FDA">
        <w:rPr>
          <w:szCs w:val="22"/>
        </w:rPr>
        <w:t xml:space="preserve"> appropriate </w:t>
      </w:r>
      <w:r w:rsidR="002A1C71" w:rsidRPr="00573E4D">
        <w:rPr>
          <w:b/>
          <w:bCs w:val="0"/>
          <w:szCs w:val="22"/>
        </w:rPr>
        <w:t>personal protective equipment</w:t>
      </w:r>
      <w:r w:rsidR="002A1C71" w:rsidRPr="00123FDA">
        <w:rPr>
          <w:szCs w:val="22"/>
        </w:rPr>
        <w:t xml:space="preserve"> when handling this hazardous chemical mixture, including wearing impervious gloves and disposable clothing and full body protection when handling Comirnaty to prevent skin contact. Section 5.3 (“Special protective equipment for fire-fighters”) indicates potential harm by advising firefighters to wear self-contained breathing apparatus, full firefighting gear, and personal protection equipment. These extreme exposure protection measures </w:t>
      </w:r>
      <w:r w:rsidR="002A1C71" w:rsidRPr="00123FDA">
        <w:rPr>
          <w:b/>
          <w:bCs w:val="0"/>
          <w:szCs w:val="22"/>
        </w:rPr>
        <w:t>discourage the notion that Comirnaty is safe</w:t>
      </w:r>
      <w:r w:rsidR="002A1C71" w:rsidRPr="00123FDA">
        <w:rPr>
          <w:szCs w:val="22"/>
        </w:rPr>
        <w:t xml:space="preserve">. </w:t>
      </w:r>
    </w:p>
    <w:p w14:paraId="0EF83D7A" w14:textId="3A23ADEA" w:rsidR="002A1C71" w:rsidRDefault="0017516E" w:rsidP="002A1C71">
      <w:pPr>
        <w:pStyle w:val="Heading2"/>
      </w:pPr>
      <w:bookmarkStart w:id="84" w:name="_Toc509513492"/>
      <w:bookmarkStart w:id="85" w:name="_Toc510678500"/>
      <w:bookmarkStart w:id="86" w:name="_Toc510880004"/>
      <w:bookmarkStart w:id="87" w:name="_Toc512275133"/>
      <w:bookmarkStart w:id="88" w:name="_Toc512360349"/>
      <w:bookmarkStart w:id="89" w:name="_Toc516645034"/>
      <w:bookmarkStart w:id="90" w:name="_Toc111367994"/>
      <w:bookmarkStart w:id="91" w:name="_Toc121035130"/>
      <w:r>
        <w:t>Pathogenesis Mechanisms Underpinning</w:t>
      </w:r>
      <w:r w:rsidR="002A1C71">
        <w:t xml:space="preserve"> </w:t>
      </w:r>
      <w:bookmarkEnd w:id="84"/>
      <w:bookmarkEnd w:id="85"/>
      <w:bookmarkEnd w:id="86"/>
      <w:bookmarkEnd w:id="87"/>
      <w:bookmarkEnd w:id="88"/>
      <w:bookmarkEnd w:id="89"/>
      <w:bookmarkEnd w:id="90"/>
      <w:r>
        <w:t xml:space="preserve">Vaccine-Associated </w:t>
      </w:r>
      <w:r w:rsidR="000F48B8">
        <w:t>Enhanced Disease (Spike Protein &amp; Lipid Nanoparticle Related)</w:t>
      </w:r>
      <w:bookmarkEnd w:id="91"/>
    </w:p>
    <w:p w14:paraId="34F4CD17" w14:textId="2C630D08" w:rsidR="00A71BD8" w:rsidRPr="00B33B94" w:rsidRDefault="0017516E" w:rsidP="00A71BD8">
      <w:r w:rsidRPr="00A71BD8">
        <w:rPr>
          <w:szCs w:val="22"/>
        </w:rPr>
        <w:t>T</w:t>
      </w:r>
      <w:r w:rsidR="0018133A" w:rsidRPr="00A71BD8">
        <w:rPr>
          <w:szCs w:val="22"/>
        </w:rPr>
        <w:t xml:space="preserve">his section </w:t>
      </w:r>
      <w:r w:rsidR="00523D82" w:rsidRPr="00A71BD8">
        <w:rPr>
          <w:szCs w:val="22"/>
        </w:rPr>
        <w:t>review</w:t>
      </w:r>
      <w:r w:rsidRPr="00A71BD8">
        <w:rPr>
          <w:szCs w:val="22"/>
        </w:rPr>
        <w:t>s the</w:t>
      </w:r>
      <w:r w:rsidR="00523D82" w:rsidRPr="00A71BD8">
        <w:rPr>
          <w:szCs w:val="22"/>
        </w:rPr>
        <w:t xml:space="preserve"> </w:t>
      </w:r>
      <w:r w:rsidR="0018133A" w:rsidRPr="00A71BD8">
        <w:rPr>
          <w:szCs w:val="22"/>
        </w:rPr>
        <w:t>predictable</w:t>
      </w:r>
      <w:r w:rsidR="00523D82" w:rsidRPr="00A71BD8">
        <w:rPr>
          <w:szCs w:val="22"/>
        </w:rPr>
        <w:t xml:space="preserve"> </w:t>
      </w:r>
      <w:r w:rsidR="00957C48">
        <w:rPr>
          <w:szCs w:val="22"/>
        </w:rPr>
        <w:t>pathogenesis</w:t>
      </w:r>
      <w:r w:rsidR="00523D82" w:rsidRPr="00A71BD8">
        <w:rPr>
          <w:szCs w:val="22"/>
        </w:rPr>
        <w:t xml:space="preserve"> mechanisms associated with mRNA </w:t>
      </w:r>
      <w:r w:rsidR="0018133A" w:rsidRPr="00A71BD8">
        <w:rPr>
          <w:szCs w:val="22"/>
        </w:rPr>
        <w:t>lipid nanoparticle-based COVID-19 vaccines</w:t>
      </w:r>
      <w:r w:rsidR="003E2721" w:rsidRPr="00A71BD8">
        <w:rPr>
          <w:szCs w:val="22"/>
        </w:rPr>
        <w:t xml:space="preserve"> and </w:t>
      </w:r>
      <w:r w:rsidRPr="00A71BD8">
        <w:rPr>
          <w:szCs w:val="22"/>
        </w:rPr>
        <w:t xml:space="preserve">is focused </w:t>
      </w:r>
      <w:r w:rsidR="00A71BD8" w:rsidRPr="00A71BD8">
        <w:rPr>
          <w:szCs w:val="22"/>
        </w:rPr>
        <w:t>on Comirnaty for reasons previous</w:t>
      </w:r>
      <w:r w:rsidR="00957C48">
        <w:rPr>
          <w:szCs w:val="22"/>
        </w:rPr>
        <w:t>ly</w:t>
      </w:r>
      <w:r w:rsidR="00A71BD8" w:rsidRPr="00A71BD8">
        <w:rPr>
          <w:szCs w:val="22"/>
        </w:rPr>
        <w:t xml:space="preserve"> stated</w:t>
      </w:r>
      <w:r w:rsidR="00C669ED">
        <w:rPr>
          <w:szCs w:val="22"/>
        </w:rPr>
        <w:t>, as well as</w:t>
      </w:r>
      <w:r w:rsidR="00A71BD8" w:rsidRPr="00A71BD8">
        <w:rPr>
          <w:szCs w:val="22"/>
        </w:rPr>
        <w:t xml:space="preserve"> through</w:t>
      </w:r>
      <w:r w:rsidRPr="00A71BD8">
        <w:rPr>
          <w:szCs w:val="22"/>
        </w:rPr>
        <w:t xml:space="preserve"> Pfizer’s 90-day Cumulative Analysis of Post-authorization Adverse Event Report</w:t>
      </w:r>
      <w:r w:rsidR="004245BA">
        <w:rPr>
          <w:szCs w:val="22"/>
        </w:rPr>
        <w:t xml:space="preserve"> (i.e., a </w:t>
      </w:r>
      <w:r w:rsidR="004245BA" w:rsidRPr="00C669ED">
        <w:rPr>
          <w:b/>
          <w:bCs w:val="0"/>
          <w:szCs w:val="22"/>
        </w:rPr>
        <w:t xml:space="preserve">Pfizer </w:t>
      </w:r>
      <w:r w:rsidR="00C669ED">
        <w:rPr>
          <w:b/>
          <w:bCs w:val="0"/>
          <w:szCs w:val="22"/>
        </w:rPr>
        <w:t xml:space="preserve">FOI </w:t>
      </w:r>
      <w:r w:rsidR="004245BA" w:rsidRPr="00C669ED">
        <w:rPr>
          <w:b/>
          <w:bCs w:val="0"/>
          <w:szCs w:val="22"/>
        </w:rPr>
        <w:t>disclosure</w:t>
      </w:r>
      <w:r w:rsidR="004245BA">
        <w:rPr>
          <w:szCs w:val="22"/>
        </w:rPr>
        <w:t>)</w:t>
      </w:r>
      <w:r w:rsidRPr="00A71BD8">
        <w:rPr>
          <w:szCs w:val="22"/>
        </w:rPr>
        <w:t xml:space="preserve">. </w:t>
      </w:r>
      <w:r w:rsidR="00A0435F">
        <w:rPr>
          <w:rFonts w:cs="Times New Roman"/>
          <w:b/>
          <w:bCs w:val="0"/>
          <w:szCs w:val="22"/>
        </w:rPr>
        <w:t xml:space="preserve">At least </w:t>
      </w:r>
      <w:r w:rsidR="00A9721F">
        <w:rPr>
          <w:rFonts w:cs="Times New Roman"/>
          <w:b/>
          <w:bCs w:val="0"/>
          <w:szCs w:val="22"/>
        </w:rPr>
        <w:t>five broad</w:t>
      </w:r>
      <w:r w:rsidRPr="00F776D0">
        <w:rPr>
          <w:rFonts w:cs="Times New Roman"/>
          <w:b/>
          <w:bCs w:val="0"/>
          <w:szCs w:val="22"/>
        </w:rPr>
        <w:t xml:space="preserve"> </w:t>
      </w:r>
      <w:r w:rsidR="00A71BD8" w:rsidRPr="00F776D0">
        <w:rPr>
          <w:rFonts w:cs="Times New Roman"/>
          <w:b/>
          <w:bCs w:val="0"/>
          <w:szCs w:val="22"/>
        </w:rPr>
        <w:t>pathogenesis</w:t>
      </w:r>
      <w:r w:rsidRPr="00F776D0">
        <w:rPr>
          <w:rFonts w:cs="Times New Roman"/>
          <w:b/>
          <w:bCs w:val="0"/>
          <w:szCs w:val="22"/>
        </w:rPr>
        <w:t xml:space="preserve"> mechanisms</w:t>
      </w:r>
      <w:r w:rsidRPr="00A71BD8">
        <w:rPr>
          <w:rFonts w:cs="Times New Roman"/>
          <w:szCs w:val="22"/>
        </w:rPr>
        <w:t xml:space="preserve"> </w:t>
      </w:r>
      <w:r w:rsidR="00A0435F">
        <w:rPr>
          <w:rFonts w:cs="Times New Roman"/>
          <w:szCs w:val="22"/>
        </w:rPr>
        <w:t>exist</w:t>
      </w:r>
      <w:r w:rsidRPr="00A71BD8">
        <w:rPr>
          <w:rFonts w:cs="Times New Roman"/>
          <w:szCs w:val="22"/>
        </w:rPr>
        <w:t xml:space="preserve"> by which </w:t>
      </w:r>
      <w:r w:rsidR="00957C48">
        <w:rPr>
          <w:rFonts w:cs="Times New Roman"/>
          <w:szCs w:val="22"/>
        </w:rPr>
        <w:t xml:space="preserve">virus-free </w:t>
      </w:r>
      <w:r w:rsidRPr="00A71BD8">
        <w:rPr>
          <w:rFonts w:cs="Times New Roman"/>
          <w:szCs w:val="22"/>
        </w:rPr>
        <w:t xml:space="preserve">spike proteins can </w:t>
      </w:r>
      <w:r w:rsidRPr="00A71BD8">
        <w:rPr>
          <w:rFonts w:cs="Times New Roman"/>
          <w:szCs w:val="22"/>
        </w:rPr>
        <w:lastRenderedPageBreak/>
        <w:t xml:space="preserve">directly cause disease or exacerbate </w:t>
      </w:r>
      <w:r w:rsidRPr="00C669ED">
        <w:rPr>
          <w:rFonts w:cs="Times New Roman"/>
          <w:b/>
          <w:bCs w:val="0"/>
          <w:szCs w:val="22"/>
        </w:rPr>
        <w:t>preexisting comorbid</w:t>
      </w:r>
      <w:r w:rsidR="00B20E31">
        <w:rPr>
          <w:rFonts w:cs="Times New Roman"/>
          <w:b/>
          <w:bCs w:val="0"/>
          <w:szCs w:val="22"/>
        </w:rPr>
        <w:t xml:space="preserve">ities </w:t>
      </w:r>
      <w:r w:rsidR="00957C48" w:rsidRPr="00957C48">
        <w:rPr>
          <w:rFonts w:cs="Times New Roman"/>
          <w:szCs w:val="22"/>
        </w:rPr>
        <w:t>common to severe COVID-19 outcomes</w:t>
      </w:r>
      <w:r w:rsidR="00D24BFC">
        <w:rPr>
          <w:rFonts w:cs="Times New Roman"/>
          <w:b/>
          <w:bCs w:val="0"/>
          <w:szCs w:val="22"/>
        </w:rPr>
        <w:t>,</w:t>
      </w:r>
      <w:r w:rsidR="00A71BD8">
        <w:rPr>
          <w:rFonts w:cs="Times New Roman"/>
          <w:szCs w:val="22"/>
        </w:rPr>
        <w:t xml:space="preserve"> in addition to </w:t>
      </w:r>
      <w:r w:rsidR="00A71BD8" w:rsidRPr="00A71BD8">
        <w:rPr>
          <w:rFonts w:cs="Times New Roman"/>
          <w:szCs w:val="22"/>
        </w:rPr>
        <w:t>lipid nanoparticle proinflammatory reactogenicity and complement activation-related pseudo-allergy</w:t>
      </w:r>
      <w:r w:rsidR="00A71BD8" w:rsidRPr="00A71BD8">
        <w:t xml:space="preserve"> (CARPA</w:t>
      </w:r>
      <w:r w:rsidR="00957C48">
        <w:t>, section 1.3.2</w:t>
      </w:r>
      <w:r w:rsidR="00A71BD8">
        <w:t>)</w:t>
      </w:r>
      <w:r w:rsidRPr="00A71BD8">
        <w:rPr>
          <w:rFonts w:cs="Times New Roman"/>
          <w:szCs w:val="22"/>
        </w:rPr>
        <w:t>.</w:t>
      </w:r>
      <w:r w:rsidR="00A71BD8" w:rsidRPr="00A71BD8">
        <w:rPr>
          <w:rFonts w:cs="Times New Roman"/>
          <w:szCs w:val="22"/>
        </w:rPr>
        <w:t xml:space="preserve"> These </w:t>
      </w:r>
      <w:r w:rsidR="00907633">
        <w:rPr>
          <w:rFonts w:cs="Times New Roman"/>
          <w:szCs w:val="22"/>
        </w:rPr>
        <w:t xml:space="preserve">pathogenesis mechanisms </w:t>
      </w:r>
      <w:r w:rsidR="00A71BD8" w:rsidRPr="00A71BD8">
        <w:rPr>
          <w:rFonts w:cs="Times New Roman"/>
          <w:szCs w:val="22"/>
        </w:rPr>
        <w:t xml:space="preserve">include </w:t>
      </w:r>
      <w:r w:rsidR="00A71BD8" w:rsidRPr="00A71BD8">
        <w:rPr>
          <w:szCs w:val="22"/>
        </w:rPr>
        <w:t xml:space="preserve">angiotensin-converting enzyme-2 receptor (ACE2) and </w:t>
      </w:r>
      <w:r w:rsidR="00A71BD8" w:rsidRPr="00A71BD8">
        <w:rPr>
          <w:rFonts w:cs="Times New Roman"/>
          <w:szCs w:val="22"/>
        </w:rPr>
        <w:t>other ligand interactions</w:t>
      </w:r>
      <w:r w:rsidR="00CF09BC">
        <w:rPr>
          <w:rFonts w:cs="Times New Roman"/>
          <w:szCs w:val="22"/>
        </w:rPr>
        <w:t xml:space="preserve"> (CD147)</w:t>
      </w:r>
      <w:r w:rsidR="00A71BD8" w:rsidRPr="00A71BD8">
        <w:rPr>
          <w:rFonts w:cs="Times New Roman"/>
          <w:szCs w:val="22"/>
        </w:rPr>
        <w:t>, exosomes, immune-mediated/autoimmunity</w:t>
      </w:r>
      <w:r w:rsidR="00957C48">
        <w:rPr>
          <w:rFonts w:cs="Times New Roman"/>
          <w:szCs w:val="22"/>
        </w:rPr>
        <w:t xml:space="preserve"> (section 1.3.3)</w:t>
      </w:r>
      <w:r w:rsidR="00A71BD8" w:rsidRPr="00A71BD8">
        <w:rPr>
          <w:rFonts w:cs="Times New Roman"/>
          <w:szCs w:val="22"/>
        </w:rPr>
        <w:t>, prion diseases</w:t>
      </w:r>
      <w:r w:rsidR="00957C48">
        <w:rPr>
          <w:rFonts w:cs="Times New Roman"/>
          <w:szCs w:val="22"/>
        </w:rPr>
        <w:t xml:space="preserve"> (section 1.3.4), </w:t>
      </w:r>
      <w:r w:rsidR="008972D8">
        <w:rPr>
          <w:rFonts w:cs="Times New Roman"/>
          <w:szCs w:val="22"/>
        </w:rPr>
        <w:t>and</w:t>
      </w:r>
      <w:r w:rsidR="00957C48">
        <w:rPr>
          <w:rFonts w:cs="Times New Roman"/>
          <w:szCs w:val="22"/>
        </w:rPr>
        <w:t xml:space="preserve"> ADE/antigenic imprinting (section 1.1).</w:t>
      </w:r>
      <w:r w:rsidR="00853EE6">
        <w:rPr>
          <w:rFonts w:cs="Times New Roman"/>
          <w:szCs w:val="22"/>
        </w:rPr>
        <w:t xml:space="preserve"> This </w:t>
      </w:r>
      <w:r w:rsidR="00907633">
        <w:rPr>
          <w:rFonts w:cs="Times New Roman"/>
          <w:szCs w:val="22"/>
        </w:rPr>
        <w:t xml:space="preserve">mechanistic organization </w:t>
      </w:r>
      <w:r w:rsidR="00CF09BC">
        <w:rPr>
          <w:rFonts w:cs="Times New Roman"/>
          <w:szCs w:val="22"/>
        </w:rPr>
        <w:t xml:space="preserve">also </w:t>
      </w:r>
      <w:r w:rsidR="00853EE6">
        <w:rPr>
          <w:rFonts w:cs="Times New Roman"/>
          <w:szCs w:val="22"/>
        </w:rPr>
        <w:t xml:space="preserve">provides a </w:t>
      </w:r>
      <w:r w:rsidR="00CF09BC">
        <w:rPr>
          <w:rFonts w:cs="Times New Roman"/>
          <w:szCs w:val="22"/>
        </w:rPr>
        <w:t>lens</w:t>
      </w:r>
      <w:r w:rsidR="00853EE6">
        <w:rPr>
          <w:rFonts w:cs="Times New Roman"/>
          <w:szCs w:val="22"/>
        </w:rPr>
        <w:t xml:space="preserve"> to understand the </w:t>
      </w:r>
      <w:r w:rsidR="00526CEA" w:rsidRPr="00911F1B">
        <w:rPr>
          <w:rFonts w:cs="Times New Roman"/>
          <w:b/>
          <w:bCs w:val="0"/>
          <w:szCs w:val="22"/>
        </w:rPr>
        <w:t xml:space="preserve">strategic </w:t>
      </w:r>
      <w:r w:rsidR="00907633" w:rsidRPr="00911F1B">
        <w:rPr>
          <w:rFonts w:cs="Times New Roman"/>
          <w:b/>
          <w:bCs w:val="0"/>
          <w:szCs w:val="22"/>
        </w:rPr>
        <w:t>intentions</w:t>
      </w:r>
      <w:r w:rsidR="00853EE6" w:rsidRPr="00911F1B">
        <w:rPr>
          <w:rFonts w:cs="Times New Roman"/>
          <w:b/>
          <w:bCs w:val="0"/>
          <w:szCs w:val="22"/>
        </w:rPr>
        <w:t xml:space="preserve"> of coronavirus gain-of-function </w:t>
      </w:r>
      <w:r w:rsidR="00A53974">
        <w:rPr>
          <w:rFonts w:cs="Times New Roman"/>
          <w:b/>
          <w:bCs w:val="0"/>
          <w:szCs w:val="22"/>
        </w:rPr>
        <w:t>strategists</w:t>
      </w:r>
      <w:r w:rsidR="00853EE6" w:rsidRPr="00911F1B">
        <w:rPr>
          <w:rFonts w:cs="Times New Roman"/>
          <w:b/>
          <w:bCs w:val="0"/>
          <w:szCs w:val="22"/>
        </w:rPr>
        <w:t xml:space="preserve"> </w:t>
      </w:r>
      <w:r w:rsidR="00853EE6">
        <w:rPr>
          <w:rFonts w:cs="Times New Roman"/>
          <w:szCs w:val="22"/>
        </w:rPr>
        <w:t>since SARS-CoV-1 (2002, section 2).</w:t>
      </w:r>
      <w:r w:rsidR="00C669ED">
        <w:rPr>
          <w:rFonts w:cs="Times New Roman"/>
          <w:szCs w:val="22"/>
        </w:rPr>
        <w:t xml:space="preserve"> As a </w:t>
      </w:r>
      <w:r w:rsidR="00DD509F">
        <w:rPr>
          <w:rFonts w:cs="Times New Roman"/>
          <w:szCs w:val="22"/>
        </w:rPr>
        <w:t xml:space="preserve">former </w:t>
      </w:r>
      <w:r w:rsidR="00C669ED">
        <w:rPr>
          <w:rFonts w:cs="Times New Roman"/>
          <w:szCs w:val="22"/>
        </w:rPr>
        <w:t>vaccine innovator</w:t>
      </w:r>
      <w:r w:rsidR="00A53974">
        <w:rPr>
          <w:rFonts w:cs="Times New Roman"/>
          <w:szCs w:val="22"/>
        </w:rPr>
        <w:t xml:space="preserve"> of computationally designed synthetic </w:t>
      </w:r>
      <w:r w:rsidR="00967168">
        <w:rPr>
          <w:rFonts w:cs="Times New Roman"/>
          <w:szCs w:val="22"/>
        </w:rPr>
        <w:t xml:space="preserve">long-peptide-based </w:t>
      </w:r>
      <w:r w:rsidR="00A53974">
        <w:rPr>
          <w:rFonts w:cs="Times New Roman"/>
          <w:szCs w:val="22"/>
        </w:rPr>
        <w:t>vaccines targeting high-mutation-prone RNA viruses</w:t>
      </w:r>
      <w:r w:rsidR="00201EE8">
        <w:rPr>
          <w:rFonts w:cs="Times New Roman"/>
          <w:szCs w:val="22"/>
        </w:rPr>
        <w:t xml:space="preserve"> that cause zoonos</w:t>
      </w:r>
      <w:r w:rsidR="00967168">
        <w:rPr>
          <w:rFonts w:cs="Times New Roman"/>
          <w:szCs w:val="22"/>
        </w:rPr>
        <w:t>e</w:t>
      </w:r>
      <w:r w:rsidR="00201EE8">
        <w:rPr>
          <w:rFonts w:cs="Times New Roman"/>
          <w:szCs w:val="22"/>
        </w:rPr>
        <w:t>s</w:t>
      </w:r>
      <w:r w:rsidR="00967168">
        <w:rPr>
          <w:rFonts w:cs="Times New Roman"/>
          <w:szCs w:val="22"/>
        </w:rPr>
        <w:t>-pandemics</w:t>
      </w:r>
      <w:r w:rsidR="00201EE8">
        <w:rPr>
          <w:rFonts w:cs="Times New Roman"/>
          <w:szCs w:val="22"/>
        </w:rPr>
        <w:t xml:space="preserve"> and infect a genetically diverse human population</w:t>
      </w:r>
      <w:r w:rsidR="00C669ED">
        <w:rPr>
          <w:rFonts w:cs="Times New Roman"/>
          <w:szCs w:val="22"/>
        </w:rPr>
        <w:t xml:space="preserve">, I wanted to understand what </w:t>
      </w:r>
      <w:r w:rsidR="00DD509F">
        <w:rPr>
          <w:rFonts w:cs="Times New Roman"/>
          <w:szCs w:val="22"/>
        </w:rPr>
        <w:t xml:space="preserve">pathogenic mechanisms were inserted or relied upon </w:t>
      </w:r>
      <w:r w:rsidR="00C669ED">
        <w:rPr>
          <w:rFonts w:cs="Times New Roman"/>
          <w:szCs w:val="22"/>
        </w:rPr>
        <w:t xml:space="preserve">at the </w:t>
      </w:r>
      <w:r w:rsidR="00C669ED" w:rsidRPr="00C669ED">
        <w:rPr>
          <w:rFonts w:cs="Times New Roman"/>
          <w:b/>
          <w:bCs w:val="0"/>
          <w:szCs w:val="22"/>
        </w:rPr>
        <w:t>point of innovation</w:t>
      </w:r>
      <w:r w:rsidR="00A53974">
        <w:rPr>
          <w:rFonts w:cs="Times New Roman"/>
          <w:szCs w:val="22"/>
        </w:rPr>
        <w:t xml:space="preserve"> in the minds of </w:t>
      </w:r>
      <w:r w:rsidR="00967168">
        <w:rPr>
          <w:rFonts w:cs="Times New Roman"/>
          <w:szCs w:val="22"/>
        </w:rPr>
        <w:t xml:space="preserve">“the” </w:t>
      </w:r>
      <w:r w:rsidR="00201EE8" w:rsidRPr="00201EE8">
        <w:rPr>
          <w:rFonts w:cs="Times New Roman"/>
          <w:szCs w:val="22"/>
        </w:rPr>
        <w:t xml:space="preserve">gain-of-function </w:t>
      </w:r>
      <w:r w:rsidR="00A53974" w:rsidRPr="00A53974">
        <w:rPr>
          <w:rFonts w:cs="Times New Roman"/>
          <w:b/>
          <w:bCs w:val="0"/>
          <w:szCs w:val="22"/>
        </w:rPr>
        <w:t>strategists</w:t>
      </w:r>
      <w:r w:rsidR="00201EE8" w:rsidRPr="00201EE8">
        <w:rPr>
          <w:rFonts w:cs="Times New Roman"/>
          <w:szCs w:val="22"/>
        </w:rPr>
        <w:t xml:space="preserve"> and </w:t>
      </w:r>
      <w:r w:rsidR="00201EE8">
        <w:rPr>
          <w:rFonts w:cs="Times New Roman"/>
          <w:szCs w:val="22"/>
        </w:rPr>
        <w:t xml:space="preserve">those </w:t>
      </w:r>
      <w:r w:rsidR="00871C57">
        <w:rPr>
          <w:rFonts w:cs="Times New Roman"/>
          <w:szCs w:val="22"/>
        </w:rPr>
        <w:t xml:space="preserve">having </w:t>
      </w:r>
      <w:r w:rsidR="00A9721F">
        <w:rPr>
          <w:rFonts w:cs="Times New Roman"/>
          <w:szCs w:val="22"/>
        </w:rPr>
        <w:t xml:space="preserve">an </w:t>
      </w:r>
      <w:r w:rsidR="00871C57">
        <w:rPr>
          <w:rFonts w:cs="Times New Roman"/>
          <w:szCs w:val="22"/>
        </w:rPr>
        <w:t>influence on</w:t>
      </w:r>
      <w:r w:rsidR="00201EE8">
        <w:rPr>
          <w:rFonts w:cs="Times New Roman"/>
          <w:szCs w:val="22"/>
        </w:rPr>
        <w:t xml:space="preserve"> </w:t>
      </w:r>
      <w:r w:rsidR="00201EE8" w:rsidRPr="00201EE8">
        <w:rPr>
          <w:rFonts w:cs="Times New Roman"/>
          <w:szCs w:val="22"/>
        </w:rPr>
        <w:t xml:space="preserve">global </w:t>
      </w:r>
      <w:r w:rsidR="00201EE8">
        <w:rPr>
          <w:rFonts w:cs="Times New Roman"/>
          <w:szCs w:val="22"/>
        </w:rPr>
        <w:t>vaccination strategies</w:t>
      </w:r>
      <w:r w:rsidR="00B20E31">
        <w:rPr>
          <w:rFonts w:cs="Times New Roman"/>
          <w:szCs w:val="22"/>
        </w:rPr>
        <w:t>.</w:t>
      </w:r>
    </w:p>
    <w:p w14:paraId="5CAE291E" w14:textId="6DCD87D7" w:rsidR="00E16C1F" w:rsidRDefault="00123FDA" w:rsidP="004C5C79">
      <w:pPr>
        <w:pStyle w:val="Heading3"/>
      </w:pPr>
      <w:bookmarkStart w:id="92" w:name="_Toc512360363"/>
      <w:bookmarkStart w:id="93" w:name="_Toc516645050"/>
      <w:bookmarkStart w:id="94" w:name="_Toc111368008"/>
      <w:bookmarkStart w:id="95" w:name="_Toc121035131"/>
      <w:r>
        <w:t xml:space="preserve">Pfizer </w:t>
      </w:r>
      <w:r w:rsidR="00FD6BEA">
        <w:t xml:space="preserve">was </w:t>
      </w:r>
      <w:r>
        <w:t xml:space="preserve">Unprepared for </w:t>
      </w:r>
      <w:r w:rsidR="00FD6BEA">
        <w:t xml:space="preserve">the </w:t>
      </w:r>
      <w:r w:rsidR="0064561E">
        <w:t>Sheer</w:t>
      </w:r>
      <w:r>
        <w:t xml:space="preserve"> Volume of </w:t>
      </w:r>
      <w:r w:rsidR="0064561E">
        <w:t xml:space="preserve">Comirnaty </w:t>
      </w:r>
      <w:r>
        <w:t>Adverse Event Reports, which</w:t>
      </w:r>
      <w:r w:rsidRPr="00123FDA">
        <w:t xml:space="preserve"> Reveal</w:t>
      </w:r>
      <w:r>
        <w:t>ed</w:t>
      </w:r>
      <w:r w:rsidRPr="00123FDA">
        <w:t xml:space="preserve"> Predictable Safety Signals</w:t>
      </w:r>
      <w:bookmarkEnd w:id="92"/>
      <w:bookmarkEnd w:id="93"/>
      <w:bookmarkEnd w:id="94"/>
      <w:bookmarkEnd w:id="95"/>
    </w:p>
    <w:p w14:paraId="133F8DFB" w14:textId="038E297F" w:rsidR="002020D6" w:rsidRDefault="00261A52" w:rsidP="002020D6">
      <w:r w:rsidRPr="00261A52">
        <w:rPr>
          <w:b/>
          <w:bCs w:val="0"/>
          <w:u w:val="single"/>
        </w:rPr>
        <w:t>Preamble</w:t>
      </w:r>
      <w:r>
        <w:t xml:space="preserve">: </w:t>
      </w:r>
      <w:r w:rsidR="002020D6">
        <w:t xml:space="preserve">Given the specific purpose underpinning my VAERS lot numbered death and hospitalization analysis (section 1.2, i.e., </w:t>
      </w:r>
      <w:r w:rsidR="002020D6" w:rsidRPr="002020D6">
        <w:rPr>
          <w:i/>
          <w:iCs/>
        </w:rPr>
        <w:t>to identify statistical evidence for toxic COVID-19 vaccine lots</w:t>
      </w:r>
      <w:r w:rsidR="002020D6">
        <w:t>) and the large volume of associated adverse events (</w:t>
      </w:r>
      <w:r w:rsidR="002020D6" w:rsidRPr="002020D6">
        <w:t>699,839</w:t>
      </w:r>
      <w:r w:rsidR="002020D6">
        <w:t>), deaths (</w:t>
      </w:r>
      <w:r w:rsidR="002020D6" w:rsidRPr="002020D6">
        <w:t>10</w:t>
      </w:r>
      <w:r w:rsidR="002020D6">
        <w:t>,</w:t>
      </w:r>
      <w:r w:rsidR="002020D6" w:rsidRPr="002020D6">
        <w:t>428</w:t>
      </w:r>
      <w:r w:rsidR="002020D6">
        <w:t>), and hospitalizations (</w:t>
      </w:r>
      <w:r w:rsidR="002020D6" w:rsidRPr="002020D6">
        <w:t>48,851</w:t>
      </w:r>
      <w:r w:rsidR="002020D6">
        <w:t xml:space="preserve">) I elected not to review their associated symptoms, diseases, and medical conditions. </w:t>
      </w:r>
      <w:r w:rsidR="00D01FEC">
        <w:t>For this purpose</w:t>
      </w:r>
      <w:r w:rsidR="002020D6">
        <w:t xml:space="preserve">, I </w:t>
      </w:r>
      <w:r w:rsidR="000310A9">
        <w:t>review</w:t>
      </w:r>
      <w:r w:rsidR="000B4E3C">
        <w:t>ed</w:t>
      </w:r>
      <w:r w:rsidR="002020D6">
        <w:t xml:space="preserve"> Pfizer’s </w:t>
      </w:r>
      <w:r w:rsidR="00E16C1F">
        <w:t>90-day cumulative analysis of p</w:t>
      </w:r>
      <w:r w:rsidR="00E16C1F" w:rsidRPr="00671117">
        <w:t xml:space="preserve">ost-authorization </w:t>
      </w:r>
      <w:r w:rsidR="00E16C1F">
        <w:t>a</w:t>
      </w:r>
      <w:r w:rsidR="00E16C1F" w:rsidRPr="00671117">
        <w:t xml:space="preserve">dverse </w:t>
      </w:r>
      <w:r w:rsidR="00E16C1F">
        <w:t>e</w:t>
      </w:r>
      <w:r w:rsidR="00E16C1F" w:rsidRPr="00671117">
        <w:t xml:space="preserve">vent </w:t>
      </w:r>
      <w:r w:rsidR="00E16C1F">
        <w:t>(AE) r</w:t>
      </w:r>
      <w:r w:rsidR="00E16C1F" w:rsidRPr="00671117">
        <w:t>eports</w:t>
      </w:r>
      <w:r w:rsidR="00E16C1F">
        <w:t xml:space="preserve"> for Comirnaty</w:t>
      </w:r>
      <w:r w:rsidR="002020D6">
        <w:t xml:space="preserve"> submitted to the FDA on 28/02/2021</w:t>
      </w:r>
      <w:r w:rsidR="00C4232D">
        <w:t xml:space="preserve"> (FOI)</w:t>
      </w:r>
      <w:r w:rsidR="002020D6">
        <w:t>,</w:t>
      </w:r>
      <w:r>
        <w:rPr>
          <w:rStyle w:val="EndnoteReference"/>
        </w:rPr>
        <w:endnoteReference w:id="164"/>
      </w:r>
      <w:r w:rsidR="002020D6">
        <w:t xml:space="preserve"> in which the USA accounted for one-third of the case reports. These case reports were processed by pharmacovigilance professionals, which adds a degree of credibility to any analysis of symptoms, diseases, and medical conditions</w:t>
      </w:r>
      <w:r w:rsidR="00A0748C">
        <w:t xml:space="preserve"> used to define </w:t>
      </w:r>
      <w:r w:rsidR="00D01FEC">
        <w:t xml:space="preserve">harm and </w:t>
      </w:r>
      <w:r w:rsidR="00A0748C">
        <w:t>risk factors</w:t>
      </w:r>
      <w:r w:rsidR="002020D6">
        <w:t xml:space="preserve">.   </w:t>
      </w:r>
    </w:p>
    <w:p w14:paraId="206C5C89" w14:textId="5B09F450" w:rsidR="00E16C1F" w:rsidRDefault="00E16C1F" w:rsidP="00E16C1F">
      <w:r w:rsidRPr="00E16C1F">
        <w:t>Pfizer confirmed its</w:t>
      </w:r>
      <w:r w:rsidRPr="00D936FA">
        <w:rPr>
          <w:b/>
          <w:bCs w:val="0"/>
        </w:rPr>
        <w:t xml:space="preserve"> </w:t>
      </w:r>
      <w:r w:rsidRPr="00123FDA">
        <w:rPr>
          <w:b/>
          <w:bCs w:val="0"/>
        </w:rPr>
        <w:t>unpreparedness for this sheer volume</w:t>
      </w:r>
      <w:r>
        <w:t xml:space="preserve"> of AEs by stating, </w:t>
      </w:r>
      <w:r w:rsidRPr="00671117">
        <w:t>“</w:t>
      </w:r>
      <w:r w:rsidRPr="00671117">
        <w:rPr>
          <w:i/>
        </w:rPr>
        <w:t>due to the large numbers of spontaneous adverse event reports received for the product, the marketing authorization holder has prioritized the processing of serious cases</w:t>
      </w:r>
      <w:r>
        <w:t>.”</w:t>
      </w:r>
      <w:r w:rsidR="00D01FEC">
        <w:t xml:space="preserve"> </w:t>
      </w:r>
      <w:r w:rsidR="00DC39FB">
        <w:t xml:space="preserve">This </w:t>
      </w:r>
      <w:r w:rsidR="00DD4755">
        <w:t xml:space="preserve">statement </w:t>
      </w:r>
      <w:r w:rsidR="00261A52">
        <w:t xml:space="preserve">implies caution is merited in any </w:t>
      </w:r>
      <w:r w:rsidR="00426A67">
        <w:t xml:space="preserve">interpretation or </w:t>
      </w:r>
      <w:r w:rsidR="00261A52">
        <w:t xml:space="preserve">analysis because it </w:t>
      </w:r>
      <w:r w:rsidR="00DD4755">
        <w:t xml:space="preserve">indicates a </w:t>
      </w:r>
      <w:r w:rsidR="00DC39FB" w:rsidRPr="00DC39FB">
        <w:rPr>
          <w:b/>
          <w:bCs w:val="0"/>
        </w:rPr>
        <w:t>bias</w:t>
      </w:r>
      <w:r w:rsidR="00DC39FB">
        <w:t xml:space="preserve"> </w:t>
      </w:r>
      <w:r w:rsidR="00DD4755">
        <w:t xml:space="preserve">could have been introduced </w:t>
      </w:r>
      <w:r w:rsidR="00DC39FB">
        <w:t xml:space="preserve">in what </w:t>
      </w:r>
      <w:r w:rsidR="006C2E8D">
        <w:t xml:space="preserve">and </w:t>
      </w:r>
      <w:r w:rsidR="00DC39FB">
        <w:t xml:space="preserve">how much data was provided in their report. </w:t>
      </w:r>
      <w:r>
        <w:t xml:space="preserve">Pfizer </w:t>
      </w:r>
      <w:r w:rsidR="00DD4755">
        <w:t xml:space="preserve">was forced to </w:t>
      </w:r>
      <w:r>
        <w:t xml:space="preserve">upgrade its supporting technology, </w:t>
      </w:r>
      <w:r w:rsidR="00B20E31">
        <w:t>implement</w:t>
      </w:r>
      <w:r>
        <w:t xml:space="preserve"> process solutions, and significantly </w:t>
      </w:r>
      <w:r w:rsidR="00B20E31">
        <w:t>increase</w:t>
      </w:r>
      <w:r>
        <w:t xml:space="preserve"> </w:t>
      </w:r>
      <w:r w:rsidR="008E2B0F">
        <w:t xml:space="preserve">its </w:t>
      </w:r>
      <w:r>
        <w:t xml:space="preserve">headcount to deal with this unprecedented volume of </w:t>
      </w:r>
      <w:r w:rsidR="003B4B01">
        <w:t>AE</w:t>
      </w:r>
      <w:r>
        <w:t xml:space="preserve"> reports (pg.6).</w:t>
      </w:r>
    </w:p>
    <w:p w14:paraId="326907DD" w14:textId="3AAEC5E6" w:rsidR="0012643F" w:rsidRDefault="00E16C1F" w:rsidP="00911F1B">
      <w:r w:rsidRPr="00872B53">
        <w:t xml:space="preserve">Pfizer reported 42,086 adverse event cases, which resulted in 1,223 </w:t>
      </w:r>
      <w:r w:rsidRPr="00872B53">
        <w:rPr>
          <w:b/>
          <w:bCs w:val="0"/>
        </w:rPr>
        <w:t>deaths</w:t>
      </w:r>
      <w:r w:rsidRPr="00872B53">
        <w:t xml:space="preserve"> (2.9%), and 11,361 </w:t>
      </w:r>
      <w:r w:rsidRPr="00872B53">
        <w:rPr>
          <w:b/>
          <w:bCs w:val="0"/>
        </w:rPr>
        <w:t>unrecovered</w:t>
      </w:r>
      <w:r w:rsidRPr="00872B53">
        <w:t xml:space="preserve"> AE cases (27%). There were 158,893 adverse events</w:t>
      </w:r>
      <w:r w:rsidR="00872B53" w:rsidRPr="00872B53">
        <w:t xml:space="preserve">, with </w:t>
      </w:r>
      <w:r w:rsidRPr="00872B53">
        <w:t>3.8 AEs per case</w:t>
      </w:r>
      <w:r w:rsidR="00872B53">
        <w:t xml:space="preserve">, which </w:t>
      </w:r>
      <w:r w:rsidR="00872B53" w:rsidRPr="00872B53">
        <w:t xml:space="preserve">complements </w:t>
      </w:r>
      <w:r w:rsidR="00872B53">
        <w:t>observations</w:t>
      </w:r>
      <w:r w:rsidR="00872B53" w:rsidRPr="00872B53">
        <w:t xml:space="preserve"> that 95% of people who died from COVID-19 had an average of four comorbidities</w:t>
      </w:r>
      <w:r w:rsidR="00872B53">
        <w:t xml:space="preserve"> (section 1.3.3)</w:t>
      </w:r>
      <w:r w:rsidR="00872B53" w:rsidRPr="00872B53">
        <w:t>.</w:t>
      </w:r>
      <w:r w:rsidR="00872B53" w:rsidRPr="00872B53">
        <w:rPr>
          <w:rStyle w:val="EndnoteReference"/>
        </w:rPr>
        <w:endnoteReference w:id="165"/>
      </w:r>
      <w:r w:rsidR="00872B53" w:rsidRPr="00872B53">
        <w:t xml:space="preserve"> </w:t>
      </w:r>
      <w:r w:rsidR="00962281">
        <w:t>Approximately o</w:t>
      </w:r>
      <w:r w:rsidR="00123FDA" w:rsidRPr="00872B53">
        <w:t>ne-third of case reports were accounted for by the USA and UK each, 18% by five EU countries</w:t>
      </w:r>
      <w:r w:rsidR="00426A67">
        <w:t xml:space="preserve"> (i.e., 82% by NATO nations)</w:t>
      </w:r>
      <w:r w:rsidR="00123FDA" w:rsidRPr="00872B53">
        <w:t>, with the balance spread over 56 countries.</w:t>
      </w:r>
      <w:r w:rsidR="00123FDA" w:rsidRPr="00872B53">
        <w:rPr>
          <w:szCs w:val="22"/>
        </w:rPr>
        <w:t xml:space="preserve"> </w:t>
      </w:r>
      <w:r w:rsidRPr="00872B53">
        <w:t xml:space="preserve">Seven system organ classifications accounted for 82% of AEs. One-third of AEs were </w:t>
      </w:r>
      <w:r w:rsidRPr="00872B53">
        <w:lastRenderedPageBreak/>
        <w:t xml:space="preserve">categorized as general and injection site related (i.e., </w:t>
      </w:r>
      <w:proofErr w:type="gramStart"/>
      <w:r w:rsidRPr="00872B53">
        <w:t>local</w:t>
      </w:r>
      <w:proofErr w:type="gramEnd"/>
      <w:r w:rsidRPr="00872B53">
        <w:t xml:space="preserve"> and systemic reactogenicity), 16.3% nervous system disorders, 10.9% musculoskeletal and connective tissue disorders, 8.9% gastrointestinal disorders, 5.6% respiratory and chest cavity disorders, 5.3% skin and subcutaneous disorders, 2.9% Infections. </w:t>
      </w:r>
    </w:p>
    <w:p w14:paraId="6467D210" w14:textId="22C2208C" w:rsidR="00911F1B" w:rsidRPr="0012643F" w:rsidRDefault="00123FDA" w:rsidP="00911F1B">
      <w:pPr>
        <w:rPr>
          <w:szCs w:val="22"/>
        </w:rPr>
      </w:pPr>
      <w:r w:rsidRPr="0012643F">
        <w:t xml:space="preserve">Pfizer utilized a list of 1,290 AEs of special interest to interrogate the </w:t>
      </w:r>
      <w:r w:rsidR="005A222C" w:rsidRPr="0012643F">
        <w:t xml:space="preserve">case report </w:t>
      </w:r>
      <w:r w:rsidRPr="0012643F">
        <w:t xml:space="preserve">data (Appendix 1, </w:t>
      </w:r>
      <w:r w:rsidR="00182EA7">
        <w:t>pgs.</w:t>
      </w:r>
      <w:r w:rsidR="00B20E31">
        <w:t xml:space="preserve"> 30-38</w:t>
      </w:r>
      <w:r w:rsidRPr="0012643F">
        <w:t xml:space="preserve">). This list appears to comprise </w:t>
      </w:r>
      <w:r w:rsidR="00872B53" w:rsidRPr="0012643F">
        <w:t xml:space="preserve">serious/severe </w:t>
      </w:r>
      <w:r w:rsidRPr="0012643F">
        <w:t xml:space="preserve">AEs identified in the Phase-3 study, the </w:t>
      </w:r>
      <w:r w:rsidRPr="0012643F">
        <w:rPr>
          <w:szCs w:val="22"/>
        </w:rPr>
        <w:t xml:space="preserve">list of 30 AEs </w:t>
      </w:r>
      <w:r w:rsidRPr="0012643F">
        <w:t xml:space="preserve">compiled by </w:t>
      </w:r>
      <w:r w:rsidRPr="0012643F">
        <w:rPr>
          <w:szCs w:val="22"/>
        </w:rPr>
        <w:t xml:space="preserve">the </w:t>
      </w:r>
      <w:r w:rsidRPr="0012643F">
        <w:t xml:space="preserve">FDA </w:t>
      </w:r>
      <w:r w:rsidRPr="0012643F">
        <w:rPr>
          <w:szCs w:val="22"/>
        </w:rPr>
        <w:t>before EUA approval</w:t>
      </w:r>
      <w:r w:rsidRPr="0012643F">
        <w:rPr>
          <w:i/>
          <w:szCs w:val="22"/>
        </w:rPr>
        <w:t xml:space="preserve"> </w:t>
      </w:r>
      <w:r w:rsidRPr="0012643F">
        <w:rPr>
          <w:szCs w:val="22"/>
        </w:rPr>
        <w:t>(pg.17),</w:t>
      </w:r>
      <w:r w:rsidRPr="0012643F">
        <w:rPr>
          <w:rStyle w:val="EndnoteReference"/>
          <w:rFonts w:cs="Times New Roman"/>
          <w:szCs w:val="22"/>
          <w:lang w:eastAsia="en-US"/>
        </w:rPr>
        <w:endnoteReference w:id="166"/>
      </w:r>
      <w:r w:rsidRPr="0012643F">
        <w:rPr>
          <w:szCs w:val="22"/>
        </w:rPr>
        <w:t xml:space="preserve"> </w:t>
      </w:r>
      <w:r w:rsidR="002D6BC5" w:rsidRPr="0012643F">
        <w:rPr>
          <w:szCs w:val="22"/>
        </w:rPr>
        <w:t xml:space="preserve">and </w:t>
      </w:r>
      <w:r w:rsidRPr="0012643F">
        <w:t>historical vaccine AEs (general),</w:t>
      </w:r>
      <w:r w:rsidRPr="0012643F">
        <w:rPr>
          <w:szCs w:val="22"/>
        </w:rPr>
        <w:t xml:space="preserve"> among others.</w:t>
      </w:r>
      <w:r w:rsidR="00911F1B" w:rsidRPr="0012643F">
        <w:rPr>
          <w:szCs w:val="22"/>
        </w:rPr>
        <w:t xml:space="preserve"> </w:t>
      </w:r>
      <w:r w:rsidR="0012643F" w:rsidRPr="0012643F">
        <w:rPr>
          <w:b/>
          <w:bCs w:val="0"/>
        </w:rPr>
        <w:t>Safety signals emerge</w:t>
      </w:r>
      <w:r w:rsidR="0012643F" w:rsidRPr="0012643F">
        <w:t xml:space="preserve"> b</w:t>
      </w:r>
      <w:r w:rsidR="00911F1B" w:rsidRPr="0012643F">
        <w:t>y (</w:t>
      </w:r>
      <w:r w:rsidR="00911F1B" w:rsidRPr="0012643F">
        <w:rPr>
          <w:b/>
          <w:bCs w:val="0"/>
        </w:rPr>
        <w:t>re)grouping</w:t>
      </w:r>
      <w:r w:rsidR="00911F1B" w:rsidRPr="0012643F">
        <w:t xml:space="preserve"> Comirnaty’s adverse events into </w:t>
      </w:r>
      <w:r w:rsidR="0012643F" w:rsidRPr="0012643F">
        <w:t>broad pathogenesis</w:t>
      </w:r>
      <w:r w:rsidR="0012643F" w:rsidRPr="0012643F">
        <w:rPr>
          <w:rFonts w:cs="Times New Roman"/>
          <w:szCs w:val="22"/>
        </w:rPr>
        <w:t xml:space="preserve"> </w:t>
      </w:r>
      <w:r w:rsidR="0012643F" w:rsidRPr="0012643F">
        <w:t>mechanism</w:t>
      </w:r>
      <w:r w:rsidR="0012643F">
        <w:t xml:space="preserve"> categories</w:t>
      </w:r>
      <w:r w:rsidR="0012643F" w:rsidRPr="0012643F">
        <w:t xml:space="preserve"> </w:t>
      </w:r>
      <w:r w:rsidR="0012643F" w:rsidRPr="0012643F">
        <w:rPr>
          <w:rFonts w:cs="Times New Roman"/>
          <w:szCs w:val="22"/>
        </w:rPr>
        <w:t>associated with virus-free spike proteins (</w:t>
      </w:r>
      <w:r w:rsidR="0012643F" w:rsidRPr="0012643F">
        <w:t>section 1.3.3)</w:t>
      </w:r>
      <w:r w:rsidR="00A43CC9">
        <w:t>,</w:t>
      </w:r>
      <w:r w:rsidR="0012643F" w:rsidRPr="0012643F">
        <w:t xml:space="preserve"> </w:t>
      </w:r>
      <w:r w:rsidR="0012643F" w:rsidRPr="0012643F">
        <w:rPr>
          <w:rFonts w:cs="Times New Roman"/>
          <w:b/>
          <w:bCs w:val="0"/>
          <w:szCs w:val="22"/>
        </w:rPr>
        <w:t>(1)</w:t>
      </w:r>
      <w:r w:rsidR="0012643F" w:rsidRPr="0012643F">
        <w:rPr>
          <w:rFonts w:cs="Times New Roman"/>
          <w:szCs w:val="22"/>
        </w:rPr>
        <w:t xml:space="preserve"> </w:t>
      </w:r>
      <w:r w:rsidR="0012643F">
        <w:rPr>
          <w:rFonts w:cs="Times New Roman"/>
          <w:szCs w:val="22"/>
        </w:rPr>
        <w:t xml:space="preserve">immunization effects (i.e., ADE, antigenic imprinting), </w:t>
      </w:r>
      <w:r w:rsidR="0012643F" w:rsidRPr="0012643F">
        <w:rPr>
          <w:rFonts w:cs="Times New Roman"/>
          <w:b/>
          <w:bCs w:val="0"/>
          <w:szCs w:val="22"/>
        </w:rPr>
        <w:t>(2)</w:t>
      </w:r>
      <w:r w:rsidR="0012643F">
        <w:rPr>
          <w:rFonts w:cs="Times New Roman"/>
          <w:szCs w:val="22"/>
        </w:rPr>
        <w:t xml:space="preserve"> </w:t>
      </w:r>
      <w:r w:rsidR="00D24BFC" w:rsidRPr="0012643F">
        <w:t xml:space="preserve">vaccine-associated enhanced disease </w:t>
      </w:r>
      <w:r w:rsidR="00D24BFC">
        <w:t>(</w:t>
      </w:r>
      <w:r w:rsidR="0012643F">
        <w:rPr>
          <w:rFonts w:cs="Times New Roman"/>
          <w:szCs w:val="22"/>
        </w:rPr>
        <w:t>VAED</w:t>
      </w:r>
      <w:r w:rsidR="00D24BFC">
        <w:rPr>
          <w:rFonts w:cs="Times New Roman"/>
          <w:szCs w:val="22"/>
        </w:rPr>
        <w:t>)</w:t>
      </w:r>
      <w:r w:rsidR="0012643F">
        <w:rPr>
          <w:rFonts w:cs="Times New Roman"/>
          <w:szCs w:val="22"/>
        </w:rPr>
        <w:t xml:space="preserve"> associated with </w:t>
      </w:r>
      <w:r w:rsidR="0012643F" w:rsidRPr="0012643F">
        <w:t xml:space="preserve">tissues-organs rich in </w:t>
      </w:r>
      <w:r w:rsidR="0012643F" w:rsidRPr="0012643F">
        <w:rPr>
          <w:b/>
          <w:bCs w:val="0"/>
          <w:szCs w:val="22"/>
        </w:rPr>
        <w:t>ACE2</w:t>
      </w:r>
      <w:r w:rsidR="0012643F" w:rsidRPr="0012643F">
        <w:rPr>
          <w:szCs w:val="22"/>
        </w:rPr>
        <w:t xml:space="preserve"> and </w:t>
      </w:r>
      <w:r w:rsidR="0012643F" w:rsidRPr="0012643F">
        <w:rPr>
          <w:b/>
          <w:bCs w:val="0"/>
          <w:szCs w:val="22"/>
        </w:rPr>
        <w:t>CD147</w:t>
      </w:r>
      <w:r w:rsidR="0012643F" w:rsidRPr="0012643F">
        <w:rPr>
          <w:szCs w:val="22"/>
        </w:rPr>
        <w:t xml:space="preserve"> receptor</w:t>
      </w:r>
      <w:r w:rsidR="0012643F" w:rsidRPr="0012643F">
        <w:t>s</w:t>
      </w:r>
      <w:r w:rsidR="00D24BFC">
        <w:t xml:space="preserve"> and exosomes</w:t>
      </w:r>
      <w:r w:rsidR="0012643F" w:rsidRPr="0012643F">
        <w:rPr>
          <w:szCs w:val="22"/>
        </w:rPr>
        <w:t xml:space="preserve">, and </w:t>
      </w:r>
      <w:r w:rsidR="0012643F" w:rsidRPr="0012643F">
        <w:rPr>
          <w:b/>
          <w:bCs w:val="0"/>
          <w:szCs w:val="22"/>
        </w:rPr>
        <w:t>(</w:t>
      </w:r>
      <w:r w:rsidR="0012643F">
        <w:rPr>
          <w:b/>
          <w:bCs w:val="0"/>
          <w:szCs w:val="22"/>
        </w:rPr>
        <w:t>3</w:t>
      </w:r>
      <w:r w:rsidR="0012643F" w:rsidRPr="0012643F">
        <w:rPr>
          <w:b/>
          <w:bCs w:val="0"/>
          <w:szCs w:val="22"/>
        </w:rPr>
        <w:t>)</w:t>
      </w:r>
      <w:r w:rsidR="0012643F" w:rsidRPr="0012643F">
        <w:rPr>
          <w:szCs w:val="22"/>
        </w:rPr>
        <w:t xml:space="preserve"> </w:t>
      </w:r>
      <w:r w:rsidR="0012643F" w:rsidRPr="0012643F">
        <w:rPr>
          <w:rFonts w:cs="Times New Roman"/>
          <w:szCs w:val="22"/>
        </w:rPr>
        <w:t xml:space="preserve">lipid nanoparticle proinflammatory reactogenicity and </w:t>
      </w:r>
      <w:r w:rsidR="0012643F" w:rsidRPr="0012643F">
        <w:t>CARPA/anaphylaxis</w:t>
      </w:r>
      <w:r w:rsidR="0012643F">
        <w:t xml:space="preserve">, and </w:t>
      </w:r>
      <w:r w:rsidR="0012643F" w:rsidRPr="0012643F">
        <w:rPr>
          <w:b/>
          <w:bCs w:val="0"/>
        </w:rPr>
        <w:t>(4)</w:t>
      </w:r>
      <w:r w:rsidR="0012643F">
        <w:t xml:space="preserve"> </w:t>
      </w:r>
      <w:r w:rsidR="00DD4755">
        <w:t>immune-mediated/</w:t>
      </w:r>
      <w:r w:rsidR="0012643F">
        <w:t xml:space="preserve">autoimmunity. </w:t>
      </w:r>
      <w:r w:rsidR="0012643F" w:rsidRPr="0012643F">
        <w:t>These pathology mechanism</w:t>
      </w:r>
      <w:r w:rsidR="00D24BFC">
        <w:t xml:space="preserve">s </w:t>
      </w:r>
      <w:r w:rsidR="00962281">
        <w:t xml:space="preserve">also </w:t>
      </w:r>
      <w:r w:rsidR="0012643F" w:rsidRPr="0012643F">
        <w:t xml:space="preserve">find support in </w:t>
      </w:r>
      <w:r w:rsidR="0012643F">
        <w:t xml:space="preserve">various </w:t>
      </w:r>
      <w:r w:rsidR="0012643F" w:rsidRPr="0012643F">
        <w:t>safety reviews.</w:t>
      </w:r>
      <w:r w:rsidR="0012643F" w:rsidRPr="0012643F">
        <w:rPr>
          <w:rStyle w:val="EndnoteReference"/>
          <w:rFonts w:cs="Times New Roman"/>
          <w:szCs w:val="22"/>
        </w:rPr>
        <w:endnoteReference w:id="167"/>
      </w:r>
      <w:r w:rsidR="0012643F" w:rsidRPr="0012643F">
        <w:rPr>
          <w:rFonts w:eastAsiaTheme="minorEastAsia" w:cs="Times New Roman"/>
          <w:bCs w:val="0"/>
          <w:szCs w:val="22"/>
          <w:vertAlign w:val="superscript"/>
        </w:rPr>
        <w:t>,</w:t>
      </w:r>
      <w:r w:rsidR="0012643F" w:rsidRPr="0012643F">
        <w:rPr>
          <w:rStyle w:val="EndnoteReference"/>
          <w:rFonts w:eastAsiaTheme="minorEastAsia" w:cs="Times New Roman"/>
          <w:bCs w:val="0"/>
          <w:szCs w:val="22"/>
        </w:rPr>
        <w:endnoteReference w:id="168"/>
      </w:r>
      <w:r w:rsidR="0012643F" w:rsidRPr="0012643F">
        <w:rPr>
          <w:rFonts w:eastAsiaTheme="minorEastAsia" w:cs="Times New Roman"/>
          <w:bCs w:val="0"/>
          <w:szCs w:val="22"/>
          <w:vertAlign w:val="superscript"/>
        </w:rPr>
        <w:t>,</w:t>
      </w:r>
      <w:r w:rsidR="0012643F" w:rsidRPr="0012643F">
        <w:rPr>
          <w:rStyle w:val="EndnoteReference"/>
          <w:rFonts w:cs="Times New Roman"/>
          <w:szCs w:val="22"/>
        </w:rPr>
        <w:endnoteReference w:id="169"/>
      </w:r>
      <w:r w:rsidR="0012643F">
        <w:rPr>
          <w:rFonts w:eastAsiaTheme="minorEastAsia" w:cs="Times New Roman"/>
          <w:bCs w:val="0"/>
          <w:szCs w:val="22"/>
          <w:vertAlign w:val="superscript"/>
        </w:rPr>
        <w:t xml:space="preserve"> </w:t>
      </w:r>
      <w:r w:rsidR="00911F1B" w:rsidRPr="0012643F">
        <w:rPr>
          <w:b/>
          <w:bCs w:val="0"/>
        </w:rPr>
        <w:t>Pfizer listed</w:t>
      </w:r>
      <w:r w:rsidR="00911F1B" w:rsidRPr="0012643F">
        <w:t xml:space="preserve"> th</w:t>
      </w:r>
      <w:r w:rsidR="00A83097" w:rsidRPr="0012643F">
        <w:t>is same</w:t>
      </w:r>
      <w:r w:rsidR="00911F1B" w:rsidRPr="0012643F">
        <w:t xml:space="preserve"> array of </w:t>
      </w:r>
      <w:r w:rsidR="00962281">
        <w:t xml:space="preserve">implied pathogenesis mechanisms via its categorization of </w:t>
      </w:r>
      <w:r w:rsidR="00911F1B" w:rsidRPr="0012643F">
        <w:t xml:space="preserve">diseases, organs and tissues, and symptoms as adverse events of special interest or used them in its </w:t>
      </w:r>
      <w:r w:rsidR="00D24BFC">
        <w:t>VAED</w:t>
      </w:r>
      <w:r w:rsidR="00D24BFC" w:rsidRPr="0012643F">
        <w:t xml:space="preserve"> </w:t>
      </w:r>
      <w:r w:rsidR="00911F1B" w:rsidRPr="0012643F">
        <w:t xml:space="preserve">search criteria (Tables 5 </w:t>
      </w:r>
      <w:r w:rsidR="00911F1B" w:rsidRPr="0012643F">
        <w:rPr>
          <w:b/>
          <w:bCs w:val="0"/>
        </w:rPr>
        <w:t>footnote a</w:t>
      </w:r>
      <w:r w:rsidR="00911F1B" w:rsidRPr="0012643F">
        <w:t>, and 7)</w:t>
      </w:r>
      <w:r w:rsidR="00DC39FB">
        <w:t>,</w:t>
      </w:r>
      <w:r w:rsidR="00911F1B" w:rsidRPr="0012643F">
        <w:t xml:space="preserve"> includ</w:t>
      </w:r>
      <w:r w:rsidR="00DC39FB">
        <w:t>ing</w:t>
      </w:r>
      <w:r w:rsidR="00911F1B" w:rsidRPr="0012643F">
        <w:t xml:space="preserve"> vascular endothelium</w:t>
      </w:r>
      <w:r w:rsidR="00DC39FB">
        <w:t>-</w:t>
      </w:r>
      <w:r w:rsidR="00872B53" w:rsidRPr="0012643F">
        <w:t xml:space="preserve"> and </w:t>
      </w:r>
      <w:r w:rsidR="00911F1B" w:rsidRPr="0012643F">
        <w:t>blood clotting</w:t>
      </w:r>
      <w:r w:rsidR="00DE503B" w:rsidRPr="0012643F">
        <w:t>-related</w:t>
      </w:r>
      <w:r w:rsidR="00911F1B" w:rsidRPr="0012643F">
        <w:t xml:space="preserve">, </w:t>
      </w:r>
      <w:r w:rsidR="00DE503B" w:rsidRPr="0012643F">
        <w:t xml:space="preserve">and </w:t>
      </w:r>
      <w:r w:rsidR="00911F1B" w:rsidRPr="0012643F">
        <w:t>heart, respiratory, brain, kidney, and gastrointestinal</w:t>
      </w:r>
      <w:r w:rsidR="00DE503B" w:rsidRPr="0012643F">
        <w:t xml:space="preserve"> organs</w:t>
      </w:r>
      <w:r w:rsidR="00911F1B" w:rsidRPr="0012643F">
        <w:t xml:space="preserve">. </w:t>
      </w:r>
    </w:p>
    <w:p w14:paraId="0E8B5F07" w14:textId="03C67287" w:rsidR="00E16C1F" w:rsidRDefault="00E16C1F" w:rsidP="00E16C1F">
      <w:r>
        <w:t xml:space="preserve">Pfizer identified VAED </w:t>
      </w:r>
      <w:r w:rsidRPr="00017C85">
        <w:t xml:space="preserve">as </w:t>
      </w:r>
      <w:r w:rsidR="00A43CC9">
        <w:t>a significant</w:t>
      </w:r>
      <w:r w:rsidRPr="00017C85">
        <w:t xml:space="preserve"> identified and potential risk.</w:t>
      </w:r>
      <w:r>
        <w:t xml:space="preserve"> Surprisingly, there was </w:t>
      </w:r>
      <w:r w:rsidRPr="008B09B7">
        <w:rPr>
          <w:b/>
        </w:rPr>
        <w:t>no mention of ADE</w:t>
      </w:r>
      <w:r>
        <w:t xml:space="preserve"> in their list of reportable risks. Considering the wealth of spike protein antigen-based vaccine prototype literature on ADE and its associated disease </w:t>
      </w:r>
      <w:r w:rsidR="008972D8">
        <w:t xml:space="preserve">severity </w:t>
      </w:r>
      <w:r>
        <w:t xml:space="preserve">and mortality </w:t>
      </w:r>
      <w:r w:rsidR="00884AB7">
        <w:t xml:space="preserve">outcomes </w:t>
      </w:r>
      <w:r>
        <w:t xml:space="preserve">in animal studies, I would have expected ADE to be </w:t>
      </w:r>
      <w:r w:rsidRPr="00DC39FB">
        <w:rPr>
          <w:b/>
          <w:bCs w:val="0"/>
        </w:rPr>
        <w:t>monitored alongside</w:t>
      </w:r>
      <w:r>
        <w:t xml:space="preserve"> VAED. There were 138 VAED cases, </w:t>
      </w:r>
      <w:r w:rsidR="00A43CC9">
        <w:t>mainly</w:t>
      </w:r>
      <w:r>
        <w:t xml:space="preserve"> serious, reporting 317 events of suspected VAED, including its respiratory variant, of which </w:t>
      </w:r>
      <w:r w:rsidRPr="002F19FD">
        <w:t>38</w:t>
      </w:r>
      <w:r>
        <w:t xml:space="preserve"> died.</w:t>
      </w:r>
      <w:r w:rsidRPr="00C9728B">
        <w:t xml:space="preserve"> </w:t>
      </w:r>
      <w:r>
        <w:t>There were also 1,927 COVID-19 infections confirmed among the vaccinated (</w:t>
      </w:r>
      <w:r w:rsidR="00526CEA">
        <w:t xml:space="preserve">i.e., </w:t>
      </w:r>
      <w:r>
        <w:t xml:space="preserve">4.6% of cases). </w:t>
      </w:r>
      <w:r w:rsidR="00A43CC9">
        <w:t>I believe</w:t>
      </w:r>
      <w:r>
        <w:t xml:space="preserve"> these </w:t>
      </w:r>
      <w:r w:rsidR="00C810C6">
        <w:t xml:space="preserve">apparent </w:t>
      </w:r>
      <w:r>
        <w:t xml:space="preserve">COVID-19 </w:t>
      </w:r>
      <w:r w:rsidR="00C810C6">
        <w:t>vaccine failures</w:t>
      </w:r>
      <w:r>
        <w:t xml:space="preserve"> would place </w:t>
      </w:r>
      <w:r w:rsidR="00017C85">
        <w:rPr>
          <w:b/>
          <w:bCs w:val="0"/>
        </w:rPr>
        <w:t>ADE</w:t>
      </w:r>
      <w:r w:rsidRPr="001062AF">
        <w:rPr>
          <w:b/>
          <w:bCs w:val="0"/>
        </w:rPr>
        <w:t xml:space="preserve"> and </w:t>
      </w:r>
      <w:r w:rsidRPr="00283F99">
        <w:rPr>
          <w:b/>
          <w:bCs w:val="0"/>
        </w:rPr>
        <w:t>antigenic imprintin</w:t>
      </w:r>
      <w:r>
        <w:rPr>
          <w:b/>
          <w:bCs w:val="0"/>
        </w:rPr>
        <w:t>g</w:t>
      </w:r>
      <w:r w:rsidR="00C810C6">
        <w:rPr>
          <w:b/>
          <w:bCs w:val="0"/>
        </w:rPr>
        <w:t xml:space="preserve"> </w:t>
      </w:r>
      <w:r w:rsidR="00526CEA" w:rsidRPr="00526CEA">
        <w:t xml:space="preserve">at the </w:t>
      </w:r>
      <w:r w:rsidR="00555402" w:rsidRPr="00526CEA">
        <w:t>top</w:t>
      </w:r>
      <w:r w:rsidR="00555402">
        <w:t xml:space="preserve"> of</w:t>
      </w:r>
      <w:r>
        <w:t xml:space="preserve"> the list of differential diagnoses (i.e., medical possibilities)</w:t>
      </w:r>
      <w:r w:rsidRPr="001062AF">
        <w:t xml:space="preserve">. </w:t>
      </w:r>
      <w:r w:rsidR="00C810C6">
        <w:t>In my view</w:t>
      </w:r>
      <w:r w:rsidRPr="001062AF">
        <w:t xml:space="preserve">, </w:t>
      </w:r>
      <w:r w:rsidRPr="001062AF">
        <w:rPr>
          <w:b/>
          <w:bCs w:val="0"/>
        </w:rPr>
        <w:t>ADE should have been listed alongside VAED</w:t>
      </w:r>
      <w:r>
        <w:t xml:space="preserve"> in Pfizer’s </w:t>
      </w:r>
      <w:r w:rsidRPr="0014387B">
        <w:t>pharmacovigilance</w:t>
      </w:r>
      <w:r>
        <w:t xml:space="preserve"> plan and then been actively monitored in post-marketing studies insisted upon by </w:t>
      </w:r>
      <w:r w:rsidR="00017C85">
        <w:t>regulators and healthcare agencies</w:t>
      </w:r>
      <w:r>
        <w:t xml:space="preserve"> (i.e., </w:t>
      </w:r>
      <w:r w:rsidRPr="00884AB7">
        <w:rPr>
          <w:b/>
          <w:bCs w:val="0"/>
        </w:rPr>
        <w:t>the old normal</w:t>
      </w:r>
      <w:r>
        <w:t xml:space="preserve">). </w:t>
      </w:r>
    </w:p>
    <w:p w14:paraId="6AF79711" w14:textId="194E3652" w:rsidR="00123FDA" w:rsidRPr="00884AB7" w:rsidRDefault="00123FDA" w:rsidP="00123FDA">
      <w:r>
        <w:t xml:space="preserve">By grouping </w:t>
      </w:r>
      <w:r w:rsidRPr="00E73C25">
        <w:rPr>
          <w:b/>
          <w:bCs w:val="0"/>
        </w:rPr>
        <w:t>local and systemic reactogenicity</w:t>
      </w:r>
      <w:r>
        <w:t xml:space="preserve"> AEs together</w:t>
      </w:r>
      <w:r w:rsidR="00182EA7">
        <w:t>,</w:t>
      </w:r>
      <w:r>
        <w:t xml:space="preserve"> more than half of the </w:t>
      </w:r>
      <w:r w:rsidRPr="00AE192B">
        <w:t>93</w:t>
      </w:r>
      <w:r>
        <w:t>,</w:t>
      </w:r>
      <w:r w:rsidRPr="00AE192B">
        <w:t>473</w:t>
      </w:r>
      <w:r>
        <w:t xml:space="preserve"> AEs reported in ≥2% </w:t>
      </w:r>
      <w:r w:rsidR="00F95681">
        <w:t xml:space="preserve">of </w:t>
      </w:r>
      <w:r>
        <w:t>c</w:t>
      </w:r>
      <w:r w:rsidRPr="00AE192B">
        <w:t>ases</w:t>
      </w:r>
      <w:r>
        <w:t xml:space="preserve"> could potentially have been associated with </w:t>
      </w:r>
      <w:r w:rsidR="00E23642">
        <w:t xml:space="preserve">a </w:t>
      </w:r>
      <w:r w:rsidR="00E23642" w:rsidRPr="00E23642">
        <w:t xml:space="preserve">robust </w:t>
      </w:r>
      <w:r w:rsidR="00884AB7">
        <w:t>pro-</w:t>
      </w:r>
      <w:r w:rsidR="00E23642" w:rsidRPr="00E23642">
        <w:t>inflammat</w:t>
      </w:r>
      <w:r w:rsidR="00E23642">
        <w:t>ory response</w:t>
      </w:r>
      <w:r w:rsidR="00E23642" w:rsidRPr="00E23642">
        <w:t xml:space="preserve"> induced by the LNPs</w:t>
      </w:r>
      <w:r>
        <w:t xml:space="preserve"> (Table 2, pgs.8-9). Furthermore, and </w:t>
      </w:r>
      <w:r w:rsidR="00C72362">
        <w:t xml:space="preserve">potentially </w:t>
      </w:r>
      <w:r>
        <w:t>related, t</w:t>
      </w:r>
      <w:r w:rsidRPr="00C72C61">
        <w:t>here were 2,958 relevant anaphylaxis AEs, of which 2,341 were serious, and nine died. This corresponded with 1,002 cases meeting specified criteria (2.4%). Anaphylaxis median onset latencies were within hours</w:t>
      </w:r>
      <w:r>
        <w:t xml:space="preserve"> </w:t>
      </w:r>
      <w:r w:rsidRPr="00481052">
        <w:rPr>
          <w:szCs w:val="22"/>
        </w:rPr>
        <w:t>(Table 4, page 10)</w:t>
      </w:r>
      <w:r w:rsidRPr="00C72C61">
        <w:t xml:space="preserve">. </w:t>
      </w:r>
      <w:r w:rsidR="00182EA7">
        <w:t>This</w:t>
      </w:r>
      <w:r w:rsidRPr="00C72C61">
        <w:t xml:space="preserve"> </w:t>
      </w:r>
      <w:r w:rsidR="00C72362">
        <w:t xml:space="preserve">Pfizer </w:t>
      </w:r>
      <w:r w:rsidRPr="00C72C61">
        <w:t xml:space="preserve">report </w:t>
      </w:r>
      <w:r w:rsidR="00962281">
        <w:t>did not discuss</w:t>
      </w:r>
      <w:r w:rsidRPr="00C72C61">
        <w:t xml:space="preserve"> </w:t>
      </w:r>
      <w:r w:rsidRPr="00123FDA">
        <w:rPr>
          <w:rFonts w:cs="Times New Roman"/>
          <w:b/>
          <w:bCs w:val="0"/>
          <w:szCs w:val="22"/>
        </w:rPr>
        <w:t>complement activation-related pseudo-allergy</w:t>
      </w:r>
      <w:r w:rsidRPr="00123FDA">
        <w:rPr>
          <w:b/>
          <w:bCs w:val="0"/>
        </w:rPr>
        <w:t xml:space="preserve"> (CARPA</w:t>
      </w:r>
      <w:r w:rsidRPr="00C72C61">
        <w:t>)</w:t>
      </w:r>
      <w:r>
        <w:t xml:space="preserve"> </w:t>
      </w:r>
      <w:r w:rsidR="00962281">
        <w:rPr>
          <w:rFonts w:cs="Times New Roman"/>
          <w:szCs w:val="22"/>
        </w:rPr>
        <w:t>in its review of</w:t>
      </w:r>
      <w:r>
        <w:rPr>
          <w:rFonts w:cs="Times New Roman"/>
          <w:szCs w:val="22"/>
        </w:rPr>
        <w:t xml:space="preserve"> </w:t>
      </w:r>
      <w:r w:rsidRPr="00884AB7">
        <w:rPr>
          <w:rFonts w:cs="Times New Roman"/>
          <w:szCs w:val="22"/>
        </w:rPr>
        <w:t xml:space="preserve">anaphylaxis. CARPA </w:t>
      </w:r>
      <w:r w:rsidRPr="00884AB7">
        <w:t xml:space="preserve">is a </w:t>
      </w:r>
      <w:r w:rsidRPr="00884AB7">
        <w:rPr>
          <w:rFonts w:cs="Times New Roman"/>
          <w:szCs w:val="22"/>
        </w:rPr>
        <w:t>potentially lethal anaphylatoxin</w:t>
      </w:r>
      <w:r w:rsidRPr="00481052">
        <w:rPr>
          <w:rFonts w:cs="Times New Roman"/>
          <w:szCs w:val="22"/>
        </w:rPr>
        <w:t>/mast-cell</w:t>
      </w:r>
      <w:r>
        <w:rPr>
          <w:rFonts w:cs="Times New Roman"/>
          <w:szCs w:val="22"/>
        </w:rPr>
        <w:t xml:space="preserve"> mediated </w:t>
      </w:r>
      <w:r w:rsidRPr="00481052">
        <w:rPr>
          <w:rFonts w:cs="Times New Roman"/>
          <w:szCs w:val="22"/>
        </w:rPr>
        <w:t>systemic-circulatory</w:t>
      </w:r>
      <w:r>
        <w:rPr>
          <w:rFonts w:cs="Times New Roman"/>
          <w:szCs w:val="22"/>
        </w:rPr>
        <w:t>-</w:t>
      </w:r>
      <w:r w:rsidRPr="00481052">
        <w:rPr>
          <w:rFonts w:cs="Times New Roman"/>
          <w:szCs w:val="22"/>
        </w:rPr>
        <w:t>stress response to chemical toxi</w:t>
      </w:r>
      <w:r>
        <w:rPr>
          <w:rFonts w:cs="Times New Roman"/>
          <w:szCs w:val="22"/>
        </w:rPr>
        <w:t>c</w:t>
      </w:r>
      <w:r w:rsidRPr="00481052">
        <w:rPr>
          <w:rFonts w:cs="Times New Roman"/>
          <w:szCs w:val="22"/>
        </w:rPr>
        <w:t>ity</w:t>
      </w:r>
      <w:r>
        <w:rPr>
          <w:rFonts w:cs="Times New Roman"/>
          <w:szCs w:val="22"/>
        </w:rPr>
        <w:t xml:space="preserve"> (</w:t>
      </w:r>
      <w:r w:rsidR="00E23642">
        <w:rPr>
          <w:rFonts w:cs="Times New Roman"/>
          <w:szCs w:val="22"/>
        </w:rPr>
        <w:t xml:space="preserve">i.e., </w:t>
      </w:r>
      <w:r w:rsidR="00E23642" w:rsidRPr="00884AB7">
        <w:rPr>
          <w:rFonts w:cs="Times New Roman"/>
          <w:szCs w:val="22"/>
        </w:rPr>
        <w:t>PEG-lipid</w:t>
      </w:r>
      <w:r w:rsidR="00884AB7">
        <w:rPr>
          <w:rFonts w:cs="Times New Roman"/>
          <w:szCs w:val="22"/>
        </w:rPr>
        <w:t xml:space="preserve"> associated</w:t>
      </w:r>
      <w:r w:rsidR="00E23642" w:rsidRPr="00884AB7">
        <w:rPr>
          <w:rFonts w:cs="Times New Roman"/>
          <w:szCs w:val="22"/>
        </w:rPr>
        <w:t xml:space="preserve">, </w:t>
      </w:r>
      <w:r w:rsidRPr="00884AB7">
        <w:rPr>
          <w:rFonts w:cs="Times New Roman"/>
          <w:szCs w:val="22"/>
        </w:rPr>
        <w:t>section 1.3.2)</w:t>
      </w:r>
      <w:r w:rsidRPr="00884AB7">
        <w:t>.</w:t>
      </w:r>
    </w:p>
    <w:p w14:paraId="57511652" w14:textId="4253E9E6" w:rsidR="00E16C1F" w:rsidRDefault="00796A0D" w:rsidP="00E16C1F">
      <w:r>
        <w:lastRenderedPageBreak/>
        <w:t>B</w:t>
      </w:r>
      <w:r w:rsidR="00E16C1F">
        <w:t xml:space="preserve">y grouping cardiac, gastrointestinal, and nervous system disorders together under the assumption that ACE2 receptors were highly expressed in those tissues (section </w:t>
      </w:r>
      <w:r w:rsidR="00E16C1F">
        <w:rPr>
          <w:szCs w:val="22"/>
        </w:rPr>
        <w:t>1.4.5)</w:t>
      </w:r>
      <w:r w:rsidR="00E16C1F">
        <w:t xml:space="preserve">, 27% of </w:t>
      </w:r>
      <w:r w:rsidR="00E16C1F" w:rsidRPr="00AE192B">
        <w:t>93</w:t>
      </w:r>
      <w:r w:rsidR="00E16C1F">
        <w:t>,</w:t>
      </w:r>
      <w:r w:rsidR="00E16C1F" w:rsidRPr="00AE192B">
        <w:t>473</w:t>
      </w:r>
      <w:r w:rsidR="00E16C1F">
        <w:t xml:space="preserve"> AEs could potentially be associated </w:t>
      </w:r>
      <w:r w:rsidR="00E16C1F" w:rsidRPr="00796A0D">
        <w:t>with ACE2</w:t>
      </w:r>
      <w:r w:rsidR="00884AB7" w:rsidRPr="00796A0D">
        <w:t>-</w:t>
      </w:r>
      <w:r w:rsidR="00E16C1F" w:rsidRPr="00796A0D">
        <w:t>spike protein-</w:t>
      </w:r>
      <w:r w:rsidR="004351F7" w:rsidRPr="00796A0D">
        <w:t>associated</w:t>
      </w:r>
      <w:r w:rsidR="00E16C1F" w:rsidRPr="00796A0D">
        <w:t xml:space="preserve"> pathologies. </w:t>
      </w:r>
      <w:r w:rsidR="00E16C1F">
        <w:t xml:space="preserve">On an AE </w:t>
      </w:r>
      <w:r w:rsidR="00E16C1F" w:rsidRPr="0061475C">
        <w:t xml:space="preserve">of </w:t>
      </w:r>
      <w:r w:rsidR="00E16C1F">
        <w:t>s</w:t>
      </w:r>
      <w:r w:rsidR="00E16C1F" w:rsidRPr="0061475C">
        <w:t xml:space="preserve">pecial </w:t>
      </w:r>
      <w:r w:rsidR="00E16C1F">
        <w:t>i</w:t>
      </w:r>
      <w:r w:rsidR="00E16C1F" w:rsidRPr="0061475C">
        <w:t>nterest</w:t>
      </w:r>
      <w:r w:rsidR="00E16C1F">
        <w:t xml:space="preserve"> basis</w:t>
      </w:r>
      <w:r w:rsidR="000F48B8">
        <w:t>,</w:t>
      </w:r>
      <w:r w:rsidR="00E16C1F">
        <w:t xml:space="preserve"> 8.3% of </w:t>
      </w:r>
      <w:r w:rsidR="00E16C1F" w:rsidRPr="00671117">
        <w:t>42,086 adverse event cases</w:t>
      </w:r>
      <w:r w:rsidR="00E16C1F">
        <w:t xml:space="preserve"> </w:t>
      </w:r>
      <w:r w:rsidR="00884AB7">
        <w:t xml:space="preserve">(i.e., </w:t>
      </w:r>
      <w:r w:rsidR="00DD4755">
        <w:t xml:space="preserve">with an </w:t>
      </w:r>
      <w:r w:rsidR="00884AB7">
        <w:t xml:space="preserve">average </w:t>
      </w:r>
      <w:r w:rsidR="00182EA7">
        <w:t xml:space="preserve">of </w:t>
      </w:r>
      <w:r w:rsidR="00884AB7">
        <w:t>3.8 AEs</w:t>
      </w:r>
      <w:r w:rsidR="00DD4755">
        <w:t xml:space="preserve"> per case</w:t>
      </w:r>
      <w:r w:rsidR="00884AB7">
        <w:t xml:space="preserve">) </w:t>
      </w:r>
      <w:r w:rsidR="00E16C1F">
        <w:t xml:space="preserve">had pathologies associated with </w:t>
      </w:r>
      <w:r w:rsidR="00E16C1F" w:rsidRPr="00E16C1F">
        <w:rPr>
          <w:b/>
          <w:bCs w:val="0"/>
        </w:rPr>
        <w:t>ACE2</w:t>
      </w:r>
      <w:r w:rsidR="00884AB7">
        <w:rPr>
          <w:b/>
          <w:bCs w:val="0"/>
        </w:rPr>
        <w:t xml:space="preserve"> and</w:t>
      </w:r>
      <w:r w:rsidR="00104CFF">
        <w:rPr>
          <w:b/>
          <w:bCs w:val="0"/>
        </w:rPr>
        <w:t xml:space="preserve"> its overlapping distribution with</w:t>
      </w:r>
      <w:r w:rsidR="00884AB7">
        <w:rPr>
          <w:b/>
          <w:bCs w:val="0"/>
        </w:rPr>
        <w:t xml:space="preserve"> CD147 </w:t>
      </w:r>
      <w:r w:rsidR="000F48B8">
        <w:rPr>
          <w:b/>
          <w:bCs w:val="0"/>
        </w:rPr>
        <w:t>receptor-expressing</w:t>
      </w:r>
      <w:r>
        <w:rPr>
          <w:b/>
          <w:bCs w:val="0"/>
        </w:rPr>
        <w:t xml:space="preserve"> and exosome-associated</w:t>
      </w:r>
      <w:r w:rsidR="00884AB7">
        <w:rPr>
          <w:b/>
          <w:bCs w:val="0"/>
        </w:rPr>
        <w:t xml:space="preserve"> </w:t>
      </w:r>
      <w:r w:rsidR="00E16C1F" w:rsidRPr="00E16C1F">
        <w:rPr>
          <w:b/>
          <w:bCs w:val="0"/>
        </w:rPr>
        <w:t>tissues</w:t>
      </w:r>
      <w:r w:rsidR="00884AB7">
        <w:rPr>
          <w:b/>
          <w:bCs w:val="0"/>
        </w:rPr>
        <w:t xml:space="preserve"> and organs</w:t>
      </w:r>
      <w:r w:rsidR="00E16C1F">
        <w:t xml:space="preserve"> (i.e., </w:t>
      </w:r>
      <w:r w:rsidR="00E16C1F" w:rsidRPr="00296A98">
        <w:rPr>
          <w:i/>
          <w:iCs/>
        </w:rPr>
        <w:t>cardio</w:t>
      </w:r>
      <w:r w:rsidR="00884AB7">
        <w:rPr>
          <w:i/>
          <w:iCs/>
        </w:rPr>
        <w:t xml:space="preserve">-, cerebro-, pulmonary-, and renal- </w:t>
      </w:r>
      <w:r w:rsidR="00E16C1F" w:rsidRPr="00296A98">
        <w:rPr>
          <w:i/>
          <w:iCs/>
        </w:rPr>
        <w:t>vascular</w:t>
      </w:r>
      <w:r w:rsidR="00884AB7">
        <w:rPr>
          <w:i/>
          <w:iCs/>
        </w:rPr>
        <w:t xml:space="preserve"> endothelium</w:t>
      </w:r>
      <w:r w:rsidR="00E16C1F" w:rsidRPr="00296A98">
        <w:rPr>
          <w:i/>
          <w:iCs/>
        </w:rPr>
        <w:t>,</w:t>
      </w:r>
      <w:r w:rsidR="00884AB7">
        <w:rPr>
          <w:i/>
          <w:iCs/>
        </w:rPr>
        <w:t xml:space="preserve"> and heart, brain, lung</w:t>
      </w:r>
      <w:r w:rsidR="00E16C1F" w:rsidRPr="00884AB7">
        <w:rPr>
          <w:i/>
          <w:iCs/>
        </w:rPr>
        <w:t>,</w:t>
      </w:r>
      <w:r w:rsidR="00884AB7" w:rsidRPr="00884AB7">
        <w:rPr>
          <w:i/>
          <w:iCs/>
        </w:rPr>
        <w:t xml:space="preserve"> and kidney,</w:t>
      </w:r>
      <w:r w:rsidR="00E16C1F" w:rsidRPr="00884AB7">
        <w:rPr>
          <w:i/>
          <w:iCs/>
        </w:rPr>
        <w:t xml:space="preserve"> Table 7, pgs.16-24</w:t>
      </w:r>
      <w:r w:rsidR="00884AB7" w:rsidRPr="00884AB7">
        <w:rPr>
          <w:i/>
          <w:iCs/>
        </w:rPr>
        <w:t>, section 1.3.3</w:t>
      </w:r>
      <w:r w:rsidR="00E16C1F">
        <w:t xml:space="preserve">). Median onset latencies were </w:t>
      </w:r>
      <w:r w:rsidR="00E16C1F" w:rsidRPr="00ED476F">
        <w:t>&lt;24 hours</w:t>
      </w:r>
      <w:r w:rsidR="00E16C1F" w:rsidRPr="007C2AB2">
        <w:t xml:space="preserve"> </w:t>
      </w:r>
      <w:r w:rsidR="00E16C1F">
        <w:t>for cardiovascular, one day for h</w:t>
      </w:r>
      <w:r w:rsidR="00E16C1F" w:rsidRPr="00ED476F">
        <w:t>ematological</w:t>
      </w:r>
      <w:r w:rsidR="00E16C1F">
        <w:t xml:space="preserve"> and n</w:t>
      </w:r>
      <w:r w:rsidR="00E16C1F" w:rsidRPr="00B83657">
        <w:t>eurological</w:t>
      </w:r>
      <w:r w:rsidR="00E16C1F">
        <w:t>, and four days for r</w:t>
      </w:r>
      <w:r w:rsidR="00E16C1F" w:rsidRPr="00B83657">
        <w:t xml:space="preserve">enal </w:t>
      </w:r>
      <w:r w:rsidR="00E16C1F">
        <w:t>AEs.</w:t>
      </w:r>
    </w:p>
    <w:p w14:paraId="5CD21C7E" w14:textId="4835AE30" w:rsidR="00E16C1F" w:rsidRDefault="00E16C1F" w:rsidP="00E16C1F">
      <w:r>
        <w:t>Immune-mediated and a</w:t>
      </w:r>
      <w:r w:rsidRPr="00AA7FFD">
        <w:t>utoimmune AE</w:t>
      </w:r>
      <w:r>
        <w:t>s of special interest (AESI) represented 2.5</w:t>
      </w:r>
      <w:r w:rsidRPr="00AA7FFD">
        <w:t>%</w:t>
      </w:r>
      <w:r>
        <w:t xml:space="preserve"> of cases (1,050)</w:t>
      </w:r>
      <w:r w:rsidR="00182EA7">
        <w:t>,</w:t>
      </w:r>
      <w:r>
        <w:t xml:space="preserve"> resulting in 780 serious and 12 fatal AEs affecting the central and peripheral nervous system, heart, skin, and pancreas. </w:t>
      </w:r>
      <w:r w:rsidRPr="003F0105">
        <w:t>Muscu</w:t>
      </w:r>
      <w:r>
        <w:t xml:space="preserve">loskeletal AESIs comprised 8.5% of </w:t>
      </w:r>
      <w:r w:rsidRPr="00537172">
        <w:t xml:space="preserve">cases </w:t>
      </w:r>
      <w:r>
        <w:t xml:space="preserve">resulting in </w:t>
      </w:r>
      <w:r w:rsidRPr="003F0105">
        <w:t>3</w:t>
      </w:r>
      <w:r>
        <w:t>,</w:t>
      </w:r>
      <w:r w:rsidRPr="003F0105">
        <w:t>640</w:t>
      </w:r>
      <w:r>
        <w:t xml:space="preserve"> AEs, of which 1,614 were serious. A</w:t>
      </w:r>
      <w:r w:rsidRPr="003F0105">
        <w:t xml:space="preserve">rthralgia </w:t>
      </w:r>
      <w:r>
        <w:t xml:space="preserve">accounted for the majority </w:t>
      </w:r>
      <w:r w:rsidRPr="003F0105">
        <w:t>(3</w:t>
      </w:r>
      <w:r>
        <w:t>,525), with arthritis, rheumatoid arthritis, polyneuropathy, and p</w:t>
      </w:r>
      <w:r w:rsidRPr="003F0105">
        <w:t>ost</w:t>
      </w:r>
      <w:r>
        <w:t>-viral fatigue syndrome the balance (Table 7, pg.20). Arthralgia may be linked to autoimmunity,</w:t>
      </w:r>
      <w:r>
        <w:rPr>
          <w:rStyle w:val="EndnoteReference"/>
        </w:rPr>
        <w:endnoteReference w:id="170"/>
      </w:r>
      <w:r>
        <w:t xml:space="preserve"> which could implicate spike protein </w:t>
      </w:r>
      <w:r w:rsidR="00F60039">
        <w:t xml:space="preserve">mimicry/cross-reactivity (T- and/or B-cell) </w:t>
      </w:r>
      <w:r>
        <w:t>and/or LNP formulation</w:t>
      </w:r>
      <w:r w:rsidR="00F60039">
        <w:t>-</w:t>
      </w:r>
      <w:r>
        <w:t xml:space="preserve"> </w:t>
      </w:r>
      <w:r w:rsidR="00F60039">
        <w:t xml:space="preserve">and mRNA innate immunity- induced </w:t>
      </w:r>
      <w:r>
        <w:t>proinflammatory response</w:t>
      </w:r>
      <w:r w:rsidR="00F60039">
        <w:t>s</w:t>
      </w:r>
      <w:r w:rsidR="00D909F1">
        <w:t xml:space="preserve"> (section 1.3.2)</w:t>
      </w:r>
      <w:r>
        <w:t>. Median onset latencies were &lt;24 hours for immune-mediated/autoimmune and one day for musculoskeletal</w:t>
      </w:r>
      <w:r w:rsidRPr="00D843D8">
        <w:t xml:space="preserve"> </w:t>
      </w:r>
      <w:r>
        <w:t>AEs</w:t>
      </w:r>
      <w:r w:rsidR="00F60039">
        <w:t xml:space="preserve"> (section 1.3.3)</w:t>
      </w:r>
      <w:r>
        <w:t>.</w:t>
      </w:r>
      <w:r w:rsidRPr="00683C30">
        <w:t xml:space="preserve"> </w:t>
      </w:r>
    </w:p>
    <w:p w14:paraId="51CA3471" w14:textId="16A5E12D" w:rsidR="00E16C1F" w:rsidRPr="009F4297" w:rsidRDefault="00E16C1F" w:rsidP="007D0BDE">
      <w:r w:rsidRPr="00B33B94">
        <w:t xml:space="preserve">Given the limitations of spontaneously reported pharmacovigilance data, the unavailability of </w:t>
      </w:r>
      <w:r>
        <w:t xml:space="preserve">data for the number of </w:t>
      </w:r>
      <w:r w:rsidRPr="00B33B94">
        <w:t>va</w:t>
      </w:r>
      <w:r>
        <w:t>ccine doses administered alongside these AE case reports</w:t>
      </w:r>
      <w:r w:rsidRPr="00B33B94">
        <w:t xml:space="preserve">, </w:t>
      </w:r>
      <w:r>
        <w:t>and the absence of COVID-19</w:t>
      </w:r>
      <w:r w:rsidRPr="00B33B94">
        <w:t xml:space="preserve"> disease </w:t>
      </w:r>
      <w:r>
        <w:t xml:space="preserve">rate </w:t>
      </w:r>
      <w:r w:rsidRPr="00B33B94">
        <w:t>data</w:t>
      </w:r>
      <w:r>
        <w:t xml:space="preserve"> for this specific period of the pandemic</w:t>
      </w:r>
      <w:r w:rsidRPr="00B33B94">
        <w:t xml:space="preserve">, </w:t>
      </w:r>
      <w:r>
        <w:t xml:space="preserve">it is my opinion that </w:t>
      </w:r>
      <w:r w:rsidRPr="00B33B94">
        <w:t>Pfizer’s conclusion regarding Comirnaty’s “</w:t>
      </w:r>
      <w:r w:rsidRPr="00D936FA">
        <w:rPr>
          <w:i/>
          <w:iCs/>
        </w:rPr>
        <w:t>favorable benefit: risk balance</w:t>
      </w:r>
      <w:r w:rsidRPr="00B33B94">
        <w:t xml:space="preserve">” </w:t>
      </w:r>
      <w:r>
        <w:t>wa</w:t>
      </w:r>
      <w:r w:rsidRPr="00B33B94">
        <w:t xml:space="preserve">s </w:t>
      </w:r>
      <w:r w:rsidRPr="00D936FA">
        <w:rPr>
          <w:b/>
          <w:bCs w:val="0"/>
        </w:rPr>
        <w:t>unsubstantiated</w:t>
      </w:r>
      <w:r w:rsidRPr="00B33B94">
        <w:t xml:space="preserve"> by </w:t>
      </w:r>
      <w:r w:rsidR="00123FDA">
        <w:t xml:space="preserve">any quantitative results of </w:t>
      </w:r>
      <w:r>
        <w:t>a</w:t>
      </w:r>
      <w:r w:rsidR="00123FDA">
        <w:t xml:space="preserve"> </w:t>
      </w:r>
      <w:r>
        <w:t>risk-to-</w:t>
      </w:r>
      <w:r w:rsidRPr="00B33B94">
        <w:t>benefit analysis</w:t>
      </w:r>
      <w:r>
        <w:t xml:space="preserve"> </w:t>
      </w:r>
      <w:r w:rsidR="009F4297">
        <w:t xml:space="preserve">provided </w:t>
      </w:r>
      <w:r>
        <w:t>in their report</w:t>
      </w:r>
      <w:r w:rsidRPr="00B33B94">
        <w:t xml:space="preserve">. In each </w:t>
      </w:r>
      <w:r w:rsidR="009F4297">
        <w:t xml:space="preserve">listed </w:t>
      </w:r>
      <w:r w:rsidRPr="00B33B94">
        <w:t>AE</w:t>
      </w:r>
      <w:r w:rsidR="009F4297">
        <w:t>SI</w:t>
      </w:r>
      <w:r>
        <w:t>,</w:t>
      </w:r>
      <w:r w:rsidRPr="00B33B94">
        <w:t xml:space="preserve"> Pfizer concluded, “</w:t>
      </w:r>
      <w:r w:rsidRPr="00B33B94">
        <w:rPr>
          <w:i/>
        </w:rPr>
        <w:t>this cumulative case review does not raise new safety issues.</w:t>
      </w:r>
      <w:r w:rsidRPr="00B33B94">
        <w:t xml:space="preserve">” </w:t>
      </w:r>
      <w:r>
        <w:t xml:space="preserve">In my opinion, </w:t>
      </w:r>
      <w:r w:rsidRPr="00B33B94">
        <w:t xml:space="preserve">Pfizer’s </w:t>
      </w:r>
      <w:r>
        <w:t xml:space="preserve">90-day post-EUA </w:t>
      </w:r>
      <w:r w:rsidRPr="00B33B94">
        <w:t>safety assessment fell short of its potential</w:t>
      </w:r>
      <w:r>
        <w:t xml:space="preserve">, and our </w:t>
      </w:r>
      <w:r w:rsidR="00123FDA">
        <w:t xml:space="preserve">safety </w:t>
      </w:r>
      <w:r>
        <w:t>understanding</w:t>
      </w:r>
      <w:r w:rsidRPr="00B33B94">
        <w:t xml:space="preserve"> </w:t>
      </w:r>
      <w:r>
        <w:t xml:space="preserve">at EUA </w:t>
      </w:r>
      <w:r w:rsidRPr="00B33B94">
        <w:t xml:space="preserve">was compromised by </w:t>
      </w:r>
      <w:r w:rsidRPr="002A1C71">
        <w:rPr>
          <w:b/>
          <w:bCs w:val="0"/>
        </w:rPr>
        <w:t>regulators failing to demand</w:t>
      </w:r>
      <w:r>
        <w:t xml:space="preserve"> pertinent p</w:t>
      </w:r>
      <w:r w:rsidRPr="00B33B94">
        <w:t xml:space="preserve">reclinical and clinical safety </w:t>
      </w:r>
      <w:r w:rsidRPr="009F4297">
        <w:t>information before EUA approval (sections 1.</w:t>
      </w:r>
      <w:r w:rsidR="009F4297" w:rsidRPr="009F4297">
        <w:t>4-</w:t>
      </w:r>
      <w:r w:rsidRPr="009F4297">
        <w:t>5).</w:t>
      </w:r>
    </w:p>
    <w:p w14:paraId="3B3CE5B6" w14:textId="12ACAA3B" w:rsidR="0064561E" w:rsidRDefault="005A222C" w:rsidP="0064561E">
      <w:pPr>
        <w:rPr>
          <w:szCs w:val="22"/>
          <w:vertAlign w:val="superscript"/>
        </w:rPr>
      </w:pPr>
      <w:r w:rsidRPr="005A222C">
        <w:rPr>
          <w:szCs w:val="22"/>
        </w:rPr>
        <w:t xml:space="preserve">These </w:t>
      </w:r>
      <w:r>
        <w:rPr>
          <w:szCs w:val="22"/>
        </w:rPr>
        <w:t xml:space="preserve">predictable pathologies </w:t>
      </w:r>
      <w:r w:rsidRPr="005A222C">
        <w:rPr>
          <w:szCs w:val="22"/>
        </w:rPr>
        <w:t xml:space="preserve">help explain the </w:t>
      </w:r>
      <w:r w:rsidRPr="005A222C">
        <w:rPr>
          <w:b/>
          <w:bCs w:val="0"/>
          <w:szCs w:val="22"/>
        </w:rPr>
        <w:t>burgeoning list of scientific publications</w:t>
      </w:r>
      <w:r w:rsidRPr="005A222C">
        <w:rPr>
          <w:szCs w:val="22"/>
        </w:rPr>
        <w:t xml:space="preserve"> on COVID-19 vaccine </w:t>
      </w:r>
      <w:r w:rsidRPr="005A222C">
        <w:rPr>
          <w:bCs w:val="0"/>
          <w:szCs w:val="22"/>
        </w:rPr>
        <w:t>harm and lethality</w:t>
      </w:r>
      <w:r w:rsidRPr="005A222C">
        <w:rPr>
          <w:szCs w:val="22"/>
        </w:rPr>
        <w:t xml:space="preserve"> (</w:t>
      </w:r>
      <w:r w:rsidRPr="005A222C">
        <w:rPr>
          <w:i/>
          <w:iCs/>
          <w:szCs w:val="22"/>
        </w:rPr>
        <w:t>1,250 safety-related publications</w:t>
      </w:r>
      <w:r>
        <w:rPr>
          <w:i/>
          <w:iCs/>
          <w:szCs w:val="22"/>
        </w:rPr>
        <w:t>: generally,</w:t>
      </w:r>
      <w:r w:rsidRPr="005A222C">
        <w:rPr>
          <w:rStyle w:val="EndnoteReference"/>
          <w:szCs w:val="22"/>
        </w:rPr>
        <w:endnoteReference w:id="171"/>
      </w:r>
      <w:r>
        <w:rPr>
          <w:i/>
          <w:iCs/>
          <w:szCs w:val="22"/>
        </w:rPr>
        <w:t>children</w:t>
      </w:r>
      <w:r w:rsidRPr="005A222C">
        <w:rPr>
          <w:rStyle w:val="EndnoteReference"/>
          <w:szCs w:val="22"/>
        </w:rPr>
        <w:endnoteReference w:id="172"/>
      </w:r>
      <w:r w:rsidRPr="005A222C">
        <w:rPr>
          <w:szCs w:val="22"/>
        </w:rPr>
        <w:t>)</w:t>
      </w:r>
      <w:r>
        <w:rPr>
          <w:szCs w:val="22"/>
        </w:rPr>
        <w:t xml:space="preserve"> and </w:t>
      </w:r>
      <w:r w:rsidR="0064561E">
        <w:rPr>
          <w:szCs w:val="22"/>
        </w:rPr>
        <w:t xml:space="preserve">the </w:t>
      </w:r>
      <w:r w:rsidR="0064561E" w:rsidRPr="00FB1768">
        <w:rPr>
          <w:b/>
          <w:bCs w:val="0"/>
          <w:szCs w:val="22"/>
        </w:rPr>
        <w:t>unprecedented increase</w:t>
      </w:r>
      <w:r w:rsidR="0064561E">
        <w:rPr>
          <w:szCs w:val="22"/>
        </w:rPr>
        <w:t xml:space="preserve"> in health and life </w:t>
      </w:r>
      <w:r w:rsidR="0064561E" w:rsidRPr="00C8776E">
        <w:rPr>
          <w:b/>
          <w:bCs w:val="0"/>
          <w:szCs w:val="22"/>
        </w:rPr>
        <w:t xml:space="preserve">insurance </w:t>
      </w:r>
      <w:r w:rsidR="0064561E">
        <w:rPr>
          <w:b/>
          <w:bCs w:val="0"/>
          <w:szCs w:val="22"/>
        </w:rPr>
        <w:t>claims and payouts</w:t>
      </w:r>
      <w:r w:rsidR="0064561E" w:rsidRPr="00C8776E">
        <w:rPr>
          <w:b/>
          <w:bCs w:val="0"/>
          <w:szCs w:val="22"/>
        </w:rPr>
        <w:t xml:space="preserve"> </w:t>
      </w:r>
      <w:r w:rsidR="0064561E">
        <w:rPr>
          <w:szCs w:val="22"/>
        </w:rPr>
        <w:t xml:space="preserve">in 2021-2022 as </w:t>
      </w:r>
      <w:r w:rsidR="0064561E" w:rsidRPr="001A2BA3">
        <w:rPr>
          <w:szCs w:val="22"/>
        </w:rPr>
        <w:t>an insurance industry-wide phenomenon</w:t>
      </w:r>
      <w:r w:rsidR="00DD4755">
        <w:rPr>
          <w:szCs w:val="22"/>
        </w:rPr>
        <w:t xml:space="preserve"> on more than one continent</w:t>
      </w:r>
      <w:r w:rsidR="0064561E" w:rsidRPr="001A2BA3">
        <w:rPr>
          <w:szCs w:val="22"/>
        </w:rPr>
        <w:t>.</w:t>
      </w:r>
      <w:r w:rsidR="0064561E" w:rsidRPr="00C8776E">
        <w:rPr>
          <w:rStyle w:val="EndnoteReference"/>
          <w:szCs w:val="22"/>
        </w:rPr>
        <w:endnoteReference w:id="173"/>
      </w:r>
      <w:r w:rsidR="0064561E" w:rsidRPr="00C8776E">
        <w:rPr>
          <w:szCs w:val="22"/>
          <w:vertAlign w:val="superscript"/>
        </w:rPr>
        <w:t>,</w:t>
      </w:r>
      <w:r w:rsidR="0064561E" w:rsidRPr="00C8776E">
        <w:rPr>
          <w:rStyle w:val="EndnoteReference"/>
          <w:szCs w:val="22"/>
        </w:rPr>
        <w:endnoteReference w:id="174"/>
      </w:r>
      <w:r w:rsidR="0064561E" w:rsidRPr="00C8776E">
        <w:rPr>
          <w:szCs w:val="22"/>
          <w:vertAlign w:val="superscript"/>
        </w:rPr>
        <w:t>,</w:t>
      </w:r>
      <w:r w:rsidR="0064561E" w:rsidRPr="00C8776E">
        <w:rPr>
          <w:rStyle w:val="EndnoteReference"/>
          <w:szCs w:val="22"/>
        </w:rPr>
        <w:endnoteReference w:id="175"/>
      </w:r>
      <w:r w:rsidR="0064561E" w:rsidRPr="00C8776E">
        <w:rPr>
          <w:szCs w:val="22"/>
          <w:vertAlign w:val="superscript"/>
        </w:rPr>
        <w:t>,</w:t>
      </w:r>
      <w:r w:rsidR="0064561E" w:rsidRPr="00C8776E">
        <w:rPr>
          <w:rStyle w:val="EndnoteReference"/>
          <w:szCs w:val="22"/>
        </w:rPr>
        <w:endnoteReference w:id="176"/>
      </w:r>
      <w:r w:rsidR="0064561E" w:rsidRPr="00C8776E">
        <w:rPr>
          <w:szCs w:val="22"/>
          <w:vertAlign w:val="superscript"/>
        </w:rPr>
        <w:t>,</w:t>
      </w:r>
      <w:r w:rsidR="0064561E" w:rsidRPr="00C8776E">
        <w:rPr>
          <w:rStyle w:val="EndnoteReference"/>
          <w:szCs w:val="22"/>
        </w:rPr>
        <w:endnoteReference w:id="177"/>
      </w:r>
      <w:r w:rsidR="0064561E" w:rsidRPr="00C8776E">
        <w:rPr>
          <w:szCs w:val="22"/>
          <w:vertAlign w:val="superscript"/>
        </w:rPr>
        <w:t>,</w:t>
      </w:r>
      <w:r w:rsidR="0064561E" w:rsidRPr="00C8776E">
        <w:rPr>
          <w:rStyle w:val="EndnoteReference"/>
          <w:szCs w:val="22"/>
        </w:rPr>
        <w:endnoteReference w:id="178"/>
      </w:r>
      <w:r w:rsidR="0064561E" w:rsidRPr="00C8776E">
        <w:rPr>
          <w:szCs w:val="22"/>
          <w:vertAlign w:val="superscript"/>
        </w:rPr>
        <w:t>,</w:t>
      </w:r>
      <w:r w:rsidR="0064561E" w:rsidRPr="00C8776E">
        <w:rPr>
          <w:rStyle w:val="EndnoteReference"/>
          <w:szCs w:val="22"/>
        </w:rPr>
        <w:endnoteReference w:id="179"/>
      </w:r>
      <w:r w:rsidR="0064561E">
        <w:rPr>
          <w:szCs w:val="22"/>
          <w:vertAlign w:val="superscript"/>
        </w:rPr>
        <w:t>,</w:t>
      </w:r>
      <w:r w:rsidR="0064561E">
        <w:rPr>
          <w:rStyle w:val="EndnoteReference"/>
          <w:szCs w:val="22"/>
        </w:rPr>
        <w:endnoteReference w:id="180"/>
      </w:r>
    </w:p>
    <w:p w14:paraId="31874ADE" w14:textId="3EE862AE" w:rsidR="00E0249E" w:rsidRDefault="00E0249E" w:rsidP="004C5C79">
      <w:pPr>
        <w:pStyle w:val="Heading3"/>
      </w:pPr>
      <w:bookmarkStart w:id="96" w:name="_Toc510678504"/>
      <w:bookmarkStart w:id="97" w:name="_Toc510880008"/>
      <w:bookmarkStart w:id="98" w:name="_Toc512275137"/>
      <w:bookmarkStart w:id="99" w:name="_Toc512360354"/>
      <w:bookmarkStart w:id="100" w:name="_Toc516645041"/>
      <w:bookmarkStart w:id="101" w:name="_Toc111367999"/>
      <w:bookmarkStart w:id="102" w:name="_Toc121035132"/>
      <w:r>
        <w:t>Lipid Nanoparticles (LNPs)</w:t>
      </w:r>
      <w:r w:rsidR="00476977">
        <w:t xml:space="preserve"> are Pro</w:t>
      </w:r>
      <w:r w:rsidR="00DC4962">
        <w:t>-I</w:t>
      </w:r>
      <w:r w:rsidR="00476977">
        <w:t>nflammatory and Toxic</w:t>
      </w:r>
      <w:bookmarkEnd w:id="96"/>
      <w:bookmarkEnd w:id="97"/>
      <w:bookmarkEnd w:id="98"/>
      <w:bookmarkEnd w:id="99"/>
      <w:bookmarkEnd w:id="100"/>
      <w:bookmarkEnd w:id="101"/>
      <w:bookmarkEnd w:id="102"/>
    </w:p>
    <w:p w14:paraId="166B4A00" w14:textId="44FBAB12" w:rsidR="00123FDA" w:rsidRPr="00423676" w:rsidRDefault="00111180" w:rsidP="00123FDA">
      <w:pPr>
        <w:rPr>
          <w:rFonts w:cs="Times New Roman"/>
          <w:szCs w:val="22"/>
        </w:rPr>
      </w:pPr>
      <w:r w:rsidRPr="00423676">
        <w:rPr>
          <w:rFonts w:cs="Times New Roman"/>
          <w:szCs w:val="22"/>
        </w:rPr>
        <w:t xml:space="preserve">Under the presumption </w:t>
      </w:r>
      <w:r w:rsidR="00182EA7">
        <w:rPr>
          <w:rFonts w:cs="Times New Roman"/>
          <w:szCs w:val="22"/>
        </w:rPr>
        <w:t xml:space="preserve">that </w:t>
      </w:r>
      <w:r w:rsidRPr="00423676">
        <w:rPr>
          <w:rFonts w:cs="Times New Roman"/>
          <w:szCs w:val="22"/>
        </w:rPr>
        <w:t xml:space="preserve">the mRNA-LNP technology platforms used by </w:t>
      </w:r>
      <w:r w:rsidR="00123FDA">
        <w:rPr>
          <w:rFonts w:cs="Times New Roman"/>
          <w:szCs w:val="22"/>
        </w:rPr>
        <w:t>mRNA gene-therapy-vaccines</w:t>
      </w:r>
      <w:r w:rsidRPr="00423676">
        <w:rPr>
          <w:rFonts w:cs="Times New Roman"/>
          <w:szCs w:val="22"/>
        </w:rPr>
        <w:t xml:space="preserve"> </w:t>
      </w:r>
      <w:r w:rsidR="003C2990" w:rsidRPr="00423676">
        <w:rPr>
          <w:rFonts w:cs="Times New Roman"/>
          <w:szCs w:val="22"/>
        </w:rPr>
        <w:t>were</w:t>
      </w:r>
      <w:r w:rsidRPr="00423676">
        <w:rPr>
          <w:rFonts w:cs="Times New Roman"/>
          <w:szCs w:val="22"/>
        </w:rPr>
        <w:t xml:space="preserve"> non-inflammatory</w:t>
      </w:r>
      <w:r w:rsidR="00182EA7">
        <w:rPr>
          <w:rFonts w:cs="Times New Roman"/>
          <w:szCs w:val="22"/>
        </w:rPr>
        <w:t>,</w:t>
      </w:r>
      <w:r w:rsidRPr="00423676">
        <w:rPr>
          <w:rFonts w:cs="Times New Roman"/>
          <w:szCs w:val="22"/>
        </w:rPr>
        <w:t xml:space="preserve"> </w:t>
      </w:r>
      <w:r w:rsidR="003B7EF5">
        <w:rPr>
          <w:rFonts w:cs="Times New Roman"/>
          <w:szCs w:val="22"/>
        </w:rPr>
        <w:t xml:space="preserve">this </w:t>
      </w:r>
      <w:r w:rsidR="00E23642">
        <w:rPr>
          <w:rFonts w:cs="Times New Roman"/>
          <w:szCs w:val="22"/>
        </w:rPr>
        <w:t xml:space="preserve">would </w:t>
      </w:r>
      <w:r w:rsidR="003B7EF5">
        <w:rPr>
          <w:rFonts w:cs="Times New Roman"/>
          <w:szCs w:val="22"/>
        </w:rPr>
        <w:t>explain why</w:t>
      </w:r>
      <w:r w:rsidR="00D563AB" w:rsidRPr="00423676">
        <w:rPr>
          <w:rFonts w:cs="Times New Roman"/>
          <w:szCs w:val="22"/>
        </w:rPr>
        <w:t xml:space="preserve"> </w:t>
      </w:r>
      <w:r w:rsidRPr="00423676">
        <w:rPr>
          <w:rFonts w:cs="Times New Roman"/>
          <w:szCs w:val="22"/>
        </w:rPr>
        <w:t xml:space="preserve">local and systemic reactogenicity </w:t>
      </w:r>
      <w:r w:rsidR="00123FDA">
        <w:rPr>
          <w:rFonts w:cs="Times New Roman"/>
          <w:szCs w:val="22"/>
        </w:rPr>
        <w:t>were</w:t>
      </w:r>
      <w:r w:rsidRPr="00423676">
        <w:rPr>
          <w:rFonts w:cs="Times New Roman"/>
          <w:szCs w:val="22"/>
        </w:rPr>
        <w:t xml:space="preserve"> </w:t>
      </w:r>
      <w:r w:rsidR="00D563AB" w:rsidRPr="00423676">
        <w:rPr>
          <w:rFonts w:cs="Times New Roman"/>
          <w:szCs w:val="22"/>
        </w:rPr>
        <w:t>conflated with</w:t>
      </w:r>
      <w:r w:rsidRPr="00423676">
        <w:rPr>
          <w:rFonts w:cs="Times New Roman"/>
          <w:szCs w:val="22"/>
        </w:rPr>
        <w:t xml:space="preserve"> </w:t>
      </w:r>
      <w:r w:rsidR="002731AE" w:rsidRPr="00423676">
        <w:rPr>
          <w:rFonts w:cs="Times New Roman"/>
          <w:szCs w:val="22"/>
        </w:rPr>
        <w:t xml:space="preserve">robust </w:t>
      </w:r>
      <w:r w:rsidR="00D563AB" w:rsidRPr="00423676">
        <w:rPr>
          <w:rFonts w:cs="Times New Roman"/>
          <w:szCs w:val="22"/>
        </w:rPr>
        <w:t>immune response</w:t>
      </w:r>
      <w:r w:rsidR="00123FDA">
        <w:rPr>
          <w:rFonts w:cs="Times New Roman"/>
          <w:szCs w:val="22"/>
        </w:rPr>
        <w:t xml:space="preserve">s generated by the </w:t>
      </w:r>
      <w:r w:rsidR="00C72362">
        <w:rPr>
          <w:rFonts w:cs="Times New Roman"/>
          <w:szCs w:val="22"/>
        </w:rPr>
        <w:t xml:space="preserve">mRNA </w:t>
      </w:r>
      <w:r w:rsidR="00123FDA">
        <w:rPr>
          <w:rFonts w:cs="Times New Roman"/>
          <w:szCs w:val="22"/>
        </w:rPr>
        <w:t>vaccines</w:t>
      </w:r>
      <w:r w:rsidR="00D909F1">
        <w:rPr>
          <w:rFonts w:cs="Times New Roman"/>
          <w:szCs w:val="22"/>
        </w:rPr>
        <w:t xml:space="preserve"> in commentaries (in general)</w:t>
      </w:r>
      <w:r w:rsidR="00123FDA">
        <w:rPr>
          <w:rFonts w:cs="Times New Roman"/>
          <w:szCs w:val="22"/>
        </w:rPr>
        <w:t xml:space="preserve">. </w:t>
      </w:r>
      <w:r w:rsidR="00E23642">
        <w:t>T</w:t>
      </w:r>
      <w:r w:rsidR="003B7EF5">
        <w:rPr>
          <w:rFonts w:cs="Times New Roman"/>
          <w:szCs w:val="22"/>
        </w:rPr>
        <w:t xml:space="preserve">his </w:t>
      </w:r>
      <w:r w:rsidR="003B7EF5" w:rsidRPr="00423676">
        <w:rPr>
          <w:rFonts w:cs="Times New Roman"/>
          <w:szCs w:val="22"/>
        </w:rPr>
        <w:lastRenderedPageBreak/>
        <w:t>reactogenicity</w:t>
      </w:r>
      <w:r w:rsidR="003B7EF5">
        <w:rPr>
          <w:rFonts w:cs="Times New Roman"/>
          <w:szCs w:val="22"/>
        </w:rPr>
        <w:t xml:space="preserve"> </w:t>
      </w:r>
      <w:r w:rsidR="00123FDA">
        <w:rPr>
          <w:rFonts w:cs="Times New Roman"/>
          <w:szCs w:val="22"/>
        </w:rPr>
        <w:t xml:space="preserve">could </w:t>
      </w:r>
      <w:r w:rsidR="00E23642">
        <w:rPr>
          <w:rFonts w:cs="Times New Roman"/>
          <w:szCs w:val="22"/>
        </w:rPr>
        <w:t>represent</w:t>
      </w:r>
      <w:r w:rsidR="00E45C4D">
        <w:rPr>
          <w:rFonts w:cs="Times New Roman"/>
          <w:szCs w:val="22"/>
        </w:rPr>
        <w:t xml:space="preserve"> </w:t>
      </w:r>
      <w:r w:rsidR="00E23642">
        <w:t xml:space="preserve">a </w:t>
      </w:r>
      <w:r w:rsidR="00182EA7">
        <w:t>strong</w:t>
      </w:r>
      <w:r w:rsidR="00E23642" w:rsidRPr="00E23642">
        <w:t xml:space="preserve"> innate inflammat</w:t>
      </w:r>
      <w:r w:rsidR="00E23642">
        <w:t>ory response</w:t>
      </w:r>
      <w:r w:rsidR="00E23642" w:rsidRPr="00E23642">
        <w:t xml:space="preserve"> induced by the </w:t>
      </w:r>
      <w:r w:rsidR="007278DC">
        <w:rPr>
          <w:rFonts w:cs="Times New Roman"/>
          <w:szCs w:val="22"/>
        </w:rPr>
        <w:t>LNP formulation</w:t>
      </w:r>
      <w:r w:rsidR="00123FDA">
        <w:rPr>
          <w:rFonts w:cs="Times New Roman"/>
          <w:szCs w:val="22"/>
        </w:rPr>
        <w:t xml:space="preserve"> chemicals</w:t>
      </w:r>
      <w:r w:rsidR="00E23642">
        <w:rPr>
          <w:rFonts w:cs="Times New Roman"/>
          <w:szCs w:val="22"/>
        </w:rPr>
        <w:t xml:space="preserve"> (i.e., </w:t>
      </w:r>
      <w:r w:rsidR="00E23642" w:rsidRPr="00E23642">
        <w:rPr>
          <w:rFonts w:cs="Times New Roman"/>
          <w:szCs w:val="22"/>
        </w:rPr>
        <w:t>inflammatory cytokines and chemokines</w:t>
      </w:r>
      <w:r w:rsidR="00E23642">
        <w:rPr>
          <w:rFonts w:cs="Times New Roman"/>
          <w:szCs w:val="22"/>
        </w:rPr>
        <w:t>, including thousands of upregulated genes)</w:t>
      </w:r>
      <w:r w:rsidRPr="00423676">
        <w:rPr>
          <w:rFonts w:cs="Times New Roman"/>
          <w:szCs w:val="22"/>
        </w:rPr>
        <w:t>.</w:t>
      </w:r>
      <w:r w:rsidRPr="00423676">
        <w:rPr>
          <w:vertAlign w:val="superscript"/>
        </w:rPr>
        <w:endnoteReference w:id="181"/>
      </w:r>
      <w:r w:rsidRPr="00423676">
        <w:rPr>
          <w:rFonts w:cs="Times New Roman"/>
          <w:szCs w:val="22"/>
        </w:rPr>
        <w:t xml:space="preserve"> </w:t>
      </w:r>
      <w:r w:rsidR="00E23642" w:rsidRPr="00423676">
        <w:rPr>
          <w:rFonts w:cs="Times New Roman"/>
          <w:szCs w:val="22"/>
        </w:rPr>
        <w:t xml:space="preserve">The pre-COVID-19 literature </w:t>
      </w:r>
      <w:r w:rsidR="00E23642">
        <w:rPr>
          <w:rFonts w:cs="Times New Roman"/>
          <w:szCs w:val="22"/>
        </w:rPr>
        <w:t xml:space="preserve">also </w:t>
      </w:r>
      <w:r w:rsidR="00E23642" w:rsidRPr="00423676">
        <w:rPr>
          <w:rFonts w:cs="Times New Roman"/>
          <w:szCs w:val="22"/>
        </w:rPr>
        <w:t xml:space="preserve">detailed the proinflammatory nature of mRNA-LNPs, which was predominantly associated with the LNP formulation used to encase the mRNA. This </w:t>
      </w:r>
      <w:r w:rsidR="00E23642">
        <w:rPr>
          <w:rFonts w:cs="Times New Roman"/>
          <w:szCs w:val="22"/>
        </w:rPr>
        <w:t>pro-inflammatory</w:t>
      </w:r>
      <w:r w:rsidR="00E23642" w:rsidRPr="00423676">
        <w:rPr>
          <w:rFonts w:cs="Times New Roman"/>
          <w:szCs w:val="22"/>
        </w:rPr>
        <w:t xml:space="preserve"> </w:t>
      </w:r>
      <w:r w:rsidR="00E23642">
        <w:rPr>
          <w:rFonts w:cs="Times New Roman"/>
          <w:szCs w:val="22"/>
        </w:rPr>
        <w:t>feature</w:t>
      </w:r>
      <w:r w:rsidR="00E23642" w:rsidRPr="00423676">
        <w:rPr>
          <w:rFonts w:cs="Times New Roman"/>
          <w:szCs w:val="22"/>
        </w:rPr>
        <w:t xml:space="preserve"> was consistent across multiple species of animals</w:t>
      </w:r>
      <w:r w:rsidR="00E23642">
        <w:rPr>
          <w:rFonts w:cs="Times New Roman"/>
          <w:szCs w:val="22"/>
        </w:rPr>
        <w:t>, while c</w:t>
      </w:r>
      <w:r w:rsidR="00E23642" w:rsidRPr="00423676">
        <w:rPr>
          <w:rFonts w:cs="Times New Roman"/>
          <w:szCs w:val="22"/>
        </w:rPr>
        <w:t>hronic dosing with mRNA-LNPs produced toxic side effects, including liver damage.</w:t>
      </w:r>
      <w:r w:rsidR="00E23642" w:rsidRPr="00423676">
        <w:rPr>
          <w:rStyle w:val="EndnoteReference"/>
          <w:rFonts w:cs="Times New Roman"/>
          <w:szCs w:val="22"/>
        </w:rPr>
        <w:endnoteReference w:id="182"/>
      </w:r>
      <w:r w:rsidR="00E23642" w:rsidRPr="00423676">
        <w:rPr>
          <w:rFonts w:cs="Times New Roman"/>
          <w:szCs w:val="22"/>
          <w:vertAlign w:val="superscript"/>
        </w:rPr>
        <w:t>,</w:t>
      </w:r>
      <w:r w:rsidR="00E23642" w:rsidRPr="00423676">
        <w:rPr>
          <w:rStyle w:val="EndnoteReference"/>
          <w:rFonts w:cs="Times New Roman"/>
          <w:szCs w:val="22"/>
        </w:rPr>
        <w:endnoteReference w:id="183"/>
      </w:r>
      <w:r w:rsidRPr="00123FDA">
        <w:rPr>
          <w:rFonts w:cs="Times New Roman"/>
          <w:color w:val="0432FF"/>
          <w:szCs w:val="22"/>
        </w:rPr>
        <w:t xml:space="preserve"> </w:t>
      </w:r>
    </w:p>
    <w:p w14:paraId="7989B3D2" w14:textId="0FF4D3FA" w:rsidR="00E23642" w:rsidRDefault="00E23642" w:rsidP="009501D4">
      <w:pPr>
        <w:rPr>
          <w:rStyle w:val="EndnoteReference"/>
          <w:rFonts w:cs="Times New Roman"/>
          <w:szCs w:val="22"/>
        </w:rPr>
      </w:pPr>
      <w:r>
        <w:rPr>
          <w:szCs w:val="22"/>
        </w:rPr>
        <w:t xml:space="preserve">The </w:t>
      </w:r>
      <w:r w:rsidR="00C07A8F" w:rsidRPr="00481052">
        <w:rPr>
          <w:szCs w:val="22"/>
        </w:rPr>
        <w:t>Comirnaty</w:t>
      </w:r>
      <w:r w:rsidR="00423676" w:rsidRPr="00481052">
        <w:rPr>
          <w:szCs w:val="22"/>
        </w:rPr>
        <w:t xml:space="preserve"> SDS specifies allergic reactions, including anaphylaxis, </w:t>
      </w:r>
      <w:r>
        <w:rPr>
          <w:szCs w:val="22"/>
        </w:rPr>
        <w:t xml:space="preserve">that </w:t>
      </w:r>
      <w:r w:rsidR="00423676" w:rsidRPr="00481052">
        <w:rPr>
          <w:szCs w:val="22"/>
        </w:rPr>
        <w:t xml:space="preserve">may occur </w:t>
      </w:r>
      <w:r w:rsidR="00182EA7">
        <w:rPr>
          <w:szCs w:val="22"/>
        </w:rPr>
        <w:t>with</w:t>
      </w:r>
      <w:r w:rsidR="00423676" w:rsidRPr="00481052">
        <w:rPr>
          <w:szCs w:val="22"/>
        </w:rPr>
        <w:t xml:space="preserve"> accidental injection. </w:t>
      </w:r>
      <w:r>
        <w:rPr>
          <w:szCs w:val="22"/>
        </w:rPr>
        <w:t>T</w:t>
      </w:r>
      <w:r w:rsidR="00423676" w:rsidRPr="00481052">
        <w:rPr>
          <w:szCs w:val="22"/>
        </w:rPr>
        <w:t>h</w:t>
      </w:r>
      <w:r>
        <w:rPr>
          <w:szCs w:val="22"/>
        </w:rPr>
        <w:t xml:space="preserve">is </w:t>
      </w:r>
      <w:r w:rsidR="00C828F2">
        <w:rPr>
          <w:szCs w:val="22"/>
        </w:rPr>
        <w:t>is</w:t>
      </w:r>
      <w:r>
        <w:rPr>
          <w:szCs w:val="22"/>
        </w:rPr>
        <w:t xml:space="preserve"> because the</w:t>
      </w:r>
      <w:r w:rsidR="00423676" w:rsidRPr="00481052">
        <w:rPr>
          <w:szCs w:val="22"/>
        </w:rPr>
        <w:t xml:space="preserve"> PEG-lipid (ALC-0159) </w:t>
      </w:r>
      <w:r w:rsidR="00182EA7">
        <w:rPr>
          <w:szCs w:val="22"/>
        </w:rPr>
        <w:t>essentially</w:t>
      </w:r>
      <w:r w:rsidR="00423676" w:rsidRPr="00481052">
        <w:rPr>
          <w:szCs w:val="22"/>
        </w:rPr>
        <w:t xml:space="preserve"> exchanges out of the lipid nanoparticles before cell</w:t>
      </w:r>
      <w:r w:rsidR="007278DC">
        <w:rPr>
          <w:szCs w:val="22"/>
        </w:rPr>
        <w:t>ular</w:t>
      </w:r>
      <w:r w:rsidR="00423676" w:rsidRPr="00481052">
        <w:rPr>
          <w:szCs w:val="22"/>
        </w:rPr>
        <w:t xml:space="preserve"> uptake (pg.53),</w:t>
      </w:r>
      <w:r w:rsidR="00423676" w:rsidRPr="00481052">
        <w:rPr>
          <w:rStyle w:val="EndnoteReference"/>
          <w:szCs w:val="22"/>
        </w:rPr>
        <w:endnoteReference w:id="184"/>
      </w:r>
      <w:r w:rsidR="00423676" w:rsidRPr="00481052">
        <w:rPr>
          <w:szCs w:val="22"/>
        </w:rPr>
        <w:t xml:space="preserve"> making this PEG-lipid more bioavailable</w:t>
      </w:r>
      <w:r>
        <w:rPr>
          <w:szCs w:val="22"/>
        </w:rPr>
        <w:t xml:space="preserve">. This enhanced bioavailability </w:t>
      </w:r>
      <w:r w:rsidR="00423676" w:rsidRPr="00481052">
        <w:rPr>
          <w:szCs w:val="22"/>
        </w:rPr>
        <w:t xml:space="preserve">could be implicated in the </w:t>
      </w:r>
      <w:r w:rsidR="00FA347F">
        <w:rPr>
          <w:szCs w:val="22"/>
        </w:rPr>
        <w:t xml:space="preserve">so-called </w:t>
      </w:r>
      <w:r>
        <w:rPr>
          <w:szCs w:val="22"/>
        </w:rPr>
        <w:t xml:space="preserve">COVID-19 mRNA gene-therapy-vaccine </w:t>
      </w:r>
      <w:r w:rsidR="00423676" w:rsidRPr="00481052">
        <w:rPr>
          <w:szCs w:val="22"/>
        </w:rPr>
        <w:t>anaphylaxis problem</w:t>
      </w:r>
      <w:r>
        <w:rPr>
          <w:szCs w:val="22"/>
        </w:rPr>
        <w:t xml:space="preserve"> seen with COVID-19 gene-therapy-vaccines,</w:t>
      </w:r>
      <w:r w:rsidRPr="00E23642">
        <w:rPr>
          <w:rStyle w:val="EndnoteReference"/>
          <w:rFonts w:cs="Times New Roman"/>
          <w:szCs w:val="22"/>
        </w:rPr>
        <w:endnoteReference w:id="185"/>
      </w:r>
      <w:r w:rsidRPr="00E23642">
        <w:rPr>
          <w:szCs w:val="22"/>
          <w:vertAlign w:val="superscript"/>
        </w:rPr>
        <w:t>,</w:t>
      </w:r>
      <w:r w:rsidRPr="00E23642">
        <w:rPr>
          <w:rStyle w:val="EndnoteReference"/>
          <w:szCs w:val="22"/>
        </w:rPr>
        <w:endnoteReference w:id="186"/>
      </w:r>
      <w:r w:rsidRPr="00E23642">
        <w:rPr>
          <w:szCs w:val="22"/>
          <w:vertAlign w:val="superscript"/>
        </w:rPr>
        <w:t>,</w:t>
      </w:r>
      <w:r w:rsidRPr="00E23642">
        <w:rPr>
          <w:rStyle w:val="EndnoteReference"/>
          <w:rFonts w:cs="Times New Roman"/>
          <w:szCs w:val="22"/>
        </w:rPr>
        <w:endnoteReference w:id="187"/>
      </w:r>
      <w:r w:rsidRPr="00E23642">
        <w:rPr>
          <w:szCs w:val="22"/>
          <w:vertAlign w:val="superscript"/>
        </w:rPr>
        <w:t>,</w:t>
      </w:r>
      <w:r w:rsidRPr="00E23642">
        <w:rPr>
          <w:rStyle w:val="EndnoteReference"/>
          <w:szCs w:val="22"/>
        </w:rPr>
        <w:endnoteReference w:id="188"/>
      </w:r>
      <w:r w:rsidRPr="00E23642">
        <w:rPr>
          <w:szCs w:val="22"/>
          <w:vertAlign w:val="superscript"/>
        </w:rPr>
        <w:t>,</w:t>
      </w:r>
      <w:r w:rsidRPr="00E23642">
        <w:rPr>
          <w:rStyle w:val="EndnoteReference"/>
          <w:szCs w:val="22"/>
        </w:rPr>
        <w:endnoteReference w:id="189"/>
      </w:r>
      <w:r>
        <w:rPr>
          <w:szCs w:val="22"/>
        </w:rPr>
        <w:t xml:space="preserve"> including Comirnaty.</w:t>
      </w:r>
      <w:r w:rsidRPr="00AA10AB">
        <w:rPr>
          <w:rStyle w:val="EndnoteReference"/>
          <w:rFonts w:cs="Times New Roman"/>
          <w:szCs w:val="22"/>
        </w:rPr>
        <w:endnoteReference w:id="190"/>
      </w:r>
      <w:r w:rsidRPr="00AA10AB">
        <w:rPr>
          <w:rFonts w:cs="Times New Roman"/>
          <w:szCs w:val="22"/>
          <w:vertAlign w:val="superscript"/>
        </w:rPr>
        <w:t>,</w:t>
      </w:r>
      <w:r w:rsidRPr="00AA10AB">
        <w:rPr>
          <w:rStyle w:val="EndnoteReference"/>
          <w:rFonts w:cs="Times New Roman"/>
          <w:szCs w:val="22"/>
        </w:rPr>
        <w:endnoteReference w:id="191"/>
      </w:r>
      <w:r>
        <w:rPr>
          <w:rFonts w:cs="Times New Roman"/>
          <w:szCs w:val="22"/>
          <w:vertAlign w:val="superscript"/>
        </w:rPr>
        <w:t>,</w:t>
      </w:r>
      <w:r w:rsidRPr="00481052">
        <w:rPr>
          <w:rStyle w:val="EndnoteReference"/>
          <w:szCs w:val="22"/>
        </w:rPr>
        <w:endnoteReference w:id="192"/>
      </w:r>
      <w:r>
        <w:rPr>
          <w:szCs w:val="22"/>
        </w:rPr>
        <w:t xml:space="preserve"> </w:t>
      </w:r>
      <w:r w:rsidR="00E51EE0" w:rsidRPr="00481052">
        <w:rPr>
          <w:szCs w:val="22"/>
        </w:rPr>
        <w:t>C</w:t>
      </w:r>
      <w:r w:rsidR="00423676" w:rsidRPr="00481052">
        <w:rPr>
          <w:rFonts w:cs="Times New Roman"/>
          <w:szCs w:val="22"/>
        </w:rPr>
        <w:t xml:space="preserve">hronic dosing </w:t>
      </w:r>
      <w:r w:rsidR="002F02DE" w:rsidRPr="00481052">
        <w:rPr>
          <w:rFonts w:cs="Times New Roman"/>
          <w:szCs w:val="22"/>
        </w:rPr>
        <w:t xml:space="preserve">studies </w:t>
      </w:r>
      <w:r w:rsidR="00423676" w:rsidRPr="00481052">
        <w:rPr>
          <w:rFonts w:cs="Times New Roman"/>
          <w:szCs w:val="22"/>
        </w:rPr>
        <w:t xml:space="preserve">with mRNA-LNPs </w:t>
      </w:r>
      <w:r w:rsidR="004E1ABA" w:rsidRPr="00481052">
        <w:rPr>
          <w:rFonts w:cs="Times New Roman"/>
          <w:szCs w:val="22"/>
        </w:rPr>
        <w:t>describe anaphylaxis as</w:t>
      </w:r>
      <w:r w:rsidR="00423676" w:rsidRPr="00481052">
        <w:rPr>
          <w:rFonts w:cs="Times New Roman"/>
          <w:szCs w:val="22"/>
        </w:rPr>
        <w:t xml:space="preserve"> complement activation-related</w:t>
      </w:r>
      <w:r w:rsidR="004E1ABA" w:rsidRPr="00481052">
        <w:rPr>
          <w:rFonts w:cs="Times New Roman"/>
          <w:szCs w:val="22"/>
        </w:rPr>
        <w:t xml:space="preserve"> </w:t>
      </w:r>
      <w:r w:rsidR="00423676" w:rsidRPr="00481052">
        <w:rPr>
          <w:rFonts w:cs="Times New Roman"/>
          <w:szCs w:val="22"/>
        </w:rPr>
        <w:t xml:space="preserve">pseudo-allergy (CARPA), which is a potentially lethal </w:t>
      </w:r>
      <w:r w:rsidR="009501D4" w:rsidRPr="00481052">
        <w:rPr>
          <w:rFonts w:cs="Times New Roman"/>
          <w:szCs w:val="22"/>
        </w:rPr>
        <w:t>anaphylatoxin/mast-cell</w:t>
      </w:r>
      <w:r w:rsidR="009501D4">
        <w:rPr>
          <w:rFonts w:cs="Times New Roman"/>
          <w:szCs w:val="22"/>
        </w:rPr>
        <w:t xml:space="preserve"> mediated </w:t>
      </w:r>
      <w:r w:rsidR="009501D4" w:rsidRPr="00481052">
        <w:rPr>
          <w:rFonts w:cs="Times New Roman"/>
          <w:szCs w:val="22"/>
        </w:rPr>
        <w:t>systemic-circulatory</w:t>
      </w:r>
      <w:r w:rsidR="009501D4">
        <w:rPr>
          <w:rFonts w:cs="Times New Roman"/>
          <w:szCs w:val="22"/>
        </w:rPr>
        <w:t>-</w:t>
      </w:r>
      <w:r w:rsidR="009501D4" w:rsidRPr="00481052">
        <w:rPr>
          <w:rFonts w:cs="Times New Roman"/>
          <w:szCs w:val="22"/>
        </w:rPr>
        <w:t>stress</w:t>
      </w:r>
      <w:r w:rsidR="00423676" w:rsidRPr="00481052">
        <w:rPr>
          <w:rFonts w:cs="Times New Roman"/>
          <w:szCs w:val="22"/>
        </w:rPr>
        <w:t xml:space="preserve"> response</w:t>
      </w:r>
      <w:r w:rsidR="004E1ABA" w:rsidRPr="00481052">
        <w:rPr>
          <w:rFonts w:cs="Times New Roman"/>
          <w:szCs w:val="22"/>
        </w:rPr>
        <w:t xml:space="preserve"> to chemical toxicity</w:t>
      </w:r>
      <w:r>
        <w:rPr>
          <w:rFonts w:cs="Times New Roman"/>
          <w:szCs w:val="22"/>
        </w:rPr>
        <w:t xml:space="preserve"> (i.e., polyethylene glycol, PEG)</w:t>
      </w:r>
      <w:r w:rsidR="00423676" w:rsidRPr="00481052">
        <w:rPr>
          <w:rFonts w:cs="Times New Roman"/>
          <w:szCs w:val="22"/>
        </w:rPr>
        <w:t>.</w:t>
      </w:r>
      <w:r w:rsidR="00423676" w:rsidRPr="00E23642">
        <w:rPr>
          <w:rStyle w:val="EndnoteReference"/>
          <w:rFonts w:cs="Times New Roman"/>
          <w:szCs w:val="22"/>
        </w:rPr>
        <w:endnoteReference w:id="193"/>
      </w:r>
      <w:r w:rsidRPr="00E23642">
        <w:rPr>
          <w:rFonts w:cs="Times New Roman"/>
          <w:szCs w:val="22"/>
          <w:vertAlign w:val="superscript"/>
        </w:rPr>
        <w:t>,</w:t>
      </w:r>
      <w:r w:rsidRPr="00E23642">
        <w:rPr>
          <w:rStyle w:val="EndnoteReference"/>
          <w:rFonts w:cs="Times New Roman"/>
          <w:szCs w:val="22"/>
        </w:rPr>
        <w:endnoteReference w:id="194"/>
      </w:r>
    </w:p>
    <w:p w14:paraId="0F5F854C" w14:textId="5240F16E" w:rsidR="009501D4" w:rsidRDefault="00E23642" w:rsidP="009501D4">
      <w:r>
        <w:t>Thus</w:t>
      </w:r>
      <w:r w:rsidR="009501D4">
        <w:t xml:space="preserve">, with drug </w:t>
      </w:r>
      <w:r w:rsidR="009501D4" w:rsidRPr="00123FDA">
        <w:rPr>
          <w:b/>
          <w:bCs w:val="0"/>
        </w:rPr>
        <w:t>regulators failing to demand</w:t>
      </w:r>
      <w:r w:rsidR="009501D4">
        <w:t xml:space="preserve"> toxicology data for Comirnaty’s LNP formulation </w:t>
      </w:r>
      <w:r>
        <w:t>chemicals</w:t>
      </w:r>
      <w:r w:rsidR="009501D4">
        <w:t xml:space="preserve"> before EUA</w:t>
      </w:r>
      <w:r>
        <w:t xml:space="preserve"> (section 1.4), including</w:t>
      </w:r>
      <w:r w:rsidR="009501D4">
        <w:t xml:space="preserve"> </w:t>
      </w:r>
      <w:r>
        <w:t xml:space="preserve">inflammatory cytokines and chemokines, </w:t>
      </w:r>
      <w:r w:rsidR="009501D4">
        <w:t xml:space="preserve">the ability to identify the </w:t>
      </w:r>
      <w:r>
        <w:t xml:space="preserve">specific </w:t>
      </w:r>
      <w:r w:rsidR="009501D4">
        <w:t xml:space="preserve">cause </w:t>
      </w:r>
      <w:r w:rsidR="009501D4">
        <w:rPr>
          <w:rFonts w:cs="Times New Roman"/>
          <w:szCs w:val="22"/>
        </w:rPr>
        <w:t>of</w:t>
      </w:r>
      <w:r w:rsidR="009501D4" w:rsidRPr="00481052">
        <w:rPr>
          <w:rFonts w:cs="Times New Roman"/>
          <w:szCs w:val="22"/>
        </w:rPr>
        <w:t xml:space="preserve"> the </w:t>
      </w:r>
      <w:r w:rsidR="009501D4" w:rsidRPr="002A1C71">
        <w:rPr>
          <w:rFonts w:cs="Times New Roman"/>
          <w:szCs w:val="22"/>
        </w:rPr>
        <w:t xml:space="preserve">local and systemic reactogenicity </w:t>
      </w:r>
      <w:r>
        <w:rPr>
          <w:rFonts w:cs="Times New Roman"/>
          <w:szCs w:val="22"/>
        </w:rPr>
        <w:t xml:space="preserve">and </w:t>
      </w:r>
      <w:r w:rsidRPr="00481052">
        <w:rPr>
          <w:rFonts w:cs="Times New Roman"/>
          <w:szCs w:val="22"/>
        </w:rPr>
        <w:t>anaphylaxis/CARPA</w:t>
      </w:r>
      <w:r>
        <w:rPr>
          <w:rFonts w:cs="Times New Roman"/>
          <w:szCs w:val="22"/>
        </w:rPr>
        <w:t xml:space="preserve"> </w:t>
      </w:r>
      <w:r w:rsidR="00C72362">
        <w:rPr>
          <w:rFonts w:cs="Times New Roman"/>
          <w:szCs w:val="22"/>
        </w:rPr>
        <w:t xml:space="preserve">safety </w:t>
      </w:r>
      <w:r w:rsidR="009501D4" w:rsidRPr="00481052">
        <w:rPr>
          <w:rFonts w:cs="Times New Roman"/>
          <w:szCs w:val="22"/>
        </w:rPr>
        <w:t>problem</w:t>
      </w:r>
      <w:r w:rsidR="009501D4">
        <w:rPr>
          <w:rFonts w:cs="Times New Roman"/>
          <w:szCs w:val="22"/>
        </w:rPr>
        <w:t>s</w:t>
      </w:r>
      <w:r>
        <w:rPr>
          <w:rFonts w:cs="Times New Roman"/>
          <w:szCs w:val="22"/>
        </w:rPr>
        <w:t xml:space="preserve">, and </w:t>
      </w:r>
      <w:r w:rsidRPr="00423676">
        <w:rPr>
          <w:rFonts w:cs="Times New Roman"/>
          <w:szCs w:val="22"/>
        </w:rPr>
        <w:t xml:space="preserve">discern potent immune responses from pro-inflammatory augmented immune responses </w:t>
      </w:r>
      <w:r>
        <w:rPr>
          <w:rFonts w:cs="Times New Roman"/>
          <w:szCs w:val="22"/>
        </w:rPr>
        <w:t>were</w:t>
      </w:r>
      <w:r w:rsidRPr="00423676">
        <w:rPr>
          <w:rFonts w:cs="Times New Roman"/>
          <w:szCs w:val="22"/>
        </w:rPr>
        <w:t xml:space="preserve"> </w:t>
      </w:r>
      <w:r w:rsidRPr="003B7EF5">
        <w:rPr>
          <w:rFonts w:cs="Times New Roman"/>
          <w:b/>
          <w:bCs w:val="0"/>
          <w:iCs/>
          <w:szCs w:val="22"/>
        </w:rPr>
        <w:t>eliminated</w:t>
      </w:r>
      <w:r w:rsidRPr="00423676">
        <w:rPr>
          <w:rFonts w:cs="Times New Roman"/>
          <w:szCs w:val="22"/>
        </w:rPr>
        <w:t>.</w:t>
      </w:r>
    </w:p>
    <w:p w14:paraId="4C2DB483" w14:textId="0E4E6561" w:rsidR="00AA4E64" w:rsidRPr="00AA4E64" w:rsidRDefault="00F71581" w:rsidP="004C5C79">
      <w:pPr>
        <w:pStyle w:val="Heading3"/>
      </w:pPr>
      <w:bookmarkStart w:id="103" w:name="_Toc510678505"/>
      <w:bookmarkStart w:id="104" w:name="_Toc510880009"/>
      <w:bookmarkStart w:id="105" w:name="_Toc512275138"/>
      <w:bookmarkStart w:id="106" w:name="_Toc512360355"/>
      <w:bookmarkStart w:id="107" w:name="_Toc516645042"/>
      <w:bookmarkStart w:id="108" w:name="_Toc111368000"/>
      <w:bookmarkStart w:id="109" w:name="_Toc121035133"/>
      <w:r>
        <w:t>Vaccine-</w:t>
      </w:r>
      <w:r w:rsidR="00BB25DC">
        <w:t>Induced</w:t>
      </w:r>
      <w:r w:rsidR="003A6AAA">
        <w:t xml:space="preserve"> </w:t>
      </w:r>
      <w:r w:rsidR="00BD3E84">
        <w:t>Spike P</w:t>
      </w:r>
      <w:r w:rsidR="00BD3E84" w:rsidRPr="00AA4E64">
        <w:t xml:space="preserve">roteins </w:t>
      </w:r>
      <w:r w:rsidR="003A6AAA">
        <w:t>Drive</w:t>
      </w:r>
      <w:r w:rsidR="00BD3E84">
        <w:t xml:space="preserve"> </w:t>
      </w:r>
      <w:bookmarkEnd w:id="103"/>
      <w:bookmarkEnd w:id="104"/>
      <w:bookmarkEnd w:id="105"/>
      <w:bookmarkEnd w:id="106"/>
      <w:bookmarkEnd w:id="107"/>
      <w:bookmarkEnd w:id="108"/>
      <w:r w:rsidR="003A6AAA">
        <w:t xml:space="preserve">an Array of Pathogenesis Mechanisms </w:t>
      </w:r>
      <w:r w:rsidR="00100048">
        <w:t xml:space="preserve">that </w:t>
      </w:r>
      <w:r w:rsidR="00FD6BEA">
        <w:t xml:space="preserve">Trigger Pathologies and </w:t>
      </w:r>
      <w:r w:rsidR="003A6AAA">
        <w:t>Exacerbate Comorbidities</w:t>
      </w:r>
      <w:bookmarkEnd w:id="109"/>
    </w:p>
    <w:p w14:paraId="4FF03757" w14:textId="7C5448D0" w:rsidR="000C0448" w:rsidRDefault="00D909F1" w:rsidP="000C0448">
      <w:pPr>
        <w:rPr>
          <w:szCs w:val="22"/>
        </w:rPr>
      </w:pPr>
      <w:r>
        <w:rPr>
          <w:rFonts w:cs="Times New Roman"/>
          <w:szCs w:val="22"/>
        </w:rPr>
        <w:t xml:space="preserve">This section reviews </w:t>
      </w:r>
      <w:r>
        <w:rPr>
          <w:rFonts w:cs="Times New Roman"/>
          <w:b/>
          <w:bCs w:val="0"/>
          <w:szCs w:val="22"/>
        </w:rPr>
        <w:t>three</w:t>
      </w:r>
      <w:r w:rsidRPr="00C672F2">
        <w:rPr>
          <w:rFonts w:cs="Times New Roman"/>
          <w:b/>
          <w:bCs w:val="0"/>
          <w:szCs w:val="22"/>
        </w:rPr>
        <w:t xml:space="preserve"> broad </w:t>
      </w:r>
      <w:r>
        <w:rPr>
          <w:rFonts w:cs="Times New Roman"/>
          <w:b/>
          <w:bCs w:val="0"/>
          <w:szCs w:val="22"/>
        </w:rPr>
        <w:t xml:space="preserve">pathology </w:t>
      </w:r>
      <w:r w:rsidRPr="00C672F2">
        <w:rPr>
          <w:rFonts w:cs="Times New Roman"/>
          <w:b/>
          <w:bCs w:val="0"/>
          <w:szCs w:val="22"/>
        </w:rPr>
        <w:t>mechanisms</w:t>
      </w:r>
      <w:r>
        <w:rPr>
          <w:rFonts w:cs="Times New Roman"/>
          <w:szCs w:val="22"/>
        </w:rPr>
        <w:t xml:space="preserve"> by which SARS-CoV-2 and virus-free spike proteins can</w:t>
      </w:r>
      <w:r w:rsidRPr="004600EC">
        <w:rPr>
          <w:rFonts w:cs="Times New Roman"/>
          <w:szCs w:val="22"/>
        </w:rPr>
        <w:t xml:space="preserve"> </w:t>
      </w:r>
      <w:r>
        <w:rPr>
          <w:rFonts w:cs="Times New Roman"/>
          <w:szCs w:val="22"/>
        </w:rPr>
        <w:t xml:space="preserve">directly </w:t>
      </w:r>
      <w:r w:rsidRPr="004600EC">
        <w:rPr>
          <w:rFonts w:cs="Times New Roman"/>
          <w:szCs w:val="22"/>
        </w:rPr>
        <w:t>cause or exacerbate comorbid diseases</w:t>
      </w:r>
      <w:r>
        <w:rPr>
          <w:rFonts w:cs="Times New Roman"/>
          <w:szCs w:val="22"/>
        </w:rPr>
        <w:t>.</w:t>
      </w:r>
      <w:r w:rsidR="000C0448">
        <w:rPr>
          <w:rFonts w:cs="Times New Roman"/>
          <w:szCs w:val="22"/>
        </w:rPr>
        <w:t xml:space="preserve"> </w:t>
      </w:r>
      <w:r w:rsidR="000C0448" w:rsidRPr="000A1089">
        <w:t>Furin</w:t>
      </w:r>
      <w:r w:rsidR="000C0448">
        <w:t>, a cell surface protease</w:t>
      </w:r>
      <w:r w:rsidR="00DB4153">
        <w:t xml:space="preserve"> (i.e., enzyme protein scissors)</w:t>
      </w:r>
      <w:r w:rsidR="000C0448">
        <w:t xml:space="preserve">, is a common denominator linking </w:t>
      </w:r>
      <w:r w:rsidR="000C0448">
        <w:rPr>
          <w:szCs w:val="22"/>
        </w:rPr>
        <w:t xml:space="preserve">SARS-CoV-2 </w:t>
      </w:r>
      <w:r w:rsidR="000C0448">
        <w:t>spike protein binding</w:t>
      </w:r>
      <w:r w:rsidR="000C0448" w:rsidRPr="0012643F">
        <w:rPr>
          <w:szCs w:val="22"/>
        </w:rPr>
        <w:t xml:space="preserve"> </w:t>
      </w:r>
      <w:r w:rsidR="000C0448">
        <w:rPr>
          <w:szCs w:val="22"/>
        </w:rPr>
        <w:t xml:space="preserve">to the </w:t>
      </w:r>
      <w:r w:rsidR="000C0448" w:rsidRPr="00C274BC">
        <w:rPr>
          <w:szCs w:val="22"/>
        </w:rPr>
        <w:t>ACE2</w:t>
      </w:r>
      <w:r w:rsidR="000C0448">
        <w:rPr>
          <w:szCs w:val="22"/>
        </w:rPr>
        <w:t xml:space="preserve"> receptor (i.e., infectivity, pathogenicity),</w:t>
      </w:r>
      <w:r w:rsidR="000C0448" w:rsidRPr="0012643F">
        <w:rPr>
          <w:rStyle w:val="EndnoteReference"/>
          <w:szCs w:val="22"/>
        </w:rPr>
        <w:endnoteReference w:id="195"/>
      </w:r>
      <w:r w:rsidR="000C0448" w:rsidRPr="0012643F">
        <w:rPr>
          <w:szCs w:val="22"/>
          <w:vertAlign w:val="superscript"/>
        </w:rPr>
        <w:t>,</w:t>
      </w:r>
      <w:r w:rsidR="000C0448" w:rsidRPr="0012643F">
        <w:rPr>
          <w:rStyle w:val="EndnoteReference"/>
          <w:szCs w:val="22"/>
        </w:rPr>
        <w:endnoteReference w:id="196"/>
      </w:r>
      <w:r w:rsidR="000C0448" w:rsidRPr="0012643F">
        <w:rPr>
          <w:szCs w:val="22"/>
          <w:vertAlign w:val="superscript"/>
        </w:rPr>
        <w:t>,</w:t>
      </w:r>
      <w:r w:rsidR="000C0448" w:rsidRPr="0012643F">
        <w:rPr>
          <w:rStyle w:val="EndnoteReference"/>
          <w:szCs w:val="22"/>
        </w:rPr>
        <w:endnoteReference w:id="197"/>
      </w:r>
      <w:r w:rsidR="000C0448" w:rsidRPr="0012643F">
        <w:rPr>
          <w:szCs w:val="22"/>
          <w:vertAlign w:val="superscript"/>
        </w:rPr>
        <w:t>,</w:t>
      </w:r>
      <w:r w:rsidR="000C0448" w:rsidRPr="0012643F">
        <w:rPr>
          <w:rStyle w:val="EndnoteReference"/>
          <w:szCs w:val="22"/>
        </w:rPr>
        <w:endnoteReference w:id="198"/>
      </w:r>
      <w:r w:rsidR="000C0448">
        <w:rPr>
          <w:szCs w:val="22"/>
        </w:rPr>
        <w:t xml:space="preserve"> in </w:t>
      </w:r>
      <w:r w:rsidR="000C0448" w:rsidRPr="000A1089">
        <w:rPr>
          <w:b/>
          <w:bCs w:val="0"/>
          <w:szCs w:val="22"/>
        </w:rPr>
        <w:t>ACE2-rich tissues and organs</w:t>
      </w:r>
      <w:r w:rsidR="000C0448">
        <w:rPr>
          <w:szCs w:val="22"/>
        </w:rPr>
        <w:t xml:space="preserve">, which overlaps with </w:t>
      </w:r>
      <w:r w:rsidR="000C0448">
        <w:t xml:space="preserve">the most prevalent </w:t>
      </w:r>
      <w:r w:rsidR="000C0448" w:rsidRPr="000A1089">
        <w:rPr>
          <w:b/>
          <w:bCs w:val="0"/>
          <w:szCs w:val="22"/>
        </w:rPr>
        <w:t>comorbidities</w:t>
      </w:r>
      <w:r w:rsidR="000C0448" w:rsidRPr="00A47E55">
        <w:rPr>
          <w:szCs w:val="22"/>
        </w:rPr>
        <w:t xml:space="preserve"> </w:t>
      </w:r>
      <w:r w:rsidR="000C0448">
        <w:rPr>
          <w:szCs w:val="22"/>
        </w:rPr>
        <w:t>involving tissues and organs associated with</w:t>
      </w:r>
      <w:r w:rsidR="000C0448">
        <w:t xml:space="preserve"> </w:t>
      </w:r>
      <w:r w:rsidR="000C0448" w:rsidRPr="00A47E55">
        <w:rPr>
          <w:szCs w:val="22"/>
        </w:rPr>
        <w:t>severe COVID-19 outcomes</w:t>
      </w:r>
      <w:r w:rsidR="000C0448">
        <w:rPr>
          <w:szCs w:val="22"/>
        </w:rPr>
        <w:t>, in at-risk populations (i.e., elderly, males) (</w:t>
      </w:r>
      <w:r w:rsidR="00DB4153">
        <w:rPr>
          <w:szCs w:val="22"/>
        </w:rPr>
        <w:t>see</w:t>
      </w:r>
      <w:r w:rsidR="000C0448">
        <w:rPr>
          <w:szCs w:val="22"/>
        </w:rPr>
        <w:t xml:space="preserve"> below). </w:t>
      </w:r>
      <w:r w:rsidR="000C0448">
        <w:rPr>
          <w:rFonts w:cs="Times New Roman"/>
          <w:szCs w:val="22"/>
        </w:rPr>
        <w:t xml:space="preserve">These mechanisms </w:t>
      </w:r>
      <w:r w:rsidR="000C0448" w:rsidRPr="000A1089">
        <w:rPr>
          <w:rFonts w:cs="Times New Roman"/>
          <w:b/>
          <w:bCs w:val="0"/>
          <w:szCs w:val="22"/>
        </w:rPr>
        <w:t>place furin</w:t>
      </w:r>
      <w:r w:rsidR="000C0448">
        <w:rPr>
          <w:rFonts w:cs="Times New Roman"/>
          <w:szCs w:val="22"/>
        </w:rPr>
        <w:t xml:space="preserve">, common preexisting </w:t>
      </w:r>
      <w:r w:rsidR="000A1089">
        <w:rPr>
          <w:rFonts w:cs="Times New Roman"/>
          <w:szCs w:val="22"/>
        </w:rPr>
        <w:t xml:space="preserve">or </w:t>
      </w:r>
      <w:r w:rsidR="000A1089" w:rsidRPr="000A1089">
        <w:rPr>
          <w:rFonts w:cs="Times New Roman"/>
          <w:b/>
          <w:bCs w:val="0"/>
          <w:szCs w:val="22"/>
        </w:rPr>
        <w:t xml:space="preserve">comorbid </w:t>
      </w:r>
      <w:r w:rsidR="000C0448" w:rsidRPr="000A1089">
        <w:rPr>
          <w:rFonts w:cs="Times New Roman"/>
          <w:b/>
          <w:bCs w:val="0"/>
          <w:szCs w:val="22"/>
        </w:rPr>
        <w:t>diseases</w:t>
      </w:r>
      <w:r w:rsidR="000C0448">
        <w:rPr>
          <w:rFonts w:cs="Times New Roman"/>
          <w:szCs w:val="22"/>
        </w:rPr>
        <w:t xml:space="preserve"> in the elderly</w:t>
      </w:r>
      <w:r w:rsidR="000A1089">
        <w:rPr>
          <w:rFonts w:cs="Times New Roman"/>
          <w:szCs w:val="22"/>
        </w:rPr>
        <w:t xml:space="preserve"> </w:t>
      </w:r>
      <w:r w:rsidR="00182EA7">
        <w:rPr>
          <w:rFonts w:cs="Times New Roman"/>
          <w:szCs w:val="22"/>
        </w:rPr>
        <w:t>at risk</w:t>
      </w:r>
      <w:r w:rsidR="000C0448">
        <w:rPr>
          <w:rFonts w:cs="Times New Roman"/>
          <w:szCs w:val="22"/>
        </w:rPr>
        <w:t xml:space="preserve">, </w:t>
      </w:r>
      <w:r w:rsidR="000C0448" w:rsidRPr="00E34D4C">
        <w:rPr>
          <w:rFonts w:cs="Times New Roman"/>
          <w:szCs w:val="22"/>
        </w:rPr>
        <w:t xml:space="preserve">and SARS-CoV-2’s </w:t>
      </w:r>
      <w:r w:rsidR="00DB4153">
        <w:rPr>
          <w:rFonts w:cs="Times New Roman"/>
          <w:szCs w:val="22"/>
        </w:rPr>
        <w:t xml:space="preserve">uniquely encoded </w:t>
      </w:r>
      <w:r w:rsidR="000C0448" w:rsidRPr="000A1089">
        <w:rPr>
          <w:b/>
          <w:bCs w:val="0"/>
          <w:szCs w:val="22"/>
        </w:rPr>
        <w:t>furin cleavage site</w:t>
      </w:r>
      <w:r w:rsidR="000C0448">
        <w:rPr>
          <w:szCs w:val="22"/>
        </w:rPr>
        <w:t xml:space="preserve"> (FCS) </w:t>
      </w:r>
      <w:r w:rsidR="000C0448" w:rsidRPr="000A1089">
        <w:rPr>
          <w:rFonts w:cs="Times New Roman"/>
          <w:b/>
          <w:bCs w:val="0"/>
          <w:szCs w:val="22"/>
        </w:rPr>
        <w:t>center stage</w:t>
      </w:r>
      <w:r w:rsidR="00DB4153">
        <w:rPr>
          <w:rFonts w:cs="Times New Roman"/>
          <w:b/>
          <w:bCs w:val="0"/>
          <w:szCs w:val="22"/>
        </w:rPr>
        <w:t xml:space="preserve"> </w:t>
      </w:r>
      <w:r w:rsidR="00DB4153">
        <w:rPr>
          <w:rFonts w:cs="Times New Roman"/>
          <w:szCs w:val="22"/>
        </w:rPr>
        <w:t>(section 2, gain-of-function)</w:t>
      </w:r>
      <w:r w:rsidR="000C0448" w:rsidRPr="00E34D4C">
        <w:rPr>
          <w:rFonts w:cs="Times New Roman"/>
          <w:szCs w:val="22"/>
        </w:rPr>
        <w:t>.</w:t>
      </w:r>
      <w:r w:rsidR="000C0448" w:rsidRPr="000C0448">
        <w:rPr>
          <w:szCs w:val="22"/>
        </w:rPr>
        <w:t xml:space="preserve"> </w:t>
      </w:r>
      <w:r w:rsidR="00EB5698">
        <w:rPr>
          <w:szCs w:val="22"/>
        </w:rPr>
        <w:t>This</w:t>
      </w:r>
      <w:r w:rsidR="00EB5698" w:rsidRPr="00766B72">
        <w:rPr>
          <w:szCs w:val="22"/>
        </w:rPr>
        <w:t xml:space="preserve"> </w:t>
      </w:r>
      <w:r w:rsidR="00DB4153">
        <w:rPr>
          <w:szCs w:val="22"/>
        </w:rPr>
        <w:t xml:space="preserve">unique </w:t>
      </w:r>
      <w:r w:rsidR="00EB5698" w:rsidRPr="00766B72">
        <w:rPr>
          <w:szCs w:val="22"/>
        </w:rPr>
        <w:t xml:space="preserve">FCS is </w:t>
      </w:r>
      <w:r w:rsidR="00DD4755">
        <w:rPr>
          <w:szCs w:val="22"/>
        </w:rPr>
        <w:t xml:space="preserve">also </w:t>
      </w:r>
      <w:r w:rsidR="00EB5698" w:rsidRPr="00766B72">
        <w:rPr>
          <w:szCs w:val="22"/>
        </w:rPr>
        <w:t>part of SARS-CoV-2’s nuclear localization signal sequence</w:t>
      </w:r>
      <w:r w:rsidR="00EB5698">
        <w:rPr>
          <w:szCs w:val="22"/>
        </w:rPr>
        <w:t xml:space="preserve"> in what appears to be a 2-in-1 genetic insertion aimed at enhancing infectivity and pathogen</w:t>
      </w:r>
      <w:r w:rsidR="00796A0D">
        <w:rPr>
          <w:szCs w:val="22"/>
        </w:rPr>
        <w:t>icity</w:t>
      </w:r>
      <w:r w:rsidR="00EB5698">
        <w:rPr>
          <w:szCs w:val="22"/>
        </w:rPr>
        <w:t xml:space="preserve"> </w:t>
      </w:r>
      <w:r w:rsidR="00C16984">
        <w:rPr>
          <w:szCs w:val="22"/>
        </w:rPr>
        <w:t xml:space="preserve">in humans </w:t>
      </w:r>
      <w:r w:rsidR="00EB5698">
        <w:rPr>
          <w:szCs w:val="22"/>
        </w:rPr>
        <w:t>(section 2</w:t>
      </w:r>
      <w:r w:rsidR="00E279E6">
        <w:rPr>
          <w:szCs w:val="22"/>
        </w:rPr>
        <w:t>.2.1, gain-of-function).</w:t>
      </w:r>
    </w:p>
    <w:p w14:paraId="6DADA4D8" w14:textId="5D38BD59" w:rsidR="00D909F1" w:rsidRDefault="00EF405F" w:rsidP="00F71581">
      <w:pPr>
        <w:rPr>
          <w:rFonts w:cs="Times New Roman"/>
          <w:szCs w:val="22"/>
        </w:rPr>
      </w:pPr>
      <w:r w:rsidRPr="00EF405F">
        <w:rPr>
          <w:rFonts w:cs="Times New Roman"/>
          <w:b/>
          <w:bCs w:val="0"/>
          <w:szCs w:val="22"/>
          <w:u w:val="single"/>
        </w:rPr>
        <w:t>Virus-free spike proteins</w:t>
      </w:r>
      <w:r>
        <w:rPr>
          <w:rFonts w:cs="Times New Roman"/>
          <w:szCs w:val="22"/>
        </w:rPr>
        <w:t xml:space="preserve">: </w:t>
      </w:r>
      <w:r w:rsidR="00F71581" w:rsidRPr="00C93329">
        <w:rPr>
          <w:rFonts w:cs="Times New Roman"/>
          <w:szCs w:val="22"/>
        </w:rPr>
        <w:t xml:space="preserve">The </w:t>
      </w:r>
      <w:r w:rsidR="00F71581">
        <w:rPr>
          <w:rFonts w:cs="Times New Roman"/>
          <w:szCs w:val="22"/>
        </w:rPr>
        <w:t xml:space="preserve">vaccine </w:t>
      </w:r>
      <w:r w:rsidR="00F71581" w:rsidRPr="00C93329">
        <w:rPr>
          <w:rFonts w:cs="Times New Roman"/>
          <w:szCs w:val="22"/>
        </w:rPr>
        <w:t xml:space="preserve">mRNA-manufactured spike proteins peak in human plasma within </w:t>
      </w:r>
      <w:r w:rsidR="00182EA7">
        <w:rPr>
          <w:rFonts w:cs="Times New Roman"/>
          <w:szCs w:val="22"/>
        </w:rPr>
        <w:t xml:space="preserve">five </w:t>
      </w:r>
      <w:r w:rsidR="00F71581" w:rsidRPr="00C93329">
        <w:rPr>
          <w:rFonts w:cs="Times New Roman"/>
          <w:szCs w:val="22"/>
        </w:rPr>
        <w:t>days</w:t>
      </w:r>
      <w:r w:rsidR="00182EA7">
        <w:rPr>
          <w:rFonts w:cs="Times New Roman"/>
          <w:szCs w:val="22"/>
        </w:rPr>
        <w:t>, circulate</w:t>
      </w:r>
      <w:r w:rsidR="00F71581" w:rsidRPr="00C93329">
        <w:rPr>
          <w:rFonts w:cs="Times New Roman"/>
          <w:szCs w:val="22"/>
        </w:rPr>
        <w:t xml:space="preserve"> in the plasma for weeks</w:t>
      </w:r>
      <w:r w:rsidR="0008027E">
        <w:rPr>
          <w:rFonts w:cs="Times New Roman"/>
          <w:szCs w:val="22"/>
        </w:rPr>
        <w:t xml:space="preserve"> after the first vaccination</w:t>
      </w:r>
      <w:r w:rsidR="00F71581" w:rsidRPr="00C93329">
        <w:rPr>
          <w:rFonts w:cs="Times New Roman"/>
          <w:szCs w:val="22"/>
        </w:rPr>
        <w:t>,</w:t>
      </w:r>
      <w:r w:rsidR="00F71581" w:rsidRPr="00C93329">
        <w:rPr>
          <w:rStyle w:val="EndnoteReference"/>
          <w:rFonts w:cs="Times New Roman"/>
          <w:szCs w:val="22"/>
        </w:rPr>
        <w:endnoteReference w:id="199"/>
      </w:r>
      <w:r w:rsidR="00F71581" w:rsidRPr="00C93329">
        <w:t xml:space="preserve"> and are detectable in lymph nodes </w:t>
      </w:r>
      <w:r w:rsidR="00F71581" w:rsidRPr="00C93329">
        <w:lastRenderedPageBreak/>
        <w:t>two months after vaccination.</w:t>
      </w:r>
      <w:r w:rsidR="00F71581" w:rsidRPr="00C93329">
        <w:rPr>
          <w:rStyle w:val="EndnoteReference"/>
        </w:rPr>
        <w:endnoteReference w:id="200"/>
      </w:r>
      <w:r w:rsidR="00F71581" w:rsidRPr="00C93329">
        <w:t xml:space="preserve"> </w:t>
      </w:r>
      <w:r w:rsidR="00F71581" w:rsidRPr="00C93329">
        <w:rPr>
          <w:rFonts w:cs="Times New Roman"/>
          <w:szCs w:val="22"/>
        </w:rPr>
        <w:t>In addition, vaccine-delivered mRNA moves rapidly from the injection site throughout the body of animals, peaks within 6-48 hours</w:t>
      </w:r>
      <w:r w:rsidR="00F71581">
        <w:rPr>
          <w:rFonts w:cs="Times New Roman"/>
          <w:szCs w:val="22"/>
        </w:rPr>
        <w:t>,</w:t>
      </w:r>
      <w:r w:rsidR="00F71581" w:rsidRPr="00C93329">
        <w:rPr>
          <w:rFonts w:cs="Times New Roman"/>
          <w:szCs w:val="22"/>
        </w:rPr>
        <w:t xml:space="preserve"> and accumulates in </w:t>
      </w:r>
      <w:r w:rsidR="00BB25DC">
        <w:rPr>
          <w:rFonts w:cs="Times New Roman"/>
          <w:szCs w:val="22"/>
        </w:rPr>
        <w:t xml:space="preserve">the </w:t>
      </w:r>
      <w:r w:rsidR="00BB25DC" w:rsidRPr="00C93329">
        <w:rPr>
          <w:rFonts w:cs="Times New Roman"/>
          <w:szCs w:val="22"/>
        </w:rPr>
        <w:t>heart, lung</w:t>
      </w:r>
      <w:r w:rsidR="00BB25DC">
        <w:rPr>
          <w:rFonts w:cs="Times New Roman"/>
          <w:szCs w:val="22"/>
        </w:rPr>
        <w:t>s</w:t>
      </w:r>
      <w:r w:rsidR="00BB25DC" w:rsidRPr="00C93329">
        <w:rPr>
          <w:rFonts w:cs="Times New Roman"/>
          <w:szCs w:val="22"/>
        </w:rPr>
        <w:t xml:space="preserve">, brain, liver, </w:t>
      </w:r>
      <w:r w:rsidR="00F71581" w:rsidRPr="00C93329">
        <w:rPr>
          <w:rFonts w:cs="Times New Roman"/>
          <w:szCs w:val="22"/>
        </w:rPr>
        <w:t>lymph nodes, spleen, adrenal glands, gonads, among other tissues.</w:t>
      </w:r>
      <w:r w:rsidR="00F71581" w:rsidRPr="00C93329">
        <w:rPr>
          <w:rStyle w:val="EndnoteReference"/>
          <w:rFonts w:cs="Times New Roman"/>
          <w:szCs w:val="22"/>
        </w:rPr>
        <w:endnoteReference w:id="201"/>
      </w:r>
      <w:r w:rsidR="00F71581" w:rsidRPr="00C93329">
        <w:rPr>
          <w:rFonts w:cs="Times New Roman"/>
          <w:szCs w:val="22"/>
          <w:vertAlign w:val="superscript"/>
        </w:rPr>
        <w:t>,</w:t>
      </w:r>
      <w:r w:rsidR="00F71581" w:rsidRPr="00C93329">
        <w:rPr>
          <w:rStyle w:val="EndnoteReference"/>
          <w:rFonts w:cs="Times New Roman"/>
          <w:szCs w:val="22"/>
        </w:rPr>
        <w:endnoteReference w:id="202"/>
      </w:r>
      <w:r w:rsidR="00F71581" w:rsidRPr="00C93329">
        <w:rPr>
          <w:rFonts w:cs="Times New Roman"/>
          <w:szCs w:val="22"/>
          <w:vertAlign w:val="superscript"/>
        </w:rPr>
        <w:t>,</w:t>
      </w:r>
      <w:r w:rsidR="00F71581" w:rsidRPr="00C93329">
        <w:rPr>
          <w:rStyle w:val="EndnoteReference"/>
          <w:rFonts w:cs="Times New Roman"/>
          <w:szCs w:val="22"/>
        </w:rPr>
        <w:endnoteReference w:id="203"/>
      </w:r>
      <w:r w:rsidR="00F71581" w:rsidRPr="00C93329">
        <w:rPr>
          <w:rFonts w:cs="Times New Roman"/>
          <w:szCs w:val="22"/>
          <w:vertAlign w:val="superscript"/>
        </w:rPr>
        <w:t>,</w:t>
      </w:r>
      <w:r w:rsidR="00F71581" w:rsidRPr="00C93329">
        <w:rPr>
          <w:rStyle w:val="EndnoteReference"/>
          <w:rFonts w:cs="Times New Roman"/>
          <w:szCs w:val="22"/>
        </w:rPr>
        <w:endnoteReference w:id="204"/>
      </w:r>
      <w:r w:rsidR="00F71581" w:rsidRPr="00C93329">
        <w:rPr>
          <w:rFonts w:cs="Times New Roman"/>
          <w:szCs w:val="22"/>
        </w:rPr>
        <w:t xml:space="preserve"> </w:t>
      </w:r>
      <w:r w:rsidR="00182EA7">
        <w:rPr>
          <w:rFonts w:cs="Times New Roman"/>
          <w:szCs w:val="22"/>
        </w:rPr>
        <w:t>Therefore, v</w:t>
      </w:r>
      <w:r w:rsidR="00D909F1">
        <w:rPr>
          <w:rFonts w:cs="Times New Roman"/>
          <w:szCs w:val="22"/>
        </w:rPr>
        <w:t xml:space="preserve">irus-free spike proteins arise from mRNA transcription at the </w:t>
      </w:r>
      <w:r w:rsidR="00D909F1" w:rsidRPr="00D909F1">
        <w:rPr>
          <w:rFonts w:cs="Times New Roman"/>
          <w:b/>
          <w:bCs w:val="0"/>
          <w:szCs w:val="22"/>
        </w:rPr>
        <w:t>injection site</w:t>
      </w:r>
      <w:r w:rsidR="00D909F1">
        <w:rPr>
          <w:rFonts w:cs="Times New Roman"/>
          <w:szCs w:val="22"/>
        </w:rPr>
        <w:t xml:space="preserve"> and </w:t>
      </w:r>
      <w:r w:rsidR="00DD4755">
        <w:rPr>
          <w:rFonts w:cs="Times New Roman"/>
          <w:szCs w:val="22"/>
        </w:rPr>
        <w:t>putatively</w:t>
      </w:r>
      <w:r w:rsidR="00D909F1">
        <w:rPr>
          <w:rFonts w:cs="Times New Roman"/>
          <w:szCs w:val="22"/>
        </w:rPr>
        <w:t xml:space="preserve"> by </w:t>
      </w:r>
      <w:r w:rsidR="00D909F1" w:rsidRPr="00D909F1">
        <w:rPr>
          <w:rFonts w:cs="Times New Roman"/>
          <w:b/>
          <w:bCs w:val="0"/>
          <w:szCs w:val="22"/>
        </w:rPr>
        <w:t xml:space="preserve">tissues </w:t>
      </w:r>
      <w:r w:rsidR="00182EA7">
        <w:rPr>
          <w:rFonts w:cs="Times New Roman"/>
          <w:b/>
          <w:bCs w:val="0"/>
          <w:szCs w:val="22"/>
        </w:rPr>
        <w:t>up taking</w:t>
      </w:r>
      <w:r w:rsidR="00D909F1" w:rsidRPr="00D909F1">
        <w:rPr>
          <w:rFonts w:cs="Times New Roman"/>
          <w:b/>
          <w:bCs w:val="0"/>
          <w:szCs w:val="22"/>
        </w:rPr>
        <w:t xml:space="preserve"> the mRNA</w:t>
      </w:r>
      <w:r w:rsidR="00DD4755">
        <w:rPr>
          <w:rFonts w:cs="Times New Roman"/>
          <w:szCs w:val="22"/>
        </w:rPr>
        <w:t xml:space="preserve"> distant from the injection site</w:t>
      </w:r>
      <w:r w:rsidR="00D909F1">
        <w:rPr>
          <w:rFonts w:cs="Times New Roman"/>
          <w:szCs w:val="22"/>
        </w:rPr>
        <w:t>.</w:t>
      </w:r>
    </w:p>
    <w:p w14:paraId="28732056" w14:textId="617B1489" w:rsidR="0012643F" w:rsidRPr="000C0448" w:rsidRDefault="00D367D9" w:rsidP="00BB25DC">
      <w:pPr>
        <w:rPr>
          <w:szCs w:val="22"/>
        </w:rPr>
      </w:pPr>
      <w:r w:rsidRPr="00BB25DC">
        <w:rPr>
          <w:rFonts w:cs="Times New Roman"/>
          <w:b/>
          <w:bCs w:val="0"/>
          <w:szCs w:val="22"/>
          <w:u w:val="single"/>
        </w:rPr>
        <w:t xml:space="preserve">Mechanism 1: </w:t>
      </w:r>
      <w:r w:rsidR="000C0448">
        <w:rPr>
          <w:rFonts w:cs="Times New Roman"/>
          <w:b/>
          <w:bCs w:val="0"/>
          <w:szCs w:val="22"/>
          <w:u w:val="single"/>
        </w:rPr>
        <w:t>Virus-free</w:t>
      </w:r>
      <w:r w:rsidR="00BB25DC" w:rsidRPr="00BB25DC">
        <w:rPr>
          <w:rFonts w:cs="Times New Roman"/>
          <w:b/>
          <w:bCs w:val="0"/>
          <w:szCs w:val="22"/>
          <w:u w:val="single"/>
        </w:rPr>
        <w:t xml:space="preserve"> spike proteins</w:t>
      </w:r>
      <w:r w:rsidR="00BB25DC" w:rsidRPr="00BB25DC">
        <w:rPr>
          <w:rFonts w:cs="Times New Roman"/>
          <w:szCs w:val="22"/>
        </w:rPr>
        <w:t xml:space="preserve">. </w:t>
      </w:r>
      <w:r w:rsidRPr="00C274BC">
        <w:rPr>
          <w:szCs w:val="22"/>
        </w:rPr>
        <w:t>During SARS-CoV-1 and SARS-CoV-2 infections</w:t>
      </w:r>
      <w:r w:rsidR="00182EA7">
        <w:rPr>
          <w:szCs w:val="22"/>
        </w:rPr>
        <w:t>,</w:t>
      </w:r>
      <w:r w:rsidRPr="00C274BC">
        <w:rPr>
          <w:szCs w:val="22"/>
        </w:rPr>
        <w:t xml:space="preserve"> the spike protein receptor-binding domain (RBD) binds to the human </w:t>
      </w:r>
      <w:r w:rsidR="00B446BA" w:rsidRPr="00C274BC">
        <w:rPr>
          <w:szCs w:val="22"/>
        </w:rPr>
        <w:t>ACE2</w:t>
      </w:r>
      <w:r w:rsidRPr="00C274BC">
        <w:rPr>
          <w:szCs w:val="22"/>
        </w:rPr>
        <w:t>, triggering viral entry and pathogenesis.</w:t>
      </w:r>
      <w:r w:rsidRPr="00C274BC">
        <w:rPr>
          <w:rStyle w:val="EndnoteReference"/>
          <w:szCs w:val="22"/>
        </w:rPr>
        <w:endnoteReference w:id="205"/>
      </w:r>
      <w:r w:rsidRPr="00C274BC">
        <w:rPr>
          <w:szCs w:val="22"/>
          <w:vertAlign w:val="superscript"/>
        </w:rPr>
        <w:t>,</w:t>
      </w:r>
      <w:r w:rsidRPr="00C274BC">
        <w:rPr>
          <w:rStyle w:val="EndnoteReference"/>
          <w:szCs w:val="22"/>
        </w:rPr>
        <w:endnoteReference w:id="206"/>
      </w:r>
      <w:r w:rsidRPr="00C274BC">
        <w:rPr>
          <w:szCs w:val="22"/>
          <w:vertAlign w:val="superscript"/>
        </w:rPr>
        <w:t>,</w:t>
      </w:r>
      <w:r w:rsidRPr="00C274BC">
        <w:rPr>
          <w:rStyle w:val="EndnoteReference"/>
          <w:szCs w:val="22"/>
        </w:rPr>
        <w:endnoteReference w:id="207"/>
      </w:r>
      <w:r w:rsidRPr="00C274BC">
        <w:rPr>
          <w:szCs w:val="22"/>
          <w:vertAlign w:val="superscript"/>
        </w:rPr>
        <w:t xml:space="preserve"> </w:t>
      </w:r>
      <w:r w:rsidR="00BB25DC" w:rsidRPr="001A7B33">
        <w:rPr>
          <w:szCs w:val="22"/>
        </w:rPr>
        <w:t>The ACE2 receptors predominate in lung alveoli</w:t>
      </w:r>
      <w:r w:rsidR="00BB25DC">
        <w:rPr>
          <w:szCs w:val="22"/>
        </w:rPr>
        <w:t xml:space="preserve"> and respiratory surfaces</w:t>
      </w:r>
      <w:r w:rsidR="00BB25DC" w:rsidRPr="001A7B33">
        <w:rPr>
          <w:szCs w:val="22"/>
        </w:rPr>
        <w:t>, blood vessel linings</w:t>
      </w:r>
      <w:r w:rsidR="00BB25DC">
        <w:rPr>
          <w:szCs w:val="22"/>
        </w:rPr>
        <w:t xml:space="preserve"> (i.e., endothelium)</w:t>
      </w:r>
      <w:r w:rsidR="00BB25DC" w:rsidRPr="001A7B33">
        <w:rPr>
          <w:szCs w:val="22"/>
        </w:rPr>
        <w:t xml:space="preserve">, heart muscle, arterial smooth muscle, </w:t>
      </w:r>
      <w:r w:rsidR="00BB25DC">
        <w:rPr>
          <w:szCs w:val="22"/>
        </w:rPr>
        <w:t>brain</w:t>
      </w:r>
      <w:r w:rsidR="00BB25DC" w:rsidRPr="001A7B33">
        <w:rPr>
          <w:szCs w:val="22"/>
        </w:rPr>
        <w:t xml:space="preserve">, intestines, kidney, skin, </w:t>
      </w:r>
      <w:r w:rsidR="00BB25DC">
        <w:rPr>
          <w:szCs w:val="22"/>
        </w:rPr>
        <w:t xml:space="preserve">lymphoid system, </w:t>
      </w:r>
      <w:r w:rsidR="00BB25DC" w:rsidRPr="001A7B33">
        <w:rPr>
          <w:szCs w:val="22"/>
        </w:rPr>
        <w:t>hematopoietic stem cells, endocrine</w:t>
      </w:r>
      <w:r w:rsidR="00BB25DC">
        <w:rPr>
          <w:szCs w:val="22"/>
        </w:rPr>
        <w:t>,</w:t>
      </w:r>
      <w:r w:rsidR="00BB25DC" w:rsidRPr="001A7B33">
        <w:rPr>
          <w:szCs w:val="22"/>
        </w:rPr>
        <w:t xml:space="preserve"> and reproductive tissue</w:t>
      </w:r>
      <w:r w:rsidR="00BB25DC">
        <w:rPr>
          <w:szCs w:val="22"/>
        </w:rPr>
        <w:t>s</w:t>
      </w:r>
      <w:r w:rsidR="00BB25DC" w:rsidRPr="001A7B33">
        <w:rPr>
          <w:szCs w:val="22"/>
        </w:rPr>
        <w:t>.</w:t>
      </w:r>
      <w:r w:rsidR="00BB25DC" w:rsidRPr="001A7B33">
        <w:rPr>
          <w:rStyle w:val="EndnoteReference"/>
          <w:szCs w:val="22"/>
        </w:rPr>
        <w:endnoteReference w:id="208"/>
      </w:r>
      <w:r w:rsidR="00BB25DC" w:rsidRPr="001A7B33">
        <w:rPr>
          <w:szCs w:val="22"/>
          <w:vertAlign w:val="superscript"/>
        </w:rPr>
        <w:t>,</w:t>
      </w:r>
      <w:r w:rsidR="00BB25DC" w:rsidRPr="001A7B33">
        <w:rPr>
          <w:rStyle w:val="EndnoteReference"/>
          <w:szCs w:val="22"/>
        </w:rPr>
        <w:endnoteReference w:id="209"/>
      </w:r>
      <w:r w:rsidR="00BB25DC" w:rsidRPr="001A7B33">
        <w:rPr>
          <w:szCs w:val="22"/>
          <w:vertAlign w:val="superscript"/>
        </w:rPr>
        <w:t>,</w:t>
      </w:r>
      <w:r w:rsidR="00BB25DC" w:rsidRPr="001A7B33">
        <w:rPr>
          <w:rStyle w:val="EndnoteReference"/>
          <w:szCs w:val="22"/>
        </w:rPr>
        <w:endnoteReference w:id="210"/>
      </w:r>
      <w:r w:rsidR="00BB25DC" w:rsidRPr="001A7B33">
        <w:rPr>
          <w:szCs w:val="22"/>
          <w:vertAlign w:val="superscript"/>
        </w:rPr>
        <w:t>,</w:t>
      </w:r>
      <w:r w:rsidR="00BB25DC" w:rsidRPr="001A7B33">
        <w:rPr>
          <w:rStyle w:val="EndnoteReference"/>
          <w:szCs w:val="22"/>
        </w:rPr>
        <w:endnoteReference w:id="211"/>
      </w:r>
      <w:r w:rsidR="00BB25DC">
        <w:rPr>
          <w:szCs w:val="22"/>
          <w:vertAlign w:val="superscript"/>
        </w:rPr>
        <w:t>,</w:t>
      </w:r>
      <w:r w:rsidR="00BB25DC">
        <w:rPr>
          <w:rStyle w:val="EndnoteReference"/>
          <w:szCs w:val="22"/>
        </w:rPr>
        <w:endnoteReference w:id="212"/>
      </w:r>
      <w:r w:rsidR="00BB25DC">
        <w:rPr>
          <w:szCs w:val="22"/>
          <w:vertAlign w:val="superscript"/>
        </w:rPr>
        <w:t>,</w:t>
      </w:r>
      <w:r w:rsidR="00BB25DC">
        <w:rPr>
          <w:rStyle w:val="EndnoteReference"/>
          <w:szCs w:val="22"/>
        </w:rPr>
        <w:endnoteReference w:id="213"/>
      </w:r>
      <w:r w:rsidR="00BB25DC">
        <w:rPr>
          <w:szCs w:val="22"/>
          <w:vertAlign w:val="superscript"/>
        </w:rPr>
        <w:t xml:space="preserve"> </w:t>
      </w:r>
      <w:r w:rsidR="00BB25DC" w:rsidRPr="00555402">
        <w:rPr>
          <w:szCs w:val="22"/>
        </w:rPr>
        <w:t>Furthermore, increased ACE2 expression occurs in heart disease, hypertension, and dementia</w:t>
      </w:r>
      <w:r w:rsidR="00BB25DC">
        <w:rPr>
          <w:szCs w:val="22"/>
        </w:rPr>
        <w:t>,</w:t>
      </w:r>
      <w:r w:rsidR="00BB25DC" w:rsidRPr="00555402">
        <w:rPr>
          <w:rStyle w:val="EndnoteReference"/>
          <w:szCs w:val="22"/>
        </w:rPr>
        <w:endnoteReference w:id="214"/>
      </w:r>
      <w:r w:rsidR="00BB25DC" w:rsidRPr="00555402">
        <w:rPr>
          <w:rStyle w:val="EndnoteReference"/>
          <w:szCs w:val="22"/>
        </w:rPr>
        <w:t>,</w:t>
      </w:r>
      <w:r w:rsidR="00BB25DC" w:rsidRPr="00555402">
        <w:rPr>
          <w:rStyle w:val="EndnoteReference"/>
          <w:szCs w:val="22"/>
        </w:rPr>
        <w:endnoteReference w:id="215"/>
      </w:r>
      <w:r w:rsidR="00BB25DC" w:rsidRPr="00555402">
        <w:rPr>
          <w:szCs w:val="22"/>
        </w:rPr>
        <w:t xml:space="preserve"> </w:t>
      </w:r>
      <w:r w:rsidR="00BB25DC">
        <w:rPr>
          <w:szCs w:val="22"/>
        </w:rPr>
        <w:t xml:space="preserve">putatively indicating an </w:t>
      </w:r>
      <w:r w:rsidR="00BB25DC" w:rsidRPr="00555402">
        <w:rPr>
          <w:szCs w:val="22"/>
        </w:rPr>
        <w:t>enhanced disease susceptibility to SARS-CoV-2 infection</w:t>
      </w:r>
      <w:r w:rsidR="00BB25DC">
        <w:rPr>
          <w:szCs w:val="22"/>
        </w:rPr>
        <w:t xml:space="preserve"> or vaccine-induced spike proteins</w:t>
      </w:r>
      <w:r w:rsidR="00BB25DC" w:rsidRPr="00555402">
        <w:rPr>
          <w:szCs w:val="22"/>
        </w:rPr>
        <w:t xml:space="preserve">. </w:t>
      </w:r>
      <w:r w:rsidR="0012643F">
        <w:rPr>
          <w:szCs w:val="22"/>
        </w:rPr>
        <w:t>T</w:t>
      </w:r>
      <w:r w:rsidR="00BB25DC" w:rsidRPr="00061436">
        <w:t xml:space="preserve">he most prevalent </w:t>
      </w:r>
      <w:r w:rsidR="00BB25DC" w:rsidRPr="00BB25DC">
        <w:rPr>
          <w:b/>
          <w:bCs w:val="0"/>
        </w:rPr>
        <w:t>comorbidities</w:t>
      </w:r>
      <w:r w:rsidR="00BB25DC">
        <w:t xml:space="preserve"> and </w:t>
      </w:r>
      <w:r w:rsidR="00182EA7">
        <w:t>most significant</w:t>
      </w:r>
      <w:r w:rsidR="00BB25DC">
        <w:t xml:space="preserve"> risk factors associated with severe COVID-19 outcomes are associated with the cardiovascular system (incl. hypertension, cardiac arrhythmias), chronic obstructive pulmonary disease, obesity, diabetes mellitus, cancer, </w:t>
      </w:r>
      <w:r w:rsidR="00BB25DC" w:rsidRPr="00061436">
        <w:t>cerebrovascular accident</w:t>
      </w:r>
      <w:r w:rsidR="00BB25DC">
        <w:t>s, dementia,</w:t>
      </w:r>
      <w:r w:rsidR="00BB25DC" w:rsidRPr="00C10748">
        <w:t xml:space="preserve"> </w:t>
      </w:r>
      <w:r w:rsidR="0012643F">
        <w:t xml:space="preserve">and </w:t>
      </w:r>
      <w:r w:rsidR="00BB25DC">
        <w:t xml:space="preserve">acute and </w:t>
      </w:r>
      <w:r w:rsidR="00BB25DC" w:rsidRPr="00061436">
        <w:t>chronic kidney disease</w:t>
      </w:r>
      <w:r w:rsidR="00BB25DC">
        <w:t>.</w:t>
      </w:r>
      <w:r w:rsidR="00BB25DC" w:rsidRPr="008A58C9">
        <w:rPr>
          <w:rStyle w:val="EndnoteReference"/>
        </w:rPr>
        <w:endnoteReference w:id="216"/>
      </w:r>
      <w:r w:rsidR="00BB25DC" w:rsidRPr="008A58C9">
        <w:rPr>
          <w:vertAlign w:val="superscript"/>
        </w:rPr>
        <w:t>,</w:t>
      </w:r>
      <w:r w:rsidR="00BB25DC" w:rsidRPr="008A58C9">
        <w:rPr>
          <w:rStyle w:val="EndnoteReference"/>
        </w:rPr>
        <w:endnoteReference w:id="217"/>
      </w:r>
      <w:r w:rsidR="00BB25DC" w:rsidRPr="008A58C9">
        <w:rPr>
          <w:vertAlign w:val="superscript"/>
        </w:rPr>
        <w:t>,</w:t>
      </w:r>
      <w:r w:rsidR="00BB25DC" w:rsidRPr="008A58C9">
        <w:rPr>
          <w:rStyle w:val="EndnoteReference"/>
        </w:rPr>
        <w:endnoteReference w:id="218"/>
      </w:r>
      <w:r w:rsidR="00BB25DC" w:rsidRPr="008A58C9">
        <w:rPr>
          <w:vertAlign w:val="superscript"/>
        </w:rPr>
        <w:t>,</w:t>
      </w:r>
      <w:r w:rsidR="00BB25DC" w:rsidRPr="008A58C9">
        <w:rPr>
          <w:rStyle w:val="EndnoteReference"/>
        </w:rPr>
        <w:endnoteReference w:id="219"/>
      </w:r>
      <w:r w:rsidR="00BB25DC" w:rsidRPr="008A58C9">
        <w:rPr>
          <w:vertAlign w:val="superscript"/>
        </w:rPr>
        <w:t>,</w:t>
      </w:r>
      <w:r w:rsidR="00BB25DC" w:rsidRPr="008A58C9">
        <w:rPr>
          <w:rStyle w:val="EndnoteReference"/>
        </w:rPr>
        <w:endnoteReference w:id="220"/>
      </w:r>
      <w:r w:rsidR="00BB25DC" w:rsidRPr="008A58C9">
        <w:rPr>
          <w:vertAlign w:val="superscript"/>
        </w:rPr>
        <w:t>,</w:t>
      </w:r>
      <w:r w:rsidR="00BB25DC" w:rsidRPr="008A58C9">
        <w:rPr>
          <w:rStyle w:val="EndnoteReference"/>
        </w:rPr>
        <w:endnoteReference w:id="221"/>
      </w:r>
      <w:r w:rsidR="00BB25DC" w:rsidRPr="008A58C9">
        <w:rPr>
          <w:vertAlign w:val="superscript"/>
        </w:rPr>
        <w:t>,</w:t>
      </w:r>
      <w:r w:rsidR="00BB25DC" w:rsidRPr="008A58C9">
        <w:rPr>
          <w:vertAlign w:val="superscript"/>
        </w:rPr>
        <w:endnoteReference w:id="222"/>
      </w:r>
      <w:r w:rsidR="00BB25DC" w:rsidRPr="008A58C9">
        <w:rPr>
          <w:vertAlign w:val="superscript"/>
        </w:rPr>
        <w:t xml:space="preserve"> </w:t>
      </w:r>
      <w:r w:rsidR="00BB25DC">
        <w:t>This range of comorbidities may reflect</w:t>
      </w:r>
      <w:r w:rsidR="00BB25DC" w:rsidRPr="00061436">
        <w:t xml:space="preserve"> SARS-CoV-2</w:t>
      </w:r>
      <w:r w:rsidR="00BB25DC">
        <w:t>’s</w:t>
      </w:r>
      <w:r w:rsidR="00BB25DC" w:rsidRPr="00061436">
        <w:t xml:space="preserve"> </w:t>
      </w:r>
      <w:r w:rsidR="00BB25DC" w:rsidRPr="00911F1B">
        <w:rPr>
          <w:b/>
          <w:bCs w:val="0"/>
        </w:rPr>
        <w:t>tissue t</w:t>
      </w:r>
      <w:r w:rsidR="00BB25DC" w:rsidRPr="00BB25DC">
        <w:rPr>
          <w:b/>
          <w:bCs w:val="0"/>
        </w:rPr>
        <w:t>ropism</w:t>
      </w:r>
      <w:r w:rsidR="00BB25DC" w:rsidRPr="00061436">
        <w:t xml:space="preserve"> for </w:t>
      </w:r>
      <w:r w:rsidR="00BB25DC">
        <w:t>vascular endothelium, the cardiovascular system,</w:t>
      </w:r>
      <w:r w:rsidR="00BB25DC" w:rsidRPr="00061436">
        <w:t xml:space="preserve"> respiratory tract</w:t>
      </w:r>
      <w:r w:rsidR="00BB25DC">
        <w:t xml:space="preserve">, </w:t>
      </w:r>
      <w:r w:rsidR="00BB25DC" w:rsidRPr="00061436">
        <w:t xml:space="preserve">brain, </w:t>
      </w:r>
      <w:r w:rsidR="00BB25DC">
        <w:t>and</w:t>
      </w:r>
      <w:r w:rsidR="00BB25DC" w:rsidRPr="00061436">
        <w:t xml:space="preserve"> kidney.</w:t>
      </w:r>
      <w:r w:rsidR="00BB25DC" w:rsidRPr="00061436">
        <w:rPr>
          <w:rStyle w:val="EndnoteReference"/>
        </w:rPr>
        <w:endnoteReference w:id="223"/>
      </w:r>
      <w:r w:rsidR="00BB25DC">
        <w:t xml:space="preserve"> O</w:t>
      </w:r>
      <w:r w:rsidR="00BB25DC" w:rsidRPr="00B8316D">
        <w:t>ld</w:t>
      </w:r>
      <w:r w:rsidR="00BB25DC">
        <w:t>er</w:t>
      </w:r>
      <w:r w:rsidR="00BB25DC" w:rsidRPr="00B8316D">
        <w:t xml:space="preserve"> age </w:t>
      </w:r>
      <w:r w:rsidR="00BB25DC">
        <w:t xml:space="preserve">and </w:t>
      </w:r>
      <w:r w:rsidR="00BB25DC" w:rsidRPr="00B8316D">
        <w:t xml:space="preserve">male gender were </w:t>
      </w:r>
      <w:r w:rsidR="00BB25DC">
        <w:t xml:space="preserve">also </w:t>
      </w:r>
      <w:r w:rsidR="00BB25DC" w:rsidRPr="00B8316D">
        <w:t xml:space="preserve">risk </w:t>
      </w:r>
      <w:r w:rsidR="00BB25DC">
        <w:t>factors</w:t>
      </w:r>
      <w:r w:rsidR="00BB25DC" w:rsidRPr="00B8316D">
        <w:t xml:space="preserve"> </w:t>
      </w:r>
      <w:r w:rsidR="00BB25DC">
        <w:t>for</w:t>
      </w:r>
      <w:r w:rsidR="00BB25DC" w:rsidRPr="00B8316D">
        <w:t xml:space="preserve"> severe COVID-19 outcomes.</w:t>
      </w:r>
      <w:r w:rsidR="00BB25DC" w:rsidRPr="00B8316D">
        <w:rPr>
          <w:vertAlign w:val="superscript"/>
        </w:rPr>
        <w:endnoteReference w:id="224"/>
      </w:r>
      <w:r w:rsidR="00BB25DC" w:rsidRPr="00B8316D">
        <w:rPr>
          <w:vertAlign w:val="superscript"/>
        </w:rPr>
        <w:t>,</w:t>
      </w:r>
      <w:r w:rsidR="00BB25DC" w:rsidRPr="00B8316D">
        <w:rPr>
          <w:rStyle w:val="EndnoteReference"/>
        </w:rPr>
        <w:endnoteReference w:id="225"/>
      </w:r>
      <w:r w:rsidR="00BB25DC" w:rsidRPr="00B8316D">
        <w:rPr>
          <w:vertAlign w:val="superscript"/>
        </w:rPr>
        <w:t>,</w:t>
      </w:r>
      <w:r w:rsidR="00BB25DC" w:rsidRPr="00B8316D">
        <w:rPr>
          <w:rStyle w:val="EndnoteReference"/>
        </w:rPr>
        <w:endnoteReference w:id="226"/>
      </w:r>
      <w:r w:rsidR="00BB25DC" w:rsidRPr="00B8316D">
        <w:rPr>
          <w:vertAlign w:val="superscript"/>
        </w:rPr>
        <w:t xml:space="preserve"> </w:t>
      </w:r>
    </w:p>
    <w:p w14:paraId="3FC692CD" w14:textId="764FAFC7" w:rsidR="00BD51D7" w:rsidRDefault="00BD51D7" w:rsidP="00BD51D7">
      <w:r w:rsidRPr="00967857">
        <w:rPr>
          <w:szCs w:val="22"/>
        </w:rPr>
        <w:t>The SARS-CoV-2 s</w:t>
      </w:r>
      <w:r w:rsidRPr="00967857">
        <w:rPr>
          <w:rFonts w:cs="Times New Roman"/>
          <w:szCs w:val="22"/>
        </w:rPr>
        <w:t>pike protein</w:t>
      </w:r>
      <w:r w:rsidRPr="00967857">
        <w:rPr>
          <w:szCs w:val="22"/>
        </w:rPr>
        <w:t xml:space="preserve"> and its S1 sub-unit</w:t>
      </w:r>
      <w:r w:rsidR="00182EA7">
        <w:rPr>
          <w:szCs w:val="22"/>
        </w:rPr>
        <w:t>,</w:t>
      </w:r>
      <w:r>
        <w:rPr>
          <w:szCs w:val="22"/>
        </w:rPr>
        <w:t xml:space="preserve"> </w:t>
      </w:r>
      <w:r w:rsidRPr="0076352E">
        <w:rPr>
          <w:b/>
          <w:bCs w:val="0"/>
          <w:szCs w:val="22"/>
        </w:rPr>
        <w:t>free of the virus</w:t>
      </w:r>
      <w:r w:rsidR="00182EA7">
        <w:rPr>
          <w:b/>
          <w:bCs w:val="0"/>
          <w:szCs w:val="22"/>
        </w:rPr>
        <w:t>,</w:t>
      </w:r>
      <w:r w:rsidRPr="00967857">
        <w:rPr>
          <w:szCs w:val="22"/>
        </w:rPr>
        <w:t xml:space="preserve"> are</w:t>
      </w:r>
      <w:r w:rsidRPr="00967857">
        <w:t xml:space="preserve"> capable of causing human vascular </w:t>
      </w:r>
      <w:r w:rsidRPr="00100048">
        <w:rPr>
          <w:b/>
          <w:bCs w:val="0"/>
        </w:rPr>
        <w:t>endothelial</w:t>
      </w:r>
      <w:r w:rsidRPr="00967857">
        <w:t xml:space="preserve"> damage and dysfunction in a dose</w:t>
      </w:r>
      <w:r>
        <w:t>-</w:t>
      </w:r>
      <w:r w:rsidRPr="00967857">
        <w:t xml:space="preserve"> and time</w:t>
      </w:r>
      <w:r>
        <w:t>-</w:t>
      </w:r>
      <w:r w:rsidRPr="00967857">
        <w:t>dependent manner.</w:t>
      </w:r>
      <w:r w:rsidRPr="0076352E">
        <w:rPr>
          <w:rStyle w:val="EndnoteReference"/>
        </w:rPr>
        <w:endnoteReference w:id="227"/>
      </w:r>
      <w:r w:rsidRPr="0076352E">
        <w:rPr>
          <w:vertAlign w:val="superscript"/>
        </w:rPr>
        <w:t>,</w:t>
      </w:r>
      <w:r w:rsidRPr="0076352E">
        <w:rPr>
          <w:rStyle w:val="EndnoteReference"/>
        </w:rPr>
        <w:endnoteReference w:id="228"/>
      </w:r>
      <w:r w:rsidRPr="0076352E">
        <w:rPr>
          <w:vertAlign w:val="superscript"/>
        </w:rPr>
        <w:t xml:space="preserve"> </w:t>
      </w:r>
      <w:r w:rsidR="0076352E">
        <w:t xml:space="preserve">This puts the spotlight on the </w:t>
      </w:r>
      <w:r w:rsidR="00DB4153">
        <w:t xml:space="preserve">time-limited </w:t>
      </w:r>
      <w:r w:rsidR="0076352E">
        <w:t xml:space="preserve">vaccine production of spike proteins by humans and their release into </w:t>
      </w:r>
      <w:r w:rsidR="004245BA">
        <w:t xml:space="preserve">the blood </w:t>
      </w:r>
      <w:r w:rsidR="0076352E">
        <w:t>circulation</w:t>
      </w:r>
      <w:r w:rsidR="003B4B01">
        <w:t xml:space="preserve"> (or via exosomes)</w:t>
      </w:r>
      <w:r w:rsidR="0076352E">
        <w:t>. Virus-free s</w:t>
      </w:r>
      <w:r w:rsidRPr="00967857">
        <w:t xml:space="preserve">pike protein induces degradation of </w:t>
      </w:r>
      <w:r w:rsidRPr="00100048">
        <w:rPr>
          <w:b/>
          <w:bCs w:val="0"/>
        </w:rPr>
        <w:t>brain</w:t>
      </w:r>
      <w:r w:rsidRPr="00967857">
        <w:t xml:space="preserve"> endothelial junctional proteins,</w:t>
      </w:r>
      <w:r w:rsidRPr="00967857">
        <w:rPr>
          <w:rStyle w:val="EndnoteReference"/>
        </w:rPr>
        <w:endnoteReference w:id="229"/>
      </w:r>
      <w:r w:rsidRPr="00967857">
        <w:t xml:space="preserve"> and dysregulates the vascular and immune functions of brain pericytes by triggering cellular stress</w:t>
      </w:r>
      <w:r w:rsidR="00100048">
        <w:t>,</w:t>
      </w:r>
      <w:r w:rsidRPr="00967857">
        <w:rPr>
          <w:rStyle w:val="EndnoteReference"/>
        </w:rPr>
        <w:endnoteReference w:id="230"/>
      </w:r>
      <w:r w:rsidRPr="00967857">
        <w:t xml:space="preserve"> </w:t>
      </w:r>
      <w:r w:rsidR="00100048">
        <w:t xml:space="preserve">resulting in a pro-inflammatory response and alterations to the </w:t>
      </w:r>
      <w:r w:rsidR="0008027E">
        <w:t>blood-brain</w:t>
      </w:r>
      <w:r w:rsidR="00100048">
        <w:t xml:space="preserve"> barrier function.</w:t>
      </w:r>
      <w:r w:rsidR="00100048" w:rsidRPr="00555402">
        <w:rPr>
          <w:rStyle w:val="EndnoteReference"/>
          <w:szCs w:val="22"/>
        </w:rPr>
        <w:endnoteReference w:id="231"/>
      </w:r>
      <w:r w:rsidR="00100048">
        <w:t xml:space="preserve"> </w:t>
      </w:r>
      <w:r w:rsidR="00B446BA">
        <w:t>The expression</w:t>
      </w:r>
      <w:r w:rsidR="00B446BA" w:rsidRPr="00967857">
        <w:t xml:space="preserve"> </w:t>
      </w:r>
      <w:r w:rsidR="00B446BA">
        <w:t xml:space="preserve">of ACE2 </w:t>
      </w:r>
      <w:r w:rsidRPr="00967857">
        <w:t xml:space="preserve">in brain vascular pericytes and endothelial cells </w:t>
      </w:r>
      <w:r>
        <w:t xml:space="preserve">is </w:t>
      </w:r>
      <w:r w:rsidRPr="00967857">
        <w:t>modulate</w:t>
      </w:r>
      <w:r>
        <w:t>d by</w:t>
      </w:r>
      <w:r w:rsidRPr="00967857">
        <w:t xml:space="preserve"> spike protein in a dose- and flow-dependent manner.</w:t>
      </w:r>
      <w:r w:rsidRPr="0076352E">
        <w:rPr>
          <w:rStyle w:val="EndnoteReference"/>
        </w:rPr>
        <w:endnoteReference w:id="232"/>
      </w:r>
      <w:r w:rsidRPr="0076352E">
        <w:rPr>
          <w:vertAlign w:val="superscript"/>
        </w:rPr>
        <w:t>,</w:t>
      </w:r>
      <w:r w:rsidRPr="0076352E">
        <w:rPr>
          <w:rStyle w:val="EndnoteReference"/>
        </w:rPr>
        <w:endnoteReference w:id="233"/>
      </w:r>
      <w:r w:rsidRPr="0076352E">
        <w:rPr>
          <w:vertAlign w:val="superscript"/>
        </w:rPr>
        <w:t xml:space="preserve"> </w:t>
      </w:r>
      <w:r w:rsidRPr="00967857">
        <w:t xml:space="preserve">Virus-free spike </w:t>
      </w:r>
      <w:r w:rsidR="00B446BA">
        <w:t>protein</w:t>
      </w:r>
      <w:r w:rsidR="0076352E">
        <w:t xml:space="preserve"> </w:t>
      </w:r>
      <w:r w:rsidR="0076352E" w:rsidRPr="00BB25DC">
        <w:t xml:space="preserve">binds to </w:t>
      </w:r>
      <w:r w:rsidR="0076352E" w:rsidRPr="00BB25DC">
        <w:rPr>
          <w:b/>
          <w:bCs w:val="0"/>
        </w:rPr>
        <w:t>ACE2 receptor</w:t>
      </w:r>
      <w:r w:rsidR="00BB25DC">
        <w:rPr>
          <w:b/>
          <w:bCs w:val="0"/>
        </w:rPr>
        <w:t>s</w:t>
      </w:r>
      <w:r w:rsidR="0076352E">
        <w:t xml:space="preserve"> and causes</w:t>
      </w:r>
      <w:r w:rsidRPr="00967857">
        <w:t xml:space="preserve"> ACE2 downregulation</w:t>
      </w:r>
      <w:r w:rsidR="0076352E">
        <w:t>, which</w:t>
      </w:r>
      <w:r w:rsidRPr="00967857">
        <w:t xml:space="preserve"> inhibits mitochondrial function,</w:t>
      </w:r>
      <w:r w:rsidRPr="00967857">
        <w:rPr>
          <w:rStyle w:val="EndnoteReference"/>
        </w:rPr>
        <w:endnoteReference w:id="234"/>
      </w:r>
      <w:r w:rsidRPr="00967857">
        <w:t xml:space="preserve"> causes oxidative stress and inflammation and triggers </w:t>
      </w:r>
      <w:r w:rsidRPr="000A1089">
        <w:rPr>
          <w:b/>
          <w:bCs w:val="0"/>
        </w:rPr>
        <w:t>blood clotting mechanisms</w:t>
      </w:r>
      <w:r w:rsidRPr="00967857">
        <w:t>.</w:t>
      </w:r>
      <w:r w:rsidRPr="0076352E">
        <w:rPr>
          <w:rStyle w:val="EndnoteReference"/>
          <w:szCs w:val="22"/>
        </w:rPr>
        <w:endnoteReference w:id="235"/>
      </w:r>
      <w:r w:rsidRPr="0076352E">
        <w:rPr>
          <w:szCs w:val="22"/>
          <w:vertAlign w:val="superscript"/>
        </w:rPr>
        <w:t>,</w:t>
      </w:r>
      <w:r w:rsidRPr="0076352E">
        <w:rPr>
          <w:rStyle w:val="EndnoteReference"/>
        </w:rPr>
        <w:endnoteReference w:id="236"/>
      </w:r>
      <w:r w:rsidRPr="0076352E">
        <w:rPr>
          <w:szCs w:val="22"/>
          <w:vertAlign w:val="superscript"/>
        </w:rPr>
        <w:t>,</w:t>
      </w:r>
      <w:r w:rsidRPr="0076352E">
        <w:rPr>
          <w:rStyle w:val="EndnoteReference"/>
        </w:rPr>
        <w:endnoteReference w:id="237"/>
      </w:r>
      <w:r w:rsidRPr="0076352E">
        <w:rPr>
          <w:vertAlign w:val="superscript"/>
        </w:rPr>
        <w:t xml:space="preserve"> </w:t>
      </w:r>
      <w:r w:rsidRPr="00967857">
        <w:t xml:space="preserve">This </w:t>
      </w:r>
      <w:r>
        <w:t xml:space="preserve">milieu of damage </w:t>
      </w:r>
      <w:r w:rsidRPr="00967857">
        <w:t xml:space="preserve">contributes to the severity of </w:t>
      </w:r>
      <w:r w:rsidRPr="00100048">
        <w:rPr>
          <w:b/>
          <w:bCs w:val="0"/>
        </w:rPr>
        <w:t>lung</w:t>
      </w:r>
      <w:r w:rsidRPr="00967857">
        <w:t xml:space="preserve"> pathologies</w:t>
      </w:r>
      <w:r w:rsidRPr="00967857">
        <w:rPr>
          <w:rStyle w:val="EndnoteReference"/>
        </w:rPr>
        <w:endnoteReference w:id="238"/>
      </w:r>
      <w:r w:rsidRPr="00967857">
        <w:t xml:space="preserve"> and predisposes </w:t>
      </w:r>
      <w:r w:rsidR="00B446BA">
        <w:t>to</w:t>
      </w:r>
      <w:r w:rsidRPr="00967857">
        <w:t xml:space="preserve"> </w:t>
      </w:r>
      <w:r w:rsidRPr="00911F1B">
        <w:rPr>
          <w:b/>
          <w:bCs w:val="0"/>
        </w:rPr>
        <w:t>myocardial infarction, stroke</w:t>
      </w:r>
      <w:r w:rsidR="00B446BA">
        <w:t>,</w:t>
      </w:r>
      <w:r w:rsidRPr="00967857">
        <w:t xml:space="preserve"> and </w:t>
      </w:r>
      <w:r w:rsidRPr="00100048">
        <w:rPr>
          <w:b/>
          <w:bCs w:val="0"/>
        </w:rPr>
        <w:t>renal</w:t>
      </w:r>
      <w:r w:rsidRPr="00967857">
        <w:t xml:space="preserve"> injury.</w:t>
      </w:r>
      <w:r w:rsidRPr="0076352E">
        <w:rPr>
          <w:rStyle w:val="EndnoteReference"/>
        </w:rPr>
        <w:endnoteReference w:id="239"/>
      </w:r>
      <w:r w:rsidRPr="0076352E">
        <w:rPr>
          <w:vertAlign w:val="superscript"/>
        </w:rPr>
        <w:t>,</w:t>
      </w:r>
      <w:r w:rsidRPr="0076352E">
        <w:rPr>
          <w:rStyle w:val="EndnoteReference"/>
        </w:rPr>
        <w:t xml:space="preserve"> </w:t>
      </w:r>
      <w:r w:rsidRPr="0076352E">
        <w:rPr>
          <w:rStyle w:val="EndnoteReference"/>
        </w:rPr>
        <w:endnoteReference w:id="240"/>
      </w:r>
      <w:r w:rsidRPr="0076352E">
        <w:rPr>
          <w:vertAlign w:val="superscript"/>
        </w:rPr>
        <w:t xml:space="preserve"> </w:t>
      </w:r>
    </w:p>
    <w:p w14:paraId="3FFA95A5" w14:textId="0F1CEF8A" w:rsidR="00BD51D7" w:rsidRDefault="000F48B8" w:rsidP="00BD51D7">
      <w:r>
        <w:t>Virus-free</w:t>
      </w:r>
      <w:r w:rsidR="00BD51D7" w:rsidRPr="00967857">
        <w:t xml:space="preserve"> spike protein</w:t>
      </w:r>
      <w:r>
        <w:t>s</w:t>
      </w:r>
      <w:r w:rsidR="00BD51D7" w:rsidRPr="00967857">
        <w:t xml:space="preserve"> </w:t>
      </w:r>
      <w:r>
        <w:t>bind</w:t>
      </w:r>
      <w:r w:rsidR="00BD51D7" w:rsidRPr="00BB25DC">
        <w:rPr>
          <w:b/>
          <w:bCs w:val="0"/>
        </w:rPr>
        <w:t xml:space="preserve"> the CD147 receptor</w:t>
      </w:r>
      <w:r w:rsidR="00BD51D7" w:rsidRPr="00967857">
        <w:t xml:space="preserve">, mainly expressed in the </w:t>
      </w:r>
      <w:r w:rsidR="00BD51D7" w:rsidRPr="00BB25DC">
        <w:rPr>
          <w:b/>
          <w:bCs w:val="0"/>
        </w:rPr>
        <w:t>heart, kidneys</w:t>
      </w:r>
      <w:r w:rsidR="000666DD" w:rsidRPr="00BB25DC">
        <w:rPr>
          <w:b/>
          <w:bCs w:val="0"/>
        </w:rPr>
        <w:t>,</w:t>
      </w:r>
      <w:r w:rsidR="00BD51D7" w:rsidRPr="00BB25DC">
        <w:rPr>
          <w:b/>
          <w:bCs w:val="0"/>
        </w:rPr>
        <w:t xml:space="preserve"> and lungs</w:t>
      </w:r>
      <w:r w:rsidR="00BD51D7" w:rsidRPr="00967857">
        <w:t>. Activation of CD147 by spike protein promotes cardiac hypertrophy and failure</w:t>
      </w:r>
      <w:r w:rsidR="00BD51D7" w:rsidRPr="00967857">
        <w:rPr>
          <w:rStyle w:val="EndnoteReference"/>
        </w:rPr>
        <w:endnoteReference w:id="241"/>
      </w:r>
      <w:r w:rsidR="00BD51D7" w:rsidRPr="00967857">
        <w:t xml:space="preserve"> and </w:t>
      </w:r>
      <w:r w:rsidR="00BD51D7" w:rsidRPr="000A1089">
        <w:rPr>
          <w:b/>
          <w:bCs w:val="0"/>
        </w:rPr>
        <w:t>triggers</w:t>
      </w:r>
      <w:r w:rsidR="00BD51D7" w:rsidRPr="00967857">
        <w:t xml:space="preserve"> microvascular injury, inflammation, and blood clotting mechanisms </w:t>
      </w:r>
      <w:r w:rsidR="00BB25DC">
        <w:t xml:space="preserve">via </w:t>
      </w:r>
      <w:r w:rsidR="00BD51D7" w:rsidRPr="00967857">
        <w:t>cardiac pericytes.</w:t>
      </w:r>
      <w:r w:rsidR="00BD51D7" w:rsidRPr="00967857">
        <w:rPr>
          <w:rStyle w:val="EndnoteReference"/>
        </w:rPr>
        <w:endnoteReference w:id="242"/>
      </w:r>
      <w:r w:rsidR="00BD51D7" w:rsidRPr="00967857">
        <w:t xml:space="preserve"> Vascular </w:t>
      </w:r>
      <w:r w:rsidR="00BD51D7" w:rsidRPr="00967857">
        <w:lastRenderedPageBreak/>
        <w:t xml:space="preserve">injury may also </w:t>
      </w:r>
      <w:r w:rsidR="000666DD">
        <w:t>b</w:t>
      </w:r>
      <w:r w:rsidR="00BD51D7" w:rsidRPr="00967857">
        <w:t>e mediated by heat shock protein 90,</w:t>
      </w:r>
      <w:r w:rsidR="00BD51D7" w:rsidRPr="00967857">
        <w:rPr>
          <w:rStyle w:val="EndnoteReference"/>
        </w:rPr>
        <w:endnoteReference w:id="243"/>
      </w:r>
      <w:r w:rsidR="00BD51D7" w:rsidRPr="00967857">
        <w:t xml:space="preserve"> </w:t>
      </w:r>
      <w:r w:rsidR="00BD51D7">
        <w:t xml:space="preserve">and </w:t>
      </w:r>
      <w:r w:rsidR="00BD51D7" w:rsidRPr="00967857">
        <w:t>androgen</w:t>
      </w:r>
      <w:r w:rsidR="00BB25DC">
        <w:t xml:space="preserve"> (i.e., male)</w:t>
      </w:r>
      <w:r w:rsidR="00BD51D7">
        <w:t xml:space="preserve">, </w:t>
      </w:r>
      <w:r w:rsidR="00BD51D7" w:rsidRPr="00967857">
        <w:t>TNF-α</w:t>
      </w:r>
      <w:r w:rsidR="00BD51D7">
        <w:t xml:space="preserve">, and </w:t>
      </w:r>
      <w:r w:rsidR="00BD51D7" w:rsidRPr="000A1089">
        <w:rPr>
          <w:b/>
          <w:bCs w:val="0"/>
        </w:rPr>
        <w:t>other signaling</w:t>
      </w:r>
      <w:r w:rsidR="00BB25DC" w:rsidRPr="000A1089">
        <w:rPr>
          <w:b/>
          <w:bCs w:val="0"/>
        </w:rPr>
        <w:t xml:space="preserve"> pathways</w:t>
      </w:r>
      <w:r w:rsidR="00BD51D7" w:rsidRPr="00967857">
        <w:t>.</w:t>
      </w:r>
      <w:r w:rsidR="00BD51D7" w:rsidRPr="003E2721">
        <w:rPr>
          <w:rStyle w:val="EndnoteReference"/>
        </w:rPr>
        <w:endnoteReference w:id="244"/>
      </w:r>
      <w:r w:rsidR="00BD51D7" w:rsidRPr="003E2721">
        <w:rPr>
          <w:vertAlign w:val="superscript"/>
        </w:rPr>
        <w:t>,</w:t>
      </w:r>
      <w:r w:rsidR="00BD51D7" w:rsidRPr="003E2721">
        <w:rPr>
          <w:rStyle w:val="EndnoteReference"/>
          <w:szCs w:val="22"/>
        </w:rPr>
        <w:endnoteReference w:id="245"/>
      </w:r>
      <w:r w:rsidR="00BD51D7" w:rsidRPr="003E2721">
        <w:rPr>
          <w:vertAlign w:val="superscript"/>
        </w:rPr>
        <w:t xml:space="preserve"> </w:t>
      </w:r>
      <w:r w:rsidR="00BD51D7" w:rsidRPr="00967857">
        <w:t xml:space="preserve">The spike protein also promotes ACE2-independent vascular endothelium growth factor upregulation in animal enterocytes leading to </w:t>
      </w:r>
      <w:r w:rsidR="00BD51D7" w:rsidRPr="00100048">
        <w:rPr>
          <w:b/>
          <w:bCs w:val="0"/>
        </w:rPr>
        <w:t>intestinal</w:t>
      </w:r>
      <w:r w:rsidR="00BD51D7" w:rsidRPr="00967857">
        <w:t xml:space="preserve"> inflammation.</w:t>
      </w:r>
      <w:r w:rsidR="00BD51D7" w:rsidRPr="00967857">
        <w:rPr>
          <w:rStyle w:val="EndnoteReference"/>
        </w:rPr>
        <w:endnoteReference w:id="246"/>
      </w:r>
      <w:r w:rsidR="00BD51D7" w:rsidRPr="00967857">
        <w:t xml:space="preserve"> </w:t>
      </w:r>
    </w:p>
    <w:p w14:paraId="678D9BAC" w14:textId="161142A3" w:rsidR="00D95EEF" w:rsidRDefault="00D367D9" w:rsidP="00D95EEF">
      <w:r w:rsidRPr="00BB25DC">
        <w:rPr>
          <w:rFonts w:cs="Times New Roman"/>
          <w:b/>
          <w:bCs w:val="0"/>
          <w:szCs w:val="22"/>
          <w:u w:val="single"/>
        </w:rPr>
        <w:t xml:space="preserve">Mechanism 2: </w:t>
      </w:r>
      <w:r w:rsidR="00D95EEF" w:rsidRPr="00BB25DC">
        <w:rPr>
          <w:rFonts w:cs="Times New Roman"/>
          <w:b/>
          <w:bCs w:val="0"/>
          <w:szCs w:val="22"/>
          <w:u w:val="single"/>
        </w:rPr>
        <w:t>Spike protein exosomes</w:t>
      </w:r>
      <w:r w:rsidR="00BB25DC" w:rsidRPr="00BB25DC">
        <w:rPr>
          <w:rFonts w:cs="Times New Roman"/>
          <w:szCs w:val="22"/>
        </w:rPr>
        <w:t>.</w:t>
      </w:r>
      <w:r w:rsidR="00D95EEF" w:rsidRPr="00BB25DC">
        <w:rPr>
          <w:rFonts w:cs="Times New Roman"/>
          <w:b/>
          <w:bCs w:val="0"/>
          <w:szCs w:val="22"/>
        </w:rPr>
        <w:t xml:space="preserve"> </w:t>
      </w:r>
      <w:r w:rsidR="00BB25DC" w:rsidRPr="00BB25DC">
        <w:rPr>
          <w:rFonts w:cs="Times New Roman"/>
          <w:szCs w:val="22"/>
        </w:rPr>
        <w:t>Exosomes</w:t>
      </w:r>
      <w:r w:rsidR="00BB25DC">
        <w:rPr>
          <w:rFonts w:cs="Times New Roman"/>
          <w:b/>
          <w:bCs w:val="0"/>
          <w:szCs w:val="22"/>
        </w:rPr>
        <w:t xml:space="preserve"> </w:t>
      </w:r>
      <w:r w:rsidR="00D95EEF" w:rsidRPr="00BB25DC">
        <w:rPr>
          <w:rFonts w:cs="Times New Roman"/>
          <w:szCs w:val="22"/>
        </w:rPr>
        <w:t>circulate</w:t>
      </w:r>
      <w:r w:rsidR="00D95EEF">
        <w:rPr>
          <w:rFonts w:cs="Times New Roman"/>
          <w:b/>
          <w:bCs w:val="0"/>
          <w:szCs w:val="22"/>
        </w:rPr>
        <w:t xml:space="preserve"> </w:t>
      </w:r>
      <w:r w:rsidR="00D95EEF">
        <w:rPr>
          <w:rFonts w:cs="Times New Roman"/>
          <w:szCs w:val="22"/>
        </w:rPr>
        <w:t xml:space="preserve">throughout the body </w:t>
      </w:r>
      <w:r w:rsidR="00BB25DC">
        <w:rPr>
          <w:rFonts w:cs="Times New Roman"/>
          <w:szCs w:val="22"/>
        </w:rPr>
        <w:t xml:space="preserve">after </w:t>
      </w:r>
      <w:r w:rsidR="00D95EEF" w:rsidRPr="006F28D0">
        <w:rPr>
          <w:rFonts w:cs="Times New Roman"/>
          <w:szCs w:val="22"/>
        </w:rPr>
        <w:t>infection</w:t>
      </w:r>
      <w:r w:rsidR="00D95EEF">
        <w:rPr>
          <w:rFonts w:cs="Times New Roman"/>
          <w:szCs w:val="22"/>
        </w:rPr>
        <w:t xml:space="preserve"> and vaccination. Exosomes are cell-secreted micro</w:t>
      </w:r>
      <w:r w:rsidR="00D95EEF" w:rsidRPr="0040589C">
        <w:rPr>
          <w:rFonts w:cs="Times New Roman"/>
          <w:szCs w:val="22"/>
        </w:rPr>
        <w:t>vesicles</w:t>
      </w:r>
      <w:r w:rsidR="00D95EEF">
        <w:rPr>
          <w:rFonts w:cs="Times New Roman"/>
          <w:szCs w:val="22"/>
        </w:rPr>
        <w:t xml:space="preserve"> that arise for physiological and pathological reasons, including in </w:t>
      </w:r>
      <w:r w:rsidR="00D95EEF" w:rsidRPr="0040589C">
        <w:rPr>
          <w:rFonts w:cs="Times New Roman"/>
          <w:szCs w:val="22"/>
        </w:rPr>
        <w:t>response to microbial attack and stress conditions</w:t>
      </w:r>
      <w:r w:rsidR="00D95EEF">
        <w:rPr>
          <w:rFonts w:cs="Times New Roman"/>
          <w:szCs w:val="22"/>
        </w:rPr>
        <w:t>.</w:t>
      </w:r>
      <w:r w:rsidR="00D95EEF" w:rsidRPr="00FC0089">
        <w:rPr>
          <w:rStyle w:val="EndnoteReference"/>
          <w:rFonts w:cs="Times New Roman"/>
          <w:szCs w:val="22"/>
        </w:rPr>
        <w:endnoteReference w:id="247"/>
      </w:r>
      <w:r w:rsidR="00D95EEF" w:rsidRPr="00FC0089">
        <w:rPr>
          <w:rFonts w:cs="Times New Roman"/>
          <w:szCs w:val="22"/>
          <w:vertAlign w:val="superscript"/>
        </w:rPr>
        <w:t>,</w:t>
      </w:r>
      <w:r w:rsidR="00D95EEF" w:rsidRPr="00FC0089">
        <w:rPr>
          <w:rStyle w:val="EndnoteReference"/>
          <w:rFonts w:cs="Times New Roman"/>
          <w:szCs w:val="22"/>
        </w:rPr>
        <w:endnoteReference w:id="248"/>
      </w:r>
      <w:r w:rsidR="00D95EEF" w:rsidRPr="00FC0089">
        <w:rPr>
          <w:rFonts w:cs="Times New Roman"/>
          <w:szCs w:val="22"/>
          <w:vertAlign w:val="superscript"/>
        </w:rPr>
        <w:t>,</w:t>
      </w:r>
      <w:r w:rsidR="00D95EEF" w:rsidRPr="00FC0089">
        <w:rPr>
          <w:rStyle w:val="EndnoteReference"/>
          <w:rFonts w:cs="Times New Roman"/>
          <w:szCs w:val="22"/>
        </w:rPr>
        <w:endnoteReference w:id="249"/>
      </w:r>
      <w:r w:rsidR="00D95EEF" w:rsidRPr="00FC0089">
        <w:rPr>
          <w:rFonts w:cs="Times New Roman"/>
          <w:szCs w:val="22"/>
          <w:vertAlign w:val="superscript"/>
        </w:rPr>
        <w:t>,</w:t>
      </w:r>
      <w:r w:rsidR="00D95EEF" w:rsidRPr="00FC0089">
        <w:rPr>
          <w:rStyle w:val="EndnoteReference"/>
          <w:rFonts w:cs="Times New Roman"/>
          <w:szCs w:val="22"/>
        </w:rPr>
        <w:endnoteReference w:id="250"/>
      </w:r>
      <w:r w:rsidR="00D95EEF" w:rsidRPr="00FC0089">
        <w:rPr>
          <w:rFonts w:cs="Times New Roman"/>
          <w:szCs w:val="22"/>
          <w:vertAlign w:val="superscript"/>
        </w:rPr>
        <w:t>,</w:t>
      </w:r>
      <w:r w:rsidR="00D95EEF" w:rsidRPr="00FC0089">
        <w:rPr>
          <w:rStyle w:val="EndnoteReference"/>
          <w:rFonts w:cs="Times New Roman"/>
          <w:szCs w:val="22"/>
        </w:rPr>
        <w:endnoteReference w:id="251"/>
      </w:r>
      <w:r w:rsidR="00D95EEF" w:rsidRPr="006F28D0">
        <w:rPr>
          <w:rFonts w:cs="Times New Roman"/>
          <w:szCs w:val="22"/>
        </w:rPr>
        <w:t xml:space="preserve"> </w:t>
      </w:r>
      <w:r w:rsidR="00D95EEF">
        <w:rPr>
          <w:rFonts w:cs="Times New Roman"/>
          <w:szCs w:val="22"/>
        </w:rPr>
        <w:t xml:space="preserve">In general, exosomes are involved in </w:t>
      </w:r>
      <w:r w:rsidR="00182EA7">
        <w:rPr>
          <w:rFonts w:cs="Times New Roman"/>
          <w:szCs w:val="22"/>
        </w:rPr>
        <w:t>various</w:t>
      </w:r>
      <w:r w:rsidR="00D95EEF" w:rsidRPr="00C672F2">
        <w:rPr>
          <w:rFonts w:cs="Times New Roman"/>
          <w:szCs w:val="22"/>
        </w:rPr>
        <w:t xml:space="preserve"> disease processes</w:t>
      </w:r>
      <w:r w:rsidR="00D95EEF">
        <w:rPr>
          <w:rFonts w:cs="Times New Roman"/>
          <w:szCs w:val="22"/>
        </w:rPr>
        <w:t xml:space="preserve">, </w:t>
      </w:r>
      <w:r w:rsidR="00D95EEF" w:rsidRPr="00B81530">
        <w:rPr>
          <w:rFonts w:cs="Times New Roman"/>
          <w:szCs w:val="22"/>
        </w:rPr>
        <w:t>including</w:t>
      </w:r>
      <w:r w:rsidR="00D95EEF" w:rsidRPr="00B81530">
        <w:rPr>
          <w:rFonts w:cs="Times New Roman"/>
          <w:b/>
          <w:bCs w:val="0"/>
          <w:szCs w:val="22"/>
        </w:rPr>
        <w:t xml:space="preserve"> </w:t>
      </w:r>
      <w:r w:rsidR="00D95EEF" w:rsidRPr="00C672F2">
        <w:rPr>
          <w:rFonts w:cs="Times New Roman"/>
          <w:szCs w:val="22"/>
        </w:rPr>
        <w:t>inflammation, oxidative stress, endothelial dysfunction, thrombosis,</w:t>
      </w:r>
      <w:r w:rsidR="00D95EEF" w:rsidRPr="00C672F2">
        <w:rPr>
          <w:rStyle w:val="EndnoteReference"/>
          <w:rFonts w:cs="Times New Roman"/>
          <w:szCs w:val="22"/>
        </w:rPr>
        <w:t xml:space="preserve"> </w:t>
      </w:r>
      <w:r w:rsidR="00D95EEF" w:rsidRPr="00C672F2">
        <w:rPr>
          <w:rFonts w:cs="Times New Roman"/>
          <w:szCs w:val="22"/>
        </w:rPr>
        <w:t>hemostasis, cardiovascular disease, and cardiac dysfunction.</w:t>
      </w:r>
      <w:r w:rsidR="00D95EEF" w:rsidRPr="00A509E9">
        <w:rPr>
          <w:rStyle w:val="EndnoteReference"/>
          <w:rFonts w:cs="Times New Roman"/>
          <w:szCs w:val="22"/>
        </w:rPr>
        <w:endnoteReference w:id="252"/>
      </w:r>
      <w:r w:rsidR="00D95EEF" w:rsidRPr="00A509E9">
        <w:rPr>
          <w:rFonts w:cs="Times New Roman"/>
          <w:szCs w:val="22"/>
          <w:vertAlign w:val="superscript"/>
        </w:rPr>
        <w:t>,</w:t>
      </w:r>
      <w:r w:rsidR="00D95EEF" w:rsidRPr="00A509E9">
        <w:rPr>
          <w:rStyle w:val="EndnoteReference"/>
          <w:rFonts w:cs="Times New Roman"/>
          <w:szCs w:val="22"/>
        </w:rPr>
        <w:endnoteReference w:id="253"/>
      </w:r>
      <w:r w:rsidR="00D95EEF" w:rsidRPr="00A509E9">
        <w:rPr>
          <w:rFonts w:cs="Times New Roman"/>
          <w:szCs w:val="22"/>
          <w:vertAlign w:val="superscript"/>
        </w:rPr>
        <w:t>,</w:t>
      </w:r>
      <w:r w:rsidR="00D95EEF" w:rsidRPr="00A509E9">
        <w:rPr>
          <w:rStyle w:val="EndnoteReference"/>
          <w:rFonts w:cs="Times New Roman"/>
          <w:szCs w:val="22"/>
        </w:rPr>
        <w:endnoteReference w:id="254"/>
      </w:r>
      <w:r w:rsidR="00D95EEF">
        <w:rPr>
          <w:rFonts w:cs="Times New Roman"/>
          <w:szCs w:val="22"/>
          <w:vertAlign w:val="superscript"/>
        </w:rPr>
        <w:t>,</w:t>
      </w:r>
      <w:r w:rsidR="00D95EEF">
        <w:rPr>
          <w:rStyle w:val="EndnoteReference"/>
          <w:rFonts w:cs="Times New Roman"/>
          <w:szCs w:val="22"/>
        </w:rPr>
        <w:endnoteReference w:id="255"/>
      </w:r>
      <w:r w:rsidR="00D95EEF">
        <w:rPr>
          <w:rFonts w:cs="Times New Roman"/>
          <w:szCs w:val="22"/>
          <w:vertAlign w:val="superscript"/>
        </w:rPr>
        <w:t xml:space="preserve"> </w:t>
      </w:r>
      <w:r w:rsidR="00D95EEF">
        <w:rPr>
          <w:rFonts w:cs="Times New Roman"/>
          <w:szCs w:val="22"/>
        </w:rPr>
        <w:t>Thus</w:t>
      </w:r>
      <w:r w:rsidR="00182EA7">
        <w:rPr>
          <w:rFonts w:cs="Times New Roman"/>
          <w:szCs w:val="22"/>
        </w:rPr>
        <w:t>,</w:t>
      </w:r>
      <w:r w:rsidR="00D95EEF">
        <w:rPr>
          <w:rFonts w:cs="Times New Roman"/>
          <w:szCs w:val="22"/>
        </w:rPr>
        <w:t xml:space="preserve"> it is unsurprising </w:t>
      </w:r>
      <w:r w:rsidR="00950907">
        <w:rPr>
          <w:rFonts w:cs="Times New Roman"/>
          <w:szCs w:val="22"/>
        </w:rPr>
        <w:t xml:space="preserve">that </w:t>
      </w:r>
      <w:r w:rsidR="00D95EEF">
        <w:rPr>
          <w:rFonts w:cs="Times New Roman"/>
          <w:szCs w:val="22"/>
        </w:rPr>
        <w:t>SARS-CoV-2 exosomes have been</w:t>
      </w:r>
      <w:r w:rsidR="00D95EEF" w:rsidRPr="001D07DB">
        <w:rPr>
          <w:rFonts w:cs="Times New Roman"/>
          <w:szCs w:val="22"/>
        </w:rPr>
        <w:t xml:space="preserve"> implicated in </w:t>
      </w:r>
      <w:r w:rsidR="00D95EEF" w:rsidRPr="00C672F2">
        <w:rPr>
          <w:rFonts w:cs="Times New Roman"/>
          <w:b/>
          <w:bCs w:val="0"/>
          <w:szCs w:val="22"/>
        </w:rPr>
        <w:t>inflammation, coagulation, complement pathways, and immunomodulation</w:t>
      </w:r>
      <w:r w:rsidR="00D95EEF">
        <w:rPr>
          <w:rFonts w:cs="Times New Roman"/>
          <w:szCs w:val="22"/>
        </w:rPr>
        <w:t xml:space="preserve">, </w:t>
      </w:r>
      <w:r w:rsidR="00BB25DC">
        <w:rPr>
          <w:rFonts w:cs="Times New Roman"/>
          <w:szCs w:val="22"/>
        </w:rPr>
        <w:t>with</w:t>
      </w:r>
      <w:r w:rsidR="0008027E">
        <w:rPr>
          <w:rFonts w:cs="Times New Roman"/>
          <w:szCs w:val="22"/>
        </w:rPr>
        <w:t xml:space="preserve"> exosome-associated biomarkers</w:t>
      </w:r>
      <w:r w:rsidR="00D95EEF">
        <w:rPr>
          <w:rFonts w:cs="Times New Roman"/>
          <w:szCs w:val="22"/>
        </w:rPr>
        <w:t xml:space="preserve"> </w:t>
      </w:r>
      <w:r w:rsidR="00D95EEF" w:rsidRPr="0008027E">
        <w:rPr>
          <w:rFonts w:cs="Times New Roman"/>
          <w:szCs w:val="22"/>
        </w:rPr>
        <w:t>correlat</w:t>
      </w:r>
      <w:r w:rsidR="00BB25DC">
        <w:rPr>
          <w:rFonts w:cs="Times New Roman"/>
          <w:szCs w:val="22"/>
        </w:rPr>
        <w:t>ing</w:t>
      </w:r>
      <w:r w:rsidR="00D95EEF" w:rsidRPr="0008027E">
        <w:rPr>
          <w:rFonts w:cs="Times New Roman"/>
          <w:szCs w:val="22"/>
        </w:rPr>
        <w:t xml:space="preserve"> with disease </w:t>
      </w:r>
      <w:r w:rsidR="00D95EEF">
        <w:rPr>
          <w:rFonts w:cs="Times New Roman"/>
          <w:szCs w:val="22"/>
        </w:rPr>
        <w:t>severity.</w:t>
      </w:r>
      <w:r w:rsidR="00D95EEF" w:rsidRPr="001D07DB">
        <w:rPr>
          <w:rStyle w:val="EndnoteReference"/>
          <w:rFonts w:cs="Times New Roman"/>
          <w:szCs w:val="22"/>
        </w:rPr>
        <w:endnoteReference w:id="256"/>
      </w:r>
      <w:r w:rsidR="00D95EEF">
        <w:rPr>
          <w:rFonts w:cs="Times New Roman"/>
          <w:szCs w:val="22"/>
        </w:rPr>
        <w:t xml:space="preserve"> </w:t>
      </w:r>
      <w:r w:rsidR="00D95EEF" w:rsidRPr="00C672F2">
        <w:rPr>
          <w:szCs w:val="22"/>
        </w:rPr>
        <w:t>Comirnaty</w:t>
      </w:r>
      <w:r w:rsidR="00D95EEF" w:rsidRPr="00C672F2">
        <w:t xml:space="preserve"> vaccination</w:t>
      </w:r>
      <w:r w:rsidR="00D95EEF" w:rsidRPr="0096622D">
        <w:t xml:space="preserve"> </w:t>
      </w:r>
      <w:r w:rsidR="00D95EEF">
        <w:t xml:space="preserve">also </w:t>
      </w:r>
      <w:r w:rsidR="00950907">
        <w:t xml:space="preserve">induced </w:t>
      </w:r>
      <w:r w:rsidR="00D95EEF" w:rsidRPr="0096622D">
        <w:t>exosomes</w:t>
      </w:r>
      <w:r w:rsidR="00950907">
        <w:t xml:space="preserve"> containing the s</w:t>
      </w:r>
      <w:r w:rsidR="00950907" w:rsidRPr="0096622D">
        <w:t>pike protein</w:t>
      </w:r>
      <w:r w:rsidR="00950907">
        <w:t xml:space="preserve"> S2 sub-unit,</w:t>
      </w:r>
      <w:r w:rsidR="00950907" w:rsidRPr="0096622D">
        <w:t xml:space="preserve"> </w:t>
      </w:r>
      <w:r w:rsidR="00D95EEF">
        <w:t xml:space="preserve">which </w:t>
      </w:r>
      <w:r w:rsidR="00950907">
        <w:t>were</w:t>
      </w:r>
      <w:r w:rsidR="00D95EEF">
        <w:t xml:space="preserve"> </w:t>
      </w:r>
      <w:r w:rsidR="00D95EEF" w:rsidRPr="008C0E05">
        <w:t xml:space="preserve">detectable </w:t>
      </w:r>
      <w:r w:rsidR="00D95EEF">
        <w:t xml:space="preserve">in </w:t>
      </w:r>
      <w:r w:rsidR="00950907">
        <w:t>plasma</w:t>
      </w:r>
      <w:r w:rsidR="00D95EEF">
        <w:t xml:space="preserve"> </w:t>
      </w:r>
      <w:r w:rsidR="00D95EEF" w:rsidRPr="000A1089">
        <w:rPr>
          <w:b/>
          <w:bCs w:val="0"/>
        </w:rPr>
        <w:t>14 days after the first vaccination</w:t>
      </w:r>
      <w:r w:rsidR="00950907">
        <w:t xml:space="preserve">, </w:t>
      </w:r>
      <w:r w:rsidR="00D95EEF">
        <w:t xml:space="preserve">were </w:t>
      </w:r>
      <w:r w:rsidR="00D95EEF" w:rsidRPr="00377281">
        <w:t>significant</w:t>
      </w:r>
      <w:r w:rsidR="00D95EEF">
        <w:t>ly</w:t>
      </w:r>
      <w:r w:rsidR="00D95EEF" w:rsidRPr="00377281">
        <w:t xml:space="preserve"> </w:t>
      </w:r>
      <w:r w:rsidR="00D95EEF">
        <w:t>boosted</w:t>
      </w:r>
      <w:r w:rsidR="00D95EEF" w:rsidRPr="00377281">
        <w:t xml:space="preserve"> </w:t>
      </w:r>
      <w:r w:rsidR="00D95EEF">
        <w:t xml:space="preserve">by </w:t>
      </w:r>
      <w:r w:rsidR="00D95EEF" w:rsidRPr="00377281">
        <w:t xml:space="preserve">14 </w:t>
      </w:r>
      <w:r w:rsidR="00D95EEF">
        <w:t xml:space="preserve">days after the second dose and were still detectable </w:t>
      </w:r>
      <w:r w:rsidR="00D95EEF" w:rsidRPr="000A1089">
        <w:rPr>
          <w:b/>
          <w:bCs w:val="0"/>
        </w:rPr>
        <w:t>four months later</w:t>
      </w:r>
      <w:r w:rsidR="00D95EEF">
        <w:t>.</w:t>
      </w:r>
      <w:r w:rsidR="00950907">
        <w:t xml:space="preserve"> </w:t>
      </w:r>
      <w:r w:rsidR="00D95EEF">
        <w:t>Spike protein-loaded exosome kinetics tracked the antibody response indicating a potential role in immunogenicity</w:t>
      </w:r>
      <w:r w:rsidR="000A1089">
        <w:t xml:space="preserve"> as well</w:t>
      </w:r>
      <w:r w:rsidR="00D95EEF" w:rsidRPr="007278DC">
        <w:t>.</w:t>
      </w:r>
      <w:r w:rsidR="00D95EEF" w:rsidRPr="0008027E">
        <w:rPr>
          <w:rStyle w:val="EndnoteReference"/>
        </w:rPr>
        <w:endnoteReference w:id="257"/>
      </w:r>
      <w:r w:rsidR="0008027E" w:rsidRPr="0008027E">
        <w:rPr>
          <w:vertAlign w:val="superscript"/>
        </w:rPr>
        <w:t>,</w:t>
      </w:r>
      <w:r w:rsidR="0008027E" w:rsidRPr="0008027E">
        <w:rPr>
          <w:rStyle w:val="EndnoteReference"/>
        </w:rPr>
        <w:endnoteReference w:id="258"/>
      </w:r>
    </w:p>
    <w:p w14:paraId="5FF85D0F" w14:textId="2F362BC7" w:rsidR="00D367D9" w:rsidRPr="000A1089" w:rsidRDefault="00D367D9" w:rsidP="00D367D9">
      <w:r w:rsidRPr="00BB25DC">
        <w:rPr>
          <w:rFonts w:cs="Times New Roman"/>
          <w:b/>
          <w:bCs w:val="0"/>
          <w:szCs w:val="22"/>
          <w:u w:val="single"/>
        </w:rPr>
        <w:t xml:space="preserve">Mechanism 3: </w:t>
      </w:r>
      <w:r w:rsidR="00BB25DC" w:rsidRPr="00BB25DC">
        <w:rPr>
          <w:rFonts w:cs="Times New Roman"/>
          <w:b/>
          <w:bCs w:val="0"/>
          <w:szCs w:val="22"/>
          <w:u w:val="single"/>
        </w:rPr>
        <w:t>Autoimmunity and immune-mediated</w:t>
      </w:r>
      <w:r w:rsidR="00BB25DC" w:rsidRPr="00BB25DC">
        <w:rPr>
          <w:rFonts w:cs="Times New Roman"/>
          <w:szCs w:val="22"/>
          <w:u w:val="single"/>
        </w:rPr>
        <w:t>.</w:t>
      </w:r>
      <w:r w:rsidR="00BB25DC">
        <w:rPr>
          <w:rFonts w:cs="Times New Roman"/>
          <w:szCs w:val="22"/>
        </w:rPr>
        <w:t xml:space="preserve"> </w:t>
      </w:r>
      <w:r w:rsidRPr="00D367D9">
        <w:t>COVID-19 vaccination with mRNA, viral vectors, and inactivated vaccines</w:t>
      </w:r>
      <w:r w:rsidRPr="00D367D9">
        <w:rPr>
          <w:rStyle w:val="EndnoteReference"/>
        </w:rPr>
        <w:endnoteReference w:id="259"/>
      </w:r>
      <w:r w:rsidRPr="00D367D9">
        <w:rPr>
          <w:vertAlign w:val="superscript"/>
        </w:rPr>
        <w:t>,</w:t>
      </w:r>
      <w:r w:rsidRPr="00D367D9">
        <w:rPr>
          <w:rStyle w:val="EndnoteReference"/>
        </w:rPr>
        <w:endnoteReference w:id="260"/>
      </w:r>
      <w:r w:rsidRPr="00D367D9">
        <w:t xml:space="preserve"> have been associated with new-onset and flare-ups of autoimmune disease including autoimmune hepatitis,</w:t>
      </w:r>
      <w:r w:rsidRPr="00D367D9">
        <w:rPr>
          <w:rStyle w:val="EndnoteReference"/>
        </w:rPr>
        <w:endnoteReference w:id="261"/>
      </w:r>
      <w:r w:rsidRPr="00D367D9">
        <w:rPr>
          <w:rStyle w:val="EndnoteReference"/>
        </w:rPr>
        <w:t>,</w:t>
      </w:r>
      <w:r w:rsidRPr="00D367D9">
        <w:rPr>
          <w:rStyle w:val="EndnoteReference"/>
        </w:rPr>
        <w:endnoteReference w:id="262"/>
      </w:r>
      <w:r w:rsidRPr="00D367D9">
        <w:rPr>
          <w:rStyle w:val="EndnoteReference"/>
        </w:rPr>
        <w:t>,</w:t>
      </w:r>
      <w:r w:rsidRPr="00D367D9">
        <w:rPr>
          <w:rStyle w:val="EndnoteReference"/>
        </w:rPr>
        <w:endnoteReference w:id="263"/>
      </w:r>
      <w:r w:rsidRPr="00D367D9">
        <w:t xml:space="preserve"> hematologic autoimmunities,</w:t>
      </w:r>
      <w:r w:rsidRPr="00D367D9">
        <w:rPr>
          <w:rStyle w:val="EndnoteReference"/>
        </w:rPr>
        <w:endnoteReference w:id="264"/>
      </w:r>
      <w:r w:rsidRPr="00D367D9">
        <w:t>,</w:t>
      </w:r>
      <w:r w:rsidRPr="00D367D9">
        <w:rPr>
          <w:rStyle w:val="EndnoteReference"/>
        </w:rPr>
        <w:endnoteReference w:id="265"/>
      </w:r>
      <w:r w:rsidRPr="00D367D9">
        <w:t xml:space="preserve"> Guillain-Barré syndrome,</w:t>
      </w:r>
      <w:r w:rsidRPr="00D367D9">
        <w:rPr>
          <w:rStyle w:val="EndnoteReference"/>
        </w:rPr>
        <w:endnoteReference w:id="266"/>
      </w:r>
      <w:r w:rsidRPr="00D367D9">
        <w:t xml:space="preserve"> IgA nephropathy, CNS demyelination autoimmunities,</w:t>
      </w:r>
      <w:r w:rsidRPr="00D367D9">
        <w:rPr>
          <w:rStyle w:val="EndnoteReference"/>
        </w:rPr>
        <w:endnoteReference w:id="267"/>
      </w:r>
      <w:r w:rsidRPr="00D367D9">
        <w:t xml:space="preserve"> encephalitis autoimmunities,</w:t>
      </w:r>
      <w:r w:rsidRPr="00D367D9">
        <w:rPr>
          <w:rStyle w:val="EndnoteReference"/>
        </w:rPr>
        <w:endnoteReference w:id="268"/>
      </w:r>
      <w:r w:rsidRPr="00D367D9">
        <w:t xml:space="preserve"> among others.</w:t>
      </w:r>
      <w:r w:rsidRPr="00D367D9">
        <w:rPr>
          <w:rStyle w:val="EndnoteReference"/>
        </w:rPr>
        <w:t xml:space="preserve"> </w:t>
      </w:r>
      <w:r w:rsidRPr="00D367D9">
        <w:t xml:space="preserve">However, information regarding the risk of vaccine-associated autoimmune disease is controversial and </w:t>
      </w:r>
      <w:r w:rsidR="000666DD">
        <w:t xml:space="preserve">is </w:t>
      </w:r>
      <w:r w:rsidRPr="00D367D9">
        <w:t xml:space="preserve">hindered by the low incidence and </w:t>
      </w:r>
      <w:r w:rsidR="000666DD">
        <w:t xml:space="preserve">the </w:t>
      </w:r>
      <w:r w:rsidRPr="000A1089">
        <w:rPr>
          <w:b/>
          <w:bCs w:val="0"/>
        </w:rPr>
        <w:t>diverse array</w:t>
      </w:r>
      <w:r w:rsidRPr="00D367D9">
        <w:t xml:space="preserve"> of </w:t>
      </w:r>
      <w:r w:rsidR="000666DD">
        <w:t xml:space="preserve">autoimmune </w:t>
      </w:r>
      <w:r w:rsidRPr="00D367D9">
        <w:t>diseases.</w:t>
      </w:r>
      <w:r w:rsidRPr="00D367D9">
        <w:rPr>
          <w:rStyle w:val="EndnoteReference"/>
        </w:rPr>
        <w:endnoteReference w:id="269"/>
      </w:r>
      <w:r w:rsidRPr="00D367D9">
        <w:t xml:space="preserve"> </w:t>
      </w:r>
      <w:r w:rsidR="009405A1">
        <w:rPr>
          <w:rFonts w:cs="Times New Roman"/>
          <w:szCs w:val="22"/>
        </w:rPr>
        <w:t xml:space="preserve">The </w:t>
      </w:r>
      <w:r w:rsidR="000A1089">
        <w:rPr>
          <w:rFonts w:cs="Times New Roman"/>
          <w:szCs w:val="22"/>
        </w:rPr>
        <w:t xml:space="preserve">vaccine </w:t>
      </w:r>
      <w:r w:rsidR="009405A1">
        <w:rPr>
          <w:rFonts w:cs="Times New Roman"/>
          <w:szCs w:val="22"/>
        </w:rPr>
        <w:t>risk of autoimmunity</w:t>
      </w:r>
      <w:r w:rsidR="009405A1" w:rsidRPr="00D367D9">
        <w:rPr>
          <w:rFonts w:cs="Times New Roman"/>
          <w:szCs w:val="22"/>
        </w:rPr>
        <w:t xml:space="preserve"> </w:t>
      </w:r>
      <w:r w:rsidR="000A1089">
        <w:rPr>
          <w:rFonts w:cs="Times New Roman"/>
          <w:szCs w:val="22"/>
        </w:rPr>
        <w:t>prioritizes</w:t>
      </w:r>
      <w:r w:rsidR="009405A1" w:rsidRPr="00D367D9">
        <w:rPr>
          <w:rFonts w:cs="Times New Roman"/>
          <w:szCs w:val="22"/>
        </w:rPr>
        <w:t xml:space="preserve"> </w:t>
      </w:r>
      <w:r w:rsidR="000A1089">
        <w:rPr>
          <w:rFonts w:cs="Times New Roman"/>
          <w:szCs w:val="22"/>
        </w:rPr>
        <w:t>knowing</w:t>
      </w:r>
      <w:r w:rsidR="009405A1" w:rsidRPr="00D367D9">
        <w:rPr>
          <w:rFonts w:cs="Times New Roman"/>
          <w:szCs w:val="22"/>
        </w:rPr>
        <w:t xml:space="preserve"> which tissues </w:t>
      </w:r>
      <w:r w:rsidR="009405A1" w:rsidRPr="000A1089">
        <w:rPr>
          <w:rFonts w:cs="Times New Roman"/>
          <w:b/>
          <w:bCs w:val="0"/>
          <w:szCs w:val="22"/>
        </w:rPr>
        <w:t xml:space="preserve">uptake the </w:t>
      </w:r>
      <w:r w:rsidR="000A1089" w:rsidRPr="000A1089">
        <w:rPr>
          <w:rFonts w:cs="Times New Roman"/>
          <w:b/>
          <w:bCs w:val="0"/>
          <w:szCs w:val="22"/>
        </w:rPr>
        <w:t xml:space="preserve">spike protein </w:t>
      </w:r>
      <w:r w:rsidR="009405A1" w:rsidRPr="000A1089">
        <w:rPr>
          <w:rFonts w:cs="Times New Roman"/>
          <w:b/>
          <w:bCs w:val="0"/>
          <w:szCs w:val="22"/>
        </w:rPr>
        <w:t>mRNA</w:t>
      </w:r>
      <w:r w:rsidR="009405A1" w:rsidRPr="00D367D9">
        <w:rPr>
          <w:rFonts w:cs="Times New Roman"/>
          <w:szCs w:val="22"/>
        </w:rPr>
        <w:t xml:space="preserve"> </w:t>
      </w:r>
      <w:r w:rsidR="009405A1">
        <w:rPr>
          <w:rFonts w:cs="Times New Roman"/>
          <w:szCs w:val="22"/>
        </w:rPr>
        <w:t xml:space="preserve">and the </w:t>
      </w:r>
      <w:r w:rsidR="000A1089" w:rsidRPr="000A1089">
        <w:rPr>
          <w:rFonts w:cs="Times New Roman"/>
          <w:b/>
          <w:bCs w:val="0"/>
          <w:szCs w:val="22"/>
        </w:rPr>
        <w:t>tissue-organ sensitivity</w:t>
      </w:r>
      <w:r w:rsidR="000A1089">
        <w:rPr>
          <w:rFonts w:cs="Times New Roman"/>
          <w:szCs w:val="22"/>
        </w:rPr>
        <w:t xml:space="preserve"> to </w:t>
      </w:r>
      <w:r w:rsidR="009405A1">
        <w:rPr>
          <w:rFonts w:cs="Times New Roman"/>
          <w:szCs w:val="22"/>
        </w:rPr>
        <w:t xml:space="preserve">pro-inflammatory lipid </w:t>
      </w:r>
      <w:r w:rsidR="009405A1" w:rsidRPr="000A1089">
        <w:rPr>
          <w:rFonts w:cs="Times New Roman"/>
          <w:szCs w:val="22"/>
        </w:rPr>
        <w:t>nanoparticles (section</w:t>
      </w:r>
      <w:r w:rsidR="000A1089" w:rsidRPr="000A1089">
        <w:rPr>
          <w:rFonts w:cs="Times New Roman"/>
          <w:szCs w:val="22"/>
        </w:rPr>
        <w:t>s</w:t>
      </w:r>
      <w:r w:rsidR="009405A1" w:rsidRPr="000A1089">
        <w:rPr>
          <w:rFonts w:cs="Times New Roman"/>
          <w:szCs w:val="22"/>
        </w:rPr>
        <w:t xml:space="preserve"> </w:t>
      </w:r>
      <w:r w:rsidR="003E2721" w:rsidRPr="000A1089">
        <w:rPr>
          <w:rFonts w:cs="Times New Roman"/>
          <w:szCs w:val="22"/>
        </w:rPr>
        <w:t>1.4.</w:t>
      </w:r>
      <w:r w:rsidR="000A1089" w:rsidRPr="000A1089">
        <w:rPr>
          <w:rFonts w:cs="Times New Roman"/>
          <w:szCs w:val="22"/>
        </w:rPr>
        <w:t>1-3</w:t>
      </w:r>
      <w:r w:rsidR="000A1089">
        <w:rPr>
          <w:rFonts w:cs="Times New Roman"/>
          <w:szCs w:val="22"/>
        </w:rPr>
        <w:t>, preclinical safety study deficits</w:t>
      </w:r>
      <w:r w:rsidR="009405A1" w:rsidRPr="000A1089">
        <w:rPr>
          <w:rFonts w:cs="Times New Roman"/>
          <w:szCs w:val="22"/>
        </w:rPr>
        <w:t>).</w:t>
      </w:r>
    </w:p>
    <w:p w14:paraId="5616E296" w14:textId="1538F3B9" w:rsidR="00D367D9" w:rsidRPr="00D367D9" w:rsidRDefault="00D367D9" w:rsidP="00D367D9">
      <w:r w:rsidRPr="00D367D9">
        <w:t>The main mechanisms by which COVID-19 vaccines putatively trigger autoimmunity include molecular mimicry and cross-reactivity</w:t>
      </w:r>
      <w:r w:rsidR="000A7EF1">
        <w:t xml:space="preserve"> resulting in </w:t>
      </w:r>
      <w:r w:rsidRPr="00D367D9">
        <w:t>auto-antibod</w:t>
      </w:r>
      <w:r w:rsidR="000A7EF1">
        <w:t>y and auto-Tcell mediated self-attack</w:t>
      </w:r>
      <w:r w:rsidRPr="00D367D9">
        <w:t xml:space="preserve">, </w:t>
      </w:r>
      <w:r w:rsidR="000A7EF1">
        <w:t xml:space="preserve">proinflammatory </w:t>
      </w:r>
      <w:r w:rsidRPr="00D367D9">
        <w:t xml:space="preserve">vaccine adjuvants </w:t>
      </w:r>
      <w:r w:rsidR="00C274BC">
        <w:t>and immunostimulants</w:t>
      </w:r>
      <w:r w:rsidR="000A7EF1">
        <w:t xml:space="preserve"> that help break self-tolerance</w:t>
      </w:r>
      <w:r w:rsidRPr="00D367D9">
        <w:t>, and non-specific bystander activation.</w:t>
      </w:r>
      <w:r w:rsidRPr="00D367D9">
        <w:rPr>
          <w:rStyle w:val="EndnoteReference"/>
        </w:rPr>
        <w:endnoteReference w:id="270"/>
      </w:r>
      <w:r w:rsidRPr="00D367D9">
        <w:rPr>
          <w:vertAlign w:val="superscript"/>
        </w:rPr>
        <w:t>,</w:t>
      </w:r>
      <w:r w:rsidRPr="00D367D9">
        <w:rPr>
          <w:rStyle w:val="EndnoteReference"/>
        </w:rPr>
        <w:endnoteReference w:id="271"/>
      </w:r>
      <w:r w:rsidRPr="00D367D9">
        <w:rPr>
          <w:vertAlign w:val="superscript"/>
        </w:rPr>
        <w:t>,</w:t>
      </w:r>
      <w:r w:rsidRPr="00D367D9">
        <w:rPr>
          <w:rStyle w:val="EndnoteReference"/>
        </w:rPr>
        <w:endnoteReference w:id="272"/>
      </w:r>
      <w:r w:rsidRPr="00D367D9">
        <w:t xml:space="preserve"> </w:t>
      </w:r>
      <w:r w:rsidRPr="00D367D9">
        <w:rPr>
          <w:rFonts w:cs="Times New Roman"/>
          <w:szCs w:val="22"/>
        </w:rPr>
        <w:t xml:space="preserve">Researchers demonstrated a high degree of </w:t>
      </w:r>
      <w:r w:rsidR="00673B1E">
        <w:rPr>
          <w:rFonts w:cs="Times New Roman"/>
          <w:szCs w:val="22"/>
        </w:rPr>
        <w:t xml:space="preserve">proven and predicted </w:t>
      </w:r>
      <w:r w:rsidR="00BB25DC">
        <w:rPr>
          <w:rFonts w:cs="Times New Roman"/>
          <w:szCs w:val="22"/>
        </w:rPr>
        <w:t xml:space="preserve">mimicry and </w:t>
      </w:r>
      <w:r w:rsidRPr="00D367D9">
        <w:rPr>
          <w:rFonts w:cs="Times New Roman"/>
          <w:szCs w:val="22"/>
        </w:rPr>
        <w:t>cross-reactivity between</w:t>
      </w:r>
      <w:r w:rsidR="00673B1E">
        <w:rPr>
          <w:rFonts w:cs="Times New Roman"/>
          <w:szCs w:val="22"/>
        </w:rPr>
        <w:t xml:space="preserve"> the</w:t>
      </w:r>
      <w:r w:rsidRPr="00D367D9">
        <w:rPr>
          <w:rFonts w:cs="Times New Roman"/>
          <w:szCs w:val="22"/>
        </w:rPr>
        <w:t xml:space="preserve"> SARS-CoV-2 spike protein and human tissue antigens, </w:t>
      </w:r>
      <w:r w:rsidRPr="00D367D9">
        <w:t>mediated by T- and B-cells</w:t>
      </w:r>
      <w:r w:rsidR="003E2721">
        <w:t>.</w:t>
      </w:r>
      <w:r w:rsidR="00673B1E">
        <w:rPr>
          <w:rStyle w:val="EndnoteReference"/>
        </w:rPr>
        <w:endnoteReference w:id="273"/>
      </w:r>
      <w:r w:rsidRPr="00D367D9">
        <w:t xml:space="preserve"> </w:t>
      </w:r>
      <w:r w:rsidR="003E2721">
        <w:t xml:space="preserve">This </w:t>
      </w:r>
      <w:r w:rsidR="003E2721" w:rsidRPr="00D367D9">
        <w:rPr>
          <w:rFonts w:cs="Times New Roman"/>
          <w:szCs w:val="22"/>
        </w:rPr>
        <w:t xml:space="preserve">cross-reactivity </w:t>
      </w:r>
      <w:r w:rsidR="003E2721">
        <w:t>included</w:t>
      </w:r>
      <w:r w:rsidRPr="00D367D9">
        <w:t xml:space="preserve"> </w:t>
      </w:r>
      <w:r w:rsidRPr="00D367D9">
        <w:rPr>
          <w:rFonts w:cs="Times New Roman"/>
          <w:szCs w:val="22"/>
        </w:rPr>
        <w:t>human</w:t>
      </w:r>
      <w:r w:rsidRPr="00D367D9">
        <w:rPr>
          <w:rFonts w:cs="Times New Roman"/>
          <w:i/>
          <w:iCs/>
          <w:szCs w:val="22"/>
        </w:rPr>
        <w:t xml:space="preserve"> barrier proteins, lung surfactant, cardiovascular, </w:t>
      </w:r>
      <w:r w:rsidR="0094398B">
        <w:rPr>
          <w:rFonts w:cs="Times New Roman"/>
          <w:i/>
          <w:iCs/>
          <w:szCs w:val="22"/>
        </w:rPr>
        <w:t xml:space="preserve">lung, </w:t>
      </w:r>
      <w:r w:rsidR="0094398B" w:rsidRPr="00D367D9">
        <w:rPr>
          <w:rFonts w:cs="Times New Roman"/>
          <w:i/>
          <w:iCs/>
          <w:szCs w:val="22"/>
        </w:rPr>
        <w:t xml:space="preserve">nervous system, </w:t>
      </w:r>
      <w:r w:rsidRPr="00D367D9">
        <w:rPr>
          <w:rFonts w:cs="Times New Roman"/>
          <w:i/>
          <w:iCs/>
          <w:szCs w:val="22"/>
        </w:rPr>
        <w:t xml:space="preserve">gastrointestinal, </w:t>
      </w:r>
      <w:r w:rsidR="0094398B" w:rsidRPr="00D367D9">
        <w:rPr>
          <w:rFonts w:cs="Times New Roman"/>
          <w:i/>
          <w:iCs/>
          <w:szCs w:val="22"/>
        </w:rPr>
        <w:t>connective tissues</w:t>
      </w:r>
      <w:r w:rsidR="0094398B">
        <w:rPr>
          <w:rFonts w:cs="Times New Roman"/>
          <w:i/>
          <w:iCs/>
          <w:szCs w:val="22"/>
        </w:rPr>
        <w:t xml:space="preserve">, and </w:t>
      </w:r>
      <w:r w:rsidRPr="00D367D9">
        <w:rPr>
          <w:rFonts w:cs="Times New Roman"/>
          <w:i/>
          <w:iCs/>
          <w:szCs w:val="22"/>
        </w:rPr>
        <w:t>thyroid</w:t>
      </w:r>
      <w:r w:rsidR="0094398B">
        <w:rPr>
          <w:rFonts w:cs="Times New Roman"/>
          <w:i/>
          <w:iCs/>
          <w:szCs w:val="22"/>
        </w:rPr>
        <w:t xml:space="preserve"> tissues, among others</w:t>
      </w:r>
      <w:r w:rsidRPr="00D367D9">
        <w:rPr>
          <w:rFonts w:cs="Times New Roman"/>
          <w:i/>
          <w:iCs/>
          <w:szCs w:val="22"/>
        </w:rPr>
        <w:t>.</w:t>
      </w:r>
      <w:r w:rsidRPr="00D367D9">
        <w:rPr>
          <w:rStyle w:val="EndnoteReference"/>
          <w:rFonts w:cs="Times New Roman"/>
          <w:szCs w:val="22"/>
        </w:rPr>
        <w:endnoteReference w:id="274"/>
      </w:r>
      <w:r w:rsidRPr="00D367D9">
        <w:rPr>
          <w:rFonts w:cs="Times New Roman"/>
          <w:szCs w:val="22"/>
          <w:vertAlign w:val="superscript"/>
        </w:rPr>
        <w:t>,</w:t>
      </w:r>
      <w:r w:rsidRPr="00D367D9">
        <w:rPr>
          <w:rStyle w:val="EndnoteReference"/>
          <w:rFonts w:cs="Times New Roman"/>
          <w:szCs w:val="22"/>
        </w:rPr>
        <w:endnoteReference w:id="275"/>
      </w:r>
      <w:r w:rsidRPr="00D367D9">
        <w:rPr>
          <w:rFonts w:cs="Times New Roman"/>
          <w:szCs w:val="22"/>
          <w:vertAlign w:val="superscript"/>
        </w:rPr>
        <w:t>,</w:t>
      </w:r>
      <w:r w:rsidRPr="00D367D9">
        <w:rPr>
          <w:rStyle w:val="EndnoteReference"/>
          <w:rFonts w:cs="Times New Roman"/>
          <w:szCs w:val="22"/>
        </w:rPr>
        <w:endnoteReference w:id="276"/>
      </w:r>
      <w:r w:rsidRPr="00D367D9">
        <w:rPr>
          <w:rFonts w:cs="Times New Roman"/>
          <w:szCs w:val="22"/>
          <w:vertAlign w:val="superscript"/>
        </w:rPr>
        <w:t>,</w:t>
      </w:r>
      <w:r w:rsidRPr="00D367D9">
        <w:rPr>
          <w:rStyle w:val="EndnoteReference"/>
          <w:rFonts w:cs="Times New Roman"/>
          <w:szCs w:val="22"/>
        </w:rPr>
        <w:endnoteReference w:id="277"/>
      </w:r>
      <w:r w:rsidRPr="00D367D9">
        <w:rPr>
          <w:rFonts w:cs="Times New Roman"/>
          <w:szCs w:val="22"/>
          <w:vertAlign w:val="superscript"/>
        </w:rPr>
        <w:t>,</w:t>
      </w:r>
      <w:r w:rsidRPr="00D367D9">
        <w:rPr>
          <w:rStyle w:val="EndnoteReference"/>
        </w:rPr>
        <w:endnoteReference w:id="278"/>
      </w:r>
      <w:r w:rsidRPr="00D367D9">
        <w:rPr>
          <w:vertAlign w:val="superscript"/>
        </w:rPr>
        <w:t>,</w:t>
      </w:r>
      <w:r w:rsidRPr="00D367D9">
        <w:rPr>
          <w:rStyle w:val="EndnoteReference"/>
        </w:rPr>
        <w:endnoteReference w:id="279"/>
      </w:r>
      <w:r w:rsidRPr="00D367D9">
        <w:rPr>
          <w:vertAlign w:val="superscript"/>
        </w:rPr>
        <w:t xml:space="preserve"> </w:t>
      </w:r>
      <w:r w:rsidRPr="00D367D9">
        <w:rPr>
          <w:rFonts w:cs="Times New Roman"/>
          <w:szCs w:val="22"/>
        </w:rPr>
        <w:t>As such, molecular mimicry and cross-reactivity mediated by T-cells and auto</w:t>
      </w:r>
      <w:r w:rsidR="00662742">
        <w:rPr>
          <w:rFonts w:cs="Times New Roman"/>
          <w:szCs w:val="22"/>
        </w:rPr>
        <w:t>-</w:t>
      </w:r>
      <w:r w:rsidRPr="00D367D9">
        <w:rPr>
          <w:rFonts w:cs="Times New Roman"/>
          <w:szCs w:val="22"/>
        </w:rPr>
        <w:t xml:space="preserve">antibodies </w:t>
      </w:r>
      <w:r w:rsidR="00673B1E">
        <w:rPr>
          <w:rFonts w:cs="Times New Roman"/>
          <w:szCs w:val="22"/>
        </w:rPr>
        <w:t>could</w:t>
      </w:r>
      <w:r w:rsidRPr="00D367D9">
        <w:rPr>
          <w:rFonts w:cs="Times New Roman"/>
          <w:szCs w:val="22"/>
        </w:rPr>
        <w:t xml:space="preserve"> play a role in the multi-system disease process</w:t>
      </w:r>
      <w:r w:rsidR="000666DD">
        <w:rPr>
          <w:rFonts w:cs="Times New Roman"/>
          <w:szCs w:val="22"/>
        </w:rPr>
        <w:t>es</w:t>
      </w:r>
      <w:r w:rsidRPr="00D367D9">
        <w:rPr>
          <w:rFonts w:cs="Times New Roman"/>
          <w:szCs w:val="22"/>
        </w:rPr>
        <w:t xml:space="preserve"> of COVID-19 </w:t>
      </w:r>
      <w:r w:rsidR="000666DD">
        <w:rPr>
          <w:rFonts w:cs="Times New Roman"/>
          <w:szCs w:val="22"/>
        </w:rPr>
        <w:t xml:space="preserve">infection </w:t>
      </w:r>
      <w:r w:rsidRPr="00D367D9">
        <w:rPr>
          <w:rFonts w:cs="Times New Roman"/>
          <w:szCs w:val="22"/>
        </w:rPr>
        <w:t>and vaccination.</w:t>
      </w:r>
      <w:r w:rsidRPr="00D367D9">
        <w:rPr>
          <w:vertAlign w:val="superscript"/>
        </w:rPr>
        <w:t xml:space="preserve"> </w:t>
      </w:r>
      <w:r w:rsidRPr="00D367D9">
        <w:t xml:space="preserve">The mRNA </w:t>
      </w:r>
      <w:r w:rsidR="009405A1">
        <w:t xml:space="preserve">in the COVID-19 </w:t>
      </w:r>
      <w:r w:rsidRPr="00D367D9">
        <w:t>vaccine also acts as an immunostimulant engag</w:t>
      </w:r>
      <w:r w:rsidR="00BB25DC">
        <w:t>ing</w:t>
      </w:r>
      <w:r w:rsidRPr="00D367D9">
        <w:t xml:space="preserve"> Toll-like receptors and </w:t>
      </w:r>
      <w:r w:rsidR="0094398B">
        <w:t>intracellular</w:t>
      </w:r>
      <w:r w:rsidRPr="00D367D9">
        <w:t xml:space="preserve"> inflammasome components </w:t>
      </w:r>
      <w:r w:rsidR="00673B1E">
        <w:t xml:space="preserve">to </w:t>
      </w:r>
      <w:r w:rsidRPr="00D367D9">
        <w:t>trigger inflammation and immunity,</w:t>
      </w:r>
      <w:r w:rsidRPr="00D367D9">
        <w:rPr>
          <w:rStyle w:val="EndnoteReference"/>
        </w:rPr>
        <w:endnoteReference w:id="280"/>
      </w:r>
      <w:r w:rsidRPr="00D367D9">
        <w:t xml:space="preserve"> </w:t>
      </w:r>
      <w:r w:rsidR="00673B1E">
        <w:t>as do</w:t>
      </w:r>
      <w:r w:rsidRPr="00D367D9">
        <w:t xml:space="preserve"> lipid nanoparticle formulation</w:t>
      </w:r>
      <w:r w:rsidR="00673B1E">
        <w:rPr>
          <w:rStyle w:val="EndnoteReference"/>
          <w:rFonts w:eastAsiaTheme="majorEastAsia" w:cs="Times New Roman"/>
          <w:szCs w:val="22"/>
          <w:vertAlign w:val="baseline"/>
        </w:rPr>
        <w:t>s.</w:t>
      </w:r>
      <w:r w:rsidRPr="00D367D9">
        <w:rPr>
          <w:rStyle w:val="EndnoteReference"/>
          <w:rFonts w:cs="Times New Roman"/>
          <w:szCs w:val="22"/>
        </w:rPr>
        <w:endnoteReference w:id="281"/>
      </w:r>
    </w:p>
    <w:p w14:paraId="04179C49" w14:textId="5E6E3D89" w:rsidR="00E56221" w:rsidRDefault="00673B1E" w:rsidP="00967B2E">
      <w:pPr>
        <w:rPr>
          <w:rFonts w:cs="Times New Roman"/>
          <w:szCs w:val="22"/>
        </w:rPr>
      </w:pPr>
      <w:r>
        <w:rPr>
          <w:rFonts w:cs="Times New Roman"/>
          <w:szCs w:val="22"/>
        </w:rPr>
        <w:lastRenderedPageBreak/>
        <w:t>C</w:t>
      </w:r>
      <w:r w:rsidR="00E56221" w:rsidRPr="00C93329">
        <w:rPr>
          <w:rFonts w:cs="Times New Roman"/>
          <w:szCs w:val="22"/>
        </w:rPr>
        <w:t xml:space="preserve">ells in tissues up taking the </w:t>
      </w:r>
      <w:r w:rsidR="00C93329" w:rsidRPr="00C93329">
        <w:rPr>
          <w:rFonts w:cs="Times New Roman"/>
          <w:szCs w:val="22"/>
        </w:rPr>
        <w:t xml:space="preserve">gene-therapy-vaccine </w:t>
      </w:r>
      <w:r w:rsidR="00E56221" w:rsidRPr="00C93329">
        <w:rPr>
          <w:rFonts w:cs="Times New Roman"/>
          <w:szCs w:val="22"/>
        </w:rPr>
        <w:t xml:space="preserve">mRNA, which then </w:t>
      </w:r>
      <w:r>
        <w:rPr>
          <w:rFonts w:cs="Times New Roman"/>
          <w:szCs w:val="22"/>
        </w:rPr>
        <w:t>transcribes</w:t>
      </w:r>
      <w:r w:rsidR="00E56221" w:rsidRPr="00C93329">
        <w:rPr>
          <w:rFonts w:cs="Times New Roman"/>
          <w:szCs w:val="22"/>
        </w:rPr>
        <w:t xml:space="preserve"> </w:t>
      </w:r>
      <w:r w:rsidR="00D60A18">
        <w:rPr>
          <w:rFonts w:cs="Times New Roman"/>
          <w:szCs w:val="22"/>
        </w:rPr>
        <w:t>that</w:t>
      </w:r>
      <w:r w:rsidR="00E56221" w:rsidRPr="00C93329">
        <w:rPr>
          <w:rFonts w:cs="Times New Roman"/>
          <w:szCs w:val="22"/>
        </w:rPr>
        <w:t xml:space="preserve"> into spike protein</w:t>
      </w:r>
      <w:r w:rsidR="003E2721">
        <w:rPr>
          <w:rFonts w:cs="Times New Roman"/>
          <w:szCs w:val="22"/>
        </w:rPr>
        <w:t>s</w:t>
      </w:r>
      <w:r w:rsidR="00E56221" w:rsidRPr="00C93329">
        <w:rPr>
          <w:rFonts w:cs="Times New Roman"/>
          <w:szCs w:val="22"/>
        </w:rPr>
        <w:t xml:space="preserve"> </w:t>
      </w:r>
      <w:r w:rsidR="00C93329" w:rsidRPr="00C93329">
        <w:rPr>
          <w:rFonts w:cs="Times New Roman"/>
          <w:szCs w:val="22"/>
        </w:rPr>
        <w:t xml:space="preserve">and </w:t>
      </w:r>
      <w:r>
        <w:rPr>
          <w:rFonts w:cs="Times New Roman"/>
          <w:szCs w:val="22"/>
        </w:rPr>
        <w:t>present</w:t>
      </w:r>
      <w:r w:rsidR="00C93329" w:rsidRPr="00C93329">
        <w:rPr>
          <w:rFonts w:cs="Times New Roman"/>
          <w:szCs w:val="22"/>
        </w:rPr>
        <w:t xml:space="preserve"> CD8+ </w:t>
      </w:r>
      <w:r w:rsidRPr="00C93329">
        <w:rPr>
          <w:rFonts w:cs="Times New Roman"/>
          <w:szCs w:val="22"/>
        </w:rPr>
        <w:t>Tcell epitopes</w:t>
      </w:r>
      <w:r>
        <w:rPr>
          <w:rFonts w:cs="Times New Roman"/>
          <w:szCs w:val="22"/>
        </w:rPr>
        <w:t xml:space="preserve"> </w:t>
      </w:r>
      <w:r w:rsidRPr="00C93329">
        <w:rPr>
          <w:rFonts w:cs="Times New Roman"/>
          <w:szCs w:val="22"/>
        </w:rPr>
        <w:t>on their cell surface</w:t>
      </w:r>
      <w:r>
        <w:rPr>
          <w:rFonts w:cs="Times New Roman"/>
          <w:szCs w:val="22"/>
        </w:rPr>
        <w:t xml:space="preserve"> </w:t>
      </w:r>
      <w:r w:rsidR="00D60A18">
        <w:rPr>
          <w:rFonts w:cs="Times New Roman"/>
          <w:szCs w:val="22"/>
        </w:rPr>
        <w:t xml:space="preserve">in HLA class I molecules </w:t>
      </w:r>
      <w:r>
        <w:rPr>
          <w:rFonts w:cs="Times New Roman"/>
          <w:szCs w:val="22"/>
        </w:rPr>
        <w:t xml:space="preserve">(i.e., </w:t>
      </w:r>
      <w:r w:rsidRPr="00C274BC">
        <w:rPr>
          <w:rFonts w:cs="Times New Roman"/>
          <w:b/>
          <w:bCs w:val="0"/>
          <w:szCs w:val="22"/>
        </w:rPr>
        <w:t>non-self</w:t>
      </w:r>
      <w:r>
        <w:rPr>
          <w:rFonts w:cs="Times New Roman"/>
          <w:szCs w:val="22"/>
        </w:rPr>
        <w:t xml:space="preserve">, </w:t>
      </w:r>
      <w:r w:rsidR="0094398B" w:rsidRPr="0094398B">
        <w:rPr>
          <w:rFonts w:cs="Times New Roman"/>
          <w:b/>
          <w:bCs w:val="0"/>
          <w:szCs w:val="22"/>
        </w:rPr>
        <w:t>self/mimicry</w:t>
      </w:r>
      <w:r>
        <w:rPr>
          <w:rFonts w:cs="Times New Roman"/>
          <w:szCs w:val="22"/>
        </w:rPr>
        <w:t>),</w:t>
      </w:r>
      <w:r w:rsidRPr="00673B1E">
        <w:rPr>
          <w:rStyle w:val="EndnoteReference"/>
          <w:rFonts w:cs="Times New Roman"/>
          <w:szCs w:val="22"/>
        </w:rPr>
        <w:endnoteReference w:id="282"/>
      </w:r>
      <w:r w:rsidRPr="00673B1E">
        <w:rPr>
          <w:rFonts w:cs="Times New Roman"/>
          <w:szCs w:val="22"/>
          <w:vertAlign w:val="superscript"/>
        </w:rPr>
        <w:t>,</w:t>
      </w:r>
      <w:r w:rsidRPr="00673B1E">
        <w:rPr>
          <w:rStyle w:val="EndnoteReference"/>
          <w:rFonts w:cs="Times New Roman"/>
          <w:szCs w:val="22"/>
        </w:rPr>
        <w:endnoteReference w:id="283"/>
      </w:r>
      <w:r w:rsidRPr="00673B1E">
        <w:rPr>
          <w:rFonts w:cs="Times New Roman"/>
          <w:szCs w:val="22"/>
          <w:vertAlign w:val="superscript"/>
        </w:rPr>
        <w:t xml:space="preserve"> </w:t>
      </w:r>
      <w:r>
        <w:rPr>
          <w:rFonts w:cs="Times New Roman"/>
          <w:szCs w:val="22"/>
        </w:rPr>
        <w:t>and potentially</w:t>
      </w:r>
      <w:r w:rsidR="00D60A18">
        <w:rPr>
          <w:rFonts w:cs="Times New Roman"/>
          <w:szCs w:val="22"/>
        </w:rPr>
        <w:t xml:space="preserve"> non-traditional </w:t>
      </w:r>
      <w:r w:rsidR="00182EA7">
        <w:rPr>
          <w:rFonts w:cs="Times New Roman"/>
          <w:szCs w:val="22"/>
        </w:rPr>
        <w:t>antigen-presenting</w:t>
      </w:r>
      <w:r w:rsidR="00D60A18">
        <w:rPr>
          <w:rFonts w:cs="Times New Roman"/>
          <w:szCs w:val="22"/>
        </w:rPr>
        <w:t xml:space="preserve"> cells expressing</w:t>
      </w:r>
      <w:r>
        <w:rPr>
          <w:rFonts w:cs="Times New Roman"/>
          <w:szCs w:val="22"/>
        </w:rPr>
        <w:t xml:space="preserve"> CD4+</w:t>
      </w:r>
      <w:r w:rsidRPr="00673B1E">
        <w:rPr>
          <w:rFonts w:cs="Times New Roman"/>
          <w:szCs w:val="22"/>
        </w:rPr>
        <w:t xml:space="preserve"> </w:t>
      </w:r>
      <w:r w:rsidRPr="00C93329">
        <w:rPr>
          <w:rFonts w:cs="Times New Roman"/>
          <w:szCs w:val="22"/>
        </w:rPr>
        <w:t>Tcell epitopes</w:t>
      </w:r>
      <w:r w:rsidR="0094398B">
        <w:rPr>
          <w:rFonts w:cs="Times New Roman"/>
          <w:szCs w:val="22"/>
        </w:rPr>
        <w:t xml:space="preserve"> </w:t>
      </w:r>
      <w:r w:rsidR="00D60A18">
        <w:rPr>
          <w:rFonts w:cs="Times New Roman"/>
          <w:szCs w:val="22"/>
        </w:rPr>
        <w:t xml:space="preserve">in HLA class II molecules </w:t>
      </w:r>
      <w:r w:rsidR="0094398B">
        <w:rPr>
          <w:rFonts w:cs="Times New Roman"/>
          <w:szCs w:val="22"/>
        </w:rPr>
        <w:t>(i.e., respiratory and gastrointestinal tracts)</w:t>
      </w:r>
      <w:r>
        <w:rPr>
          <w:rFonts w:cs="Times New Roman"/>
          <w:szCs w:val="22"/>
        </w:rPr>
        <w:t>,</w:t>
      </w:r>
      <w:r>
        <w:rPr>
          <w:rStyle w:val="EndnoteReference"/>
          <w:rFonts w:cs="Times New Roman"/>
          <w:szCs w:val="22"/>
        </w:rPr>
        <w:endnoteReference w:id="284"/>
      </w:r>
      <w:r>
        <w:rPr>
          <w:rFonts w:cs="Times New Roman"/>
          <w:szCs w:val="22"/>
        </w:rPr>
        <w:t xml:space="preserve"> </w:t>
      </w:r>
      <w:r w:rsidR="00C93329" w:rsidRPr="00C93329">
        <w:rPr>
          <w:rFonts w:cs="Times New Roman"/>
          <w:szCs w:val="22"/>
        </w:rPr>
        <w:t xml:space="preserve">could </w:t>
      </w:r>
      <w:r>
        <w:rPr>
          <w:rFonts w:cs="Times New Roman"/>
          <w:szCs w:val="22"/>
        </w:rPr>
        <w:t xml:space="preserve">also </w:t>
      </w:r>
      <w:r w:rsidR="00D60A18">
        <w:rPr>
          <w:rFonts w:cs="Times New Roman"/>
          <w:szCs w:val="22"/>
        </w:rPr>
        <w:t xml:space="preserve">then </w:t>
      </w:r>
      <w:r w:rsidR="00C93329" w:rsidRPr="00C93329">
        <w:rPr>
          <w:rFonts w:cs="Times New Roman"/>
          <w:szCs w:val="22"/>
        </w:rPr>
        <w:t xml:space="preserve">become the target of </w:t>
      </w:r>
      <w:r w:rsidR="0094398B">
        <w:rPr>
          <w:rFonts w:cs="Times New Roman"/>
          <w:szCs w:val="22"/>
        </w:rPr>
        <w:t>non-self</w:t>
      </w:r>
      <w:r w:rsidR="00D60A18">
        <w:rPr>
          <w:rFonts w:cs="Times New Roman"/>
          <w:szCs w:val="22"/>
        </w:rPr>
        <w:t>-</w:t>
      </w:r>
      <w:r w:rsidR="0094398B">
        <w:rPr>
          <w:rFonts w:cs="Times New Roman"/>
          <w:szCs w:val="22"/>
        </w:rPr>
        <w:t xml:space="preserve"> </w:t>
      </w:r>
      <w:r w:rsidR="00D60A18">
        <w:rPr>
          <w:rFonts w:cs="Times New Roman"/>
          <w:szCs w:val="22"/>
        </w:rPr>
        <w:t xml:space="preserve">and self- </w:t>
      </w:r>
      <w:r w:rsidR="00C93329" w:rsidRPr="00C93329">
        <w:rPr>
          <w:rFonts w:cs="Times New Roman"/>
          <w:szCs w:val="22"/>
        </w:rPr>
        <w:t>immune</w:t>
      </w:r>
      <w:r w:rsidR="0094398B">
        <w:rPr>
          <w:rFonts w:cs="Times New Roman"/>
          <w:szCs w:val="22"/>
        </w:rPr>
        <w:t>-mediated</w:t>
      </w:r>
      <w:r w:rsidR="00C93329" w:rsidRPr="00C93329">
        <w:rPr>
          <w:rFonts w:cs="Times New Roman"/>
          <w:szCs w:val="22"/>
        </w:rPr>
        <w:t xml:space="preserve"> attack </w:t>
      </w:r>
      <w:r w:rsidR="00D60A18">
        <w:rPr>
          <w:rFonts w:cs="Times New Roman"/>
          <w:szCs w:val="22"/>
        </w:rPr>
        <w:t>and</w:t>
      </w:r>
      <w:r w:rsidR="0094398B">
        <w:rPr>
          <w:rFonts w:cs="Times New Roman"/>
          <w:szCs w:val="22"/>
        </w:rPr>
        <w:t xml:space="preserve"> autoimmunity</w:t>
      </w:r>
      <w:r w:rsidR="00C274BC" w:rsidRPr="00C274BC">
        <w:rPr>
          <w:rFonts w:cs="Times New Roman"/>
          <w:szCs w:val="22"/>
        </w:rPr>
        <w:t>.</w:t>
      </w:r>
      <w:r w:rsidR="00C274BC" w:rsidRPr="00A26A15">
        <w:rPr>
          <w:rStyle w:val="EndnoteReference"/>
          <w:rFonts w:cs="Times New Roman"/>
          <w:szCs w:val="22"/>
        </w:rPr>
        <w:endnoteReference w:id="285"/>
      </w:r>
      <w:r w:rsidR="00C93329" w:rsidRPr="00C93329">
        <w:rPr>
          <w:rFonts w:cs="Times New Roman"/>
          <w:szCs w:val="22"/>
        </w:rPr>
        <w:t xml:space="preserve"> </w:t>
      </w:r>
      <w:r w:rsidR="001E40CA">
        <w:rPr>
          <w:rFonts w:cs="Times New Roman"/>
          <w:szCs w:val="22"/>
        </w:rPr>
        <w:t>This Tcell e</w:t>
      </w:r>
      <w:r w:rsidR="00C93329" w:rsidRPr="00C93329">
        <w:rPr>
          <w:rFonts w:cs="Times New Roman"/>
          <w:szCs w:val="22"/>
        </w:rPr>
        <w:t>pitope presentation is a normal friend-or-foe immunological surveillance process operating via the human leukocyte antigen system</w:t>
      </w:r>
      <w:r w:rsidR="00D60A18">
        <w:rPr>
          <w:rFonts w:cs="Times New Roman"/>
          <w:szCs w:val="22"/>
        </w:rPr>
        <w:t xml:space="preserve"> (HLA)</w:t>
      </w:r>
      <w:r w:rsidR="00C93329" w:rsidRPr="00C93329">
        <w:rPr>
          <w:rFonts w:cs="Times New Roman"/>
          <w:szCs w:val="22"/>
        </w:rPr>
        <w:t>.</w:t>
      </w:r>
    </w:p>
    <w:p w14:paraId="7288A1F5" w14:textId="0F55DD5D" w:rsidR="00C23E7D" w:rsidRPr="00C23E7D" w:rsidRDefault="00462446" w:rsidP="00C23E7D">
      <w:r w:rsidRPr="00C23E7D">
        <w:rPr>
          <w:b/>
          <w:bCs w:val="0"/>
          <w:szCs w:val="22"/>
          <w:u w:val="single"/>
        </w:rPr>
        <w:t>Conclusion</w:t>
      </w:r>
      <w:r w:rsidRPr="00C23E7D">
        <w:rPr>
          <w:szCs w:val="22"/>
        </w:rPr>
        <w:t xml:space="preserve">: </w:t>
      </w:r>
      <w:r w:rsidR="00C23E7D" w:rsidRPr="00C23E7D">
        <w:rPr>
          <w:szCs w:val="22"/>
        </w:rPr>
        <w:t xml:space="preserve">Given these predictable pathogenesis mechanisms </w:t>
      </w:r>
      <w:r w:rsidR="00C23E7D" w:rsidRPr="00C23E7D">
        <w:rPr>
          <w:rFonts w:cs="Times New Roman"/>
          <w:szCs w:val="22"/>
        </w:rPr>
        <w:t xml:space="preserve">by which virus-free spike proteins can cause disease or exacerbate preexisting </w:t>
      </w:r>
      <w:r w:rsidR="00C23E7D" w:rsidRPr="00C23E7D">
        <w:rPr>
          <w:rFonts w:cs="Times New Roman"/>
          <w:b/>
          <w:bCs w:val="0"/>
          <w:szCs w:val="22"/>
        </w:rPr>
        <w:t xml:space="preserve">comorbid diseases </w:t>
      </w:r>
      <w:r w:rsidR="00C23E7D" w:rsidRPr="00C23E7D">
        <w:rPr>
          <w:rFonts w:cs="Times New Roman"/>
          <w:szCs w:val="22"/>
        </w:rPr>
        <w:t>common to severe COVID-19 outcomes</w:t>
      </w:r>
      <w:r w:rsidR="00C23E7D" w:rsidRPr="00C23E7D">
        <w:rPr>
          <w:rFonts w:cs="Times New Roman"/>
          <w:b/>
          <w:bCs w:val="0"/>
          <w:szCs w:val="22"/>
        </w:rPr>
        <w:t xml:space="preserve"> </w:t>
      </w:r>
      <w:r w:rsidR="00C23E7D" w:rsidRPr="00C23E7D">
        <w:rPr>
          <w:rFonts w:cs="Times New Roman"/>
          <w:szCs w:val="22"/>
        </w:rPr>
        <w:t xml:space="preserve">(i.e., </w:t>
      </w:r>
      <w:r w:rsidR="00C23E7D" w:rsidRPr="00C23E7D">
        <w:rPr>
          <w:rFonts w:cs="Times New Roman"/>
          <w:b/>
          <w:bCs w:val="0"/>
          <w:szCs w:val="22"/>
        </w:rPr>
        <w:t>shared tissue-organ</w:t>
      </w:r>
      <w:r w:rsidR="00C23E7D" w:rsidRPr="00C23E7D">
        <w:rPr>
          <w:rFonts w:cs="Times New Roman"/>
          <w:szCs w:val="22"/>
        </w:rPr>
        <w:t xml:space="preserve"> </w:t>
      </w:r>
      <w:r w:rsidR="00C23E7D" w:rsidRPr="00C23E7D">
        <w:rPr>
          <w:rFonts w:cs="Times New Roman"/>
          <w:b/>
          <w:bCs w:val="0"/>
          <w:szCs w:val="22"/>
        </w:rPr>
        <w:t>tropism-distribution</w:t>
      </w:r>
      <w:r w:rsidR="00DD4755">
        <w:rPr>
          <w:rFonts w:cs="Times New Roman"/>
          <w:b/>
          <w:bCs w:val="0"/>
          <w:szCs w:val="22"/>
        </w:rPr>
        <w:t>; furin and ACE2</w:t>
      </w:r>
      <w:r w:rsidR="00C23E7D" w:rsidRPr="00C23E7D">
        <w:rPr>
          <w:rFonts w:cs="Times New Roman"/>
          <w:szCs w:val="22"/>
        </w:rPr>
        <w:t xml:space="preserve">) </w:t>
      </w:r>
      <w:r w:rsidR="00C23E7D" w:rsidRPr="00C23E7D">
        <w:t>it was interesting to observe that</w:t>
      </w:r>
      <w:r w:rsidR="00C23E7D" w:rsidRPr="00C23E7D">
        <w:rPr>
          <w:b/>
          <w:bCs w:val="0"/>
        </w:rPr>
        <w:t xml:space="preserve"> Pfizer listed</w:t>
      </w:r>
      <w:r w:rsidR="00C23E7D" w:rsidRPr="00C23E7D">
        <w:t xml:space="preserve"> this same array of diseases, organs and tissues, and symptoms as adverse events of special interest or used them in its search criteria for vaccine-associated enhanced disease (Tables 5 </w:t>
      </w:r>
      <w:r w:rsidR="00C23E7D" w:rsidRPr="00C23E7D">
        <w:rPr>
          <w:b/>
          <w:bCs w:val="0"/>
        </w:rPr>
        <w:t>footnote a</w:t>
      </w:r>
      <w:r w:rsidR="00C23E7D" w:rsidRPr="00C23E7D">
        <w:t>, and 7). These included vascular endothelium and blood clotting-related, and heart, respiratory, brain, kidney, and gastrointestinal organs.</w:t>
      </w:r>
      <w:r w:rsidR="00C23E7D" w:rsidRPr="00C23E7D">
        <w:rPr>
          <w:rStyle w:val="EndnoteReference"/>
        </w:rPr>
        <w:endnoteReference w:id="286"/>
      </w:r>
    </w:p>
    <w:p w14:paraId="65CCD77F" w14:textId="182BD132" w:rsidR="00555402" w:rsidRPr="00523D82" w:rsidRDefault="008C5936" w:rsidP="004C5C79">
      <w:pPr>
        <w:pStyle w:val="Heading3"/>
      </w:pPr>
      <w:bookmarkStart w:id="110" w:name="_Toc121035134"/>
      <w:r>
        <w:t>Spike Protein</w:t>
      </w:r>
      <w:r w:rsidR="0094398B">
        <w:t xml:space="preserve"> Inducible</w:t>
      </w:r>
      <w:r>
        <w:t xml:space="preserve"> </w:t>
      </w:r>
      <w:r w:rsidR="00523D82" w:rsidRPr="00CA463A">
        <w:t xml:space="preserve">Prion </w:t>
      </w:r>
      <w:r w:rsidR="00376F5A">
        <w:t>Diseases are</w:t>
      </w:r>
      <w:r w:rsidR="0018133A">
        <w:t xml:space="preserve"> </w:t>
      </w:r>
      <w:r w:rsidR="0087716E">
        <w:t xml:space="preserve">a </w:t>
      </w:r>
      <w:r w:rsidR="00523D82">
        <w:t xml:space="preserve">Potential </w:t>
      </w:r>
      <w:r w:rsidR="00523D82" w:rsidRPr="00CA463A">
        <w:t>Ticking Time Bomb</w:t>
      </w:r>
      <w:bookmarkEnd w:id="110"/>
    </w:p>
    <w:p w14:paraId="2E51C96A" w14:textId="7712FF64" w:rsidR="0018133A" w:rsidRDefault="0018133A" w:rsidP="00D73962">
      <w:r>
        <w:t xml:space="preserve">The SARS-CoV-2 </w:t>
      </w:r>
      <w:r w:rsidRPr="005D15C6">
        <w:rPr>
          <w:rFonts w:cs="Times New Roman"/>
        </w:rPr>
        <w:t>Wuhan Hu-1</w:t>
      </w:r>
      <w:r>
        <w:rPr>
          <w:rFonts w:cs="Times New Roman"/>
        </w:rPr>
        <w:t xml:space="preserve"> </w:t>
      </w:r>
      <w:r>
        <w:t xml:space="preserve">spike protein encoded by </w:t>
      </w:r>
      <w:r w:rsidR="0087716E">
        <w:t xml:space="preserve">the </w:t>
      </w:r>
      <w:r>
        <w:t xml:space="preserve">Comirnaty and Spikevax mRNA has </w:t>
      </w:r>
      <w:r w:rsidR="00182EA7">
        <w:t>several</w:t>
      </w:r>
      <w:r>
        <w:t xml:space="preserve"> features that could pose a </w:t>
      </w:r>
      <w:r w:rsidRPr="008C5936">
        <w:rPr>
          <w:b/>
          <w:bCs w:val="0"/>
        </w:rPr>
        <w:t>prion disease risk</w:t>
      </w:r>
      <w:r>
        <w:t xml:space="preserve">. </w:t>
      </w:r>
      <w:r w:rsidR="00D73962">
        <w:t>P</w:t>
      </w:r>
      <w:r w:rsidR="00D73962" w:rsidRPr="00DC11D3">
        <w:t>rion</w:t>
      </w:r>
      <w:r w:rsidR="00D73962">
        <w:t>s</w:t>
      </w:r>
      <w:r w:rsidR="00D73962" w:rsidRPr="00DC11D3">
        <w:t xml:space="preserve"> </w:t>
      </w:r>
      <w:r w:rsidR="00D73962">
        <w:t>represent misfolded proteins that can self-propagate and cause</w:t>
      </w:r>
      <w:r w:rsidR="00D73962" w:rsidRPr="00DC11D3">
        <w:t xml:space="preserve"> </w:t>
      </w:r>
      <w:r w:rsidR="00D73962" w:rsidRPr="008C5936">
        <w:rPr>
          <w:b/>
          <w:bCs w:val="0"/>
        </w:rPr>
        <w:t>neurodegenerative diseases</w:t>
      </w:r>
      <w:r w:rsidR="00D73962" w:rsidRPr="00DC11D3">
        <w:t xml:space="preserve"> </w:t>
      </w:r>
      <w:r w:rsidR="00D73962">
        <w:t>due to the formation of toxic protein aggregates in the brain. P</w:t>
      </w:r>
      <w:r w:rsidR="00D73962" w:rsidRPr="00CB17CC">
        <w:t xml:space="preserve">rion diseases </w:t>
      </w:r>
      <w:r w:rsidR="00D73962" w:rsidRPr="00DB54E7">
        <w:t xml:space="preserve">like amyotrophic lateral sclerosis, frontotemporal lobar degeneration, </w:t>
      </w:r>
      <w:r w:rsidR="00D73962">
        <w:t>Alzheimer's,</w:t>
      </w:r>
      <w:r w:rsidR="00D73962" w:rsidRPr="00DB54E7">
        <w:t xml:space="preserve"> and Huntington’s disease</w:t>
      </w:r>
      <w:r w:rsidR="00D73962" w:rsidRPr="00CB17CC">
        <w:t xml:space="preserve"> are usually rapidly progressive and </w:t>
      </w:r>
      <w:r w:rsidR="00D73962">
        <w:t xml:space="preserve">always </w:t>
      </w:r>
      <w:r w:rsidR="00D73962" w:rsidRPr="00CB17CC">
        <w:t>fatal</w:t>
      </w:r>
      <w:r w:rsidR="00D73962">
        <w:t>.</w:t>
      </w:r>
      <w:r w:rsidR="00D73962" w:rsidRPr="006949F1">
        <w:rPr>
          <w:rStyle w:val="EndnoteReference"/>
          <w:rFonts w:cs="Times New Roman"/>
          <w:szCs w:val="22"/>
        </w:rPr>
        <w:endnoteReference w:id="287"/>
      </w:r>
      <w:r w:rsidR="00D73962" w:rsidRPr="006949F1">
        <w:rPr>
          <w:vertAlign w:val="superscript"/>
        </w:rPr>
        <w:t>,</w:t>
      </w:r>
      <w:r w:rsidR="00D73962" w:rsidRPr="006949F1">
        <w:rPr>
          <w:rStyle w:val="EndnoteReference"/>
        </w:rPr>
        <w:endnoteReference w:id="288"/>
      </w:r>
      <w:r w:rsidR="00D73962" w:rsidRPr="006949F1">
        <w:rPr>
          <w:vertAlign w:val="superscript"/>
        </w:rPr>
        <w:t xml:space="preserve"> </w:t>
      </w:r>
    </w:p>
    <w:p w14:paraId="4F4BFC3B" w14:textId="129AD752" w:rsidR="0018133A" w:rsidRPr="00A776C7" w:rsidRDefault="0018133A" w:rsidP="00D73962">
      <w:r w:rsidRPr="00B22B97">
        <w:t>Th</w:t>
      </w:r>
      <w:r w:rsidR="00401C4B" w:rsidRPr="00B22B97">
        <w:t>e</w:t>
      </w:r>
      <w:r w:rsidRPr="00B22B97">
        <w:t xml:space="preserve"> </w:t>
      </w:r>
      <w:r w:rsidRPr="00B22B97">
        <w:rPr>
          <w:rFonts w:cs="Times New Roman"/>
        </w:rPr>
        <w:t xml:space="preserve">Wuhan Hu-1 </w:t>
      </w:r>
      <w:r w:rsidRPr="00B22B97">
        <w:t xml:space="preserve">spike protein </w:t>
      </w:r>
      <w:r w:rsidR="00D73962" w:rsidRPr="00B22B97">
        <w:t xml:space="preserve">possesses several heparin-binding sites within the spike protein S1 subunit, which </w:t>
      </w:r>
      <w:r w:rsidR="007373EA" w:rsidRPr="00B22B97">
        <w:t>bind</w:t>
      </w:r>
      <w:r w:rsidR="00D73962" w:rsidRPr="00B22B97">
        <w:t xml:space="preserve"> heparin and </w:t>
      </w:r>
      <w:r w:rsidR="0087716E" w:rsidRPr="00B22B97">
        <w:t xml:space="preserve">other </w:t>
      </w:r>
      <w:r w:rsidR="00D73962" w:rsidRPr="00B22B97">
        <w:t>aggregation-prone heparin-binding proteins.</w:t>
      </w:r>
      <w:r w:rsidR="00D73962" w:rsidRPr="00B22B97">
        <w:rPr>
          <w:rStyle w:val="EndnoteReference"/>
        </w:rPr>
        <w:endnoteReference w:id="289"/>
      </w:r>
      <w:r w:rsidR="00D73962" w:rsidRPr="00B22B97">
        <w:rPr>
          <w:vertAlign w:val="superscript"/>
        </w:rPr>
        <w:t>,</w:t>
      </w:r>
      <w:r w:rsidR="00D73962" w:rsidRPr="00B22B97">
        <w:rPr>
          <w:rStyle w:val="EndnoteReference"/>
        </w:rPr>
        <w:endnoteReference w:id="290"/>
      </w:r>
      <w:r w:rsidR="00D73962" w:rsidRPr="00B22B97">
        <w:t xml:space="preserve"> </w:t>
      </w:r>
      <w:r w:rsidR="00401C4B" w:rsidRPr="00B22B97">
        <w:t>A</w:t>
      </w:r>
      <w:r w:rsidRPr="00B22B97">
        <w:t xml:space="preserve"> </w:t>
      </w:r>
      <w:r w:rsidRPr="00B22B97">
        <w:rPr>
          <w:b/>
          <w:bCs w:val="0"/>
          <w:iCs/>
        </w:rPr>
        <w:t>prion-like domain</w:t>
      </w:r>
      <w:r w:rsidRPr="00B22B97">
        <w:t xml:space="preserve"> (PrD) </w:t>
      </w:r>
      <w:r w:rsidR="00401C4B" w:rsidRPr="00B22B97">
        <w:t>resides</w:t>
      </w:r>
      <w:r w:rsidRPr="00B22B97">
        <w:t xml:space="preserve"> within the receptor-binding domain (RBD), and five of the seven amino acids that contact the RBD with the ACE2 receptor are located within this PrD, which is thought to facilitate viral adhesion and cell entry</w:t>
      </w:r>
      <w:r w:rsidR="00376F5A" w:rsidRPr="00B22B97">
        <w:t>.</w:t>
      </w:r>
      <w:r w:rsidRPr="00B22B97">
        <w:rPr>
          <w:rStyle w:val="EndnoteReference"/>
        </w:rPr>
        <w:endnoteReference w:id="291"/>
      </w:r>
      <w:r w:rsidRPr="00B22B97">
        <w:t xml:space="preserve"> Theoretically, </w:t>
      </w:r>
      <w:r w:rsidR="00A776C7">
        <w:t xml:space="preserve">the conformationally altered spike protein RBD (i.e., prefusion stabilized, 1-up- 2-down configuration) </w:t>
      </w:r>
      <w:r w:rsidRPr="00B22B97">
        <w:t xml:space="preserve">could seed-catalyze the aggregation of brain aggregation-prone proteins (i.e., </w:t>
      </w:r>
      <w:r w:rsidRPr="00B22B97">
        <w:rPr>
          <w:i/>
          <w:iCs/>
        </w:rPr>
        <w:t>beta-amyloid, α-synuclein, tau, TDP-43</w:t>
      </w:r>
      <w:r w:rsidRPr="00B22B97">
        <w:t>.), which are at high levels in the brain, and are known to be associated with neurodegenerative diseases.</w:t>
      </w:r>
      <w:r w:rsidRPr="00B22B97">
        <w:rPr>
          <w:rStyle w:val="EndnoteReference"/>
        </w:rPr>
        <w:endnoteReference w:id="292"/>
      </w:r>
      <w:r w:rsidRPr="00B22B97">
        <w:rPr>
          <w:vertAlign w:val="superscript"/>
        </w:rPr>
        <w:t>,</w:t>
      </w:r>
      <w:r w:rsidRPr="00B22B97">
        <w:rPr>
          <w:rStyle w:val="EndnoteReference"/>
        </w:rPr>
        <w:endnoteReference w:id="293"/>
      </w:r>
      <w:r w:rsidR="00376F5A" w:rsidRPr="00B22B97">
        <w:rPr>
          <w:vertAlign w:val="superscript"/>
        </w:rPr>
        <w:t xml:space="preserve"> </w:t>
      </w:r>
    </w:p>
    <w:p w14:paraId="3FDCAE8A" w14:textId="19A8909E" w:rsidR="00D73962" w:rsidRPr="006A2AD3" w:rsidRDefault="00D73962" w:rsidP="00D73962">
      <w:r>
        <w:t>The spike protein also contains</w:t>
      </w:r>
      <w:r w:rsidRPr="000926E6">
        <w:t xml:space="preserve"> </w:t>
      </w:r>
      <w:r w:rsidRPr="0018133A">
        <w:t>five prion sequences</w:t>
      </w:r>
      <w:r w:rsidRPr="00B6095A">
        <w:t xml:space="preserve"> comprising </w:t>
      </w:r>
      <w:r w:rsidRPr="000926E6">
        <w:t xml:space="preserve">two glycine </w:t>
      </w:r>
      <w:r>
        <w:t xml:space="preserve">amino acids </w:t>
      </w:r>
      <w:r w:rsidRPr="000926E6">
        <w:t>spaced by three amino acids</w:t>
      </w:r>
      <w:r>
        <w:t xml:space="preserve">, termed a </w:t>
      </w:r>
      <w:r w:rsidRPr="006D1D8D">
        <w:rPr>
          <w:b/>
          <w:bCs w:val="0"/>
        </w:rPr>
        <w:t>glycine zipper motif (GxxxG)</w:t>
      </w:r>
      <w:r>
        <w:t>, which has been</w:t>
      </w:r>
      <w:r w:rsidRPr="00597B65">
        <w:t xml:space="preserve"> linked to </w:t>
      </w:r>
      <w:r>
        <w:t>protein misfolding</w:t>
      </w:r>
      <w:r w:rsidRPr="00597B65">
        <w:t xml:space="preserve"> susceptibility.</w:t>
      </w:r>
      <w:r>
        <w:t xml:space="preserve"> Thus, it</w:t>
      </w:r>
      <w:r w:rsidRPr="005C160A">
        <w:t xml:space="preserve"> </w:t>
      </w:r>
      <w:r>
        <w:t xml:space="preserve">is </w:t>
      </w:r>
      <w:r w:rsidRPr="005C160A">
        <w:t xml:space="preserve">plausible </w:t>
      </w:r>
      <w:r>
        <w:t xml:space="preserve">the </w:t>
      </w:r>
      <w:r w:rsidRPr="003B3CA6">
        <w:t>zipper motifs</w:t>
      </w:r>
      <w:r w:rsidRPr="005C160A">
        <w:t xml:space="preserve"> </w:t>
      </w:r>
      <w:r>
        <w:t xml:space="preserve">contained in </w:t>
      </w:r>
      <w:r w:rsidR="0018133A">
        <w:t xml:space="preserve">freely </w:t>
      </w:r>
      <w:r w:rsidR="006A2AD3">
        <w:t>circulating</w:t>
      </w:r>
      <w:r w:rsidR="00B22B97">
        <w:t>-</w:t>
      </w:r>
      <w:r w:rsidR="006A2AD3">
        <w:t xml:space="preserve"> or </w:t>
      </w:r>
      <w:r w:rsidR="009D7F58">
        <w:t>exosome-containing</w:t>
      </w:r>
      <w:r w:rsidR="00B22B97">
        <w:t>-</w:t>
      </w:r>
      <w:r w:rsidR="006A2AD3">
        <w:t xml:space="preserve"> spike protein</w:t>
      </w:r>
      <w:r w:rsidR="008C5936">
        <w:t>s</w:t>
      </w:r>
      <w:r w:rsidR="006A2AD3">
        <w:t xml:space="preserve"> after </w:t>
      </w:r>
      <w:r>
        <w:t>COVID-19 vaccin</w:t>
      </w:r>
      <w:r w:rsidR="006A2AD3">
        <w:t xml:space="preserve">ation </w:t>
      </w:r>
      <w:r w:rsidR="006A2AD3">
        <w:rPr>
          <w:szCs w:val="22"/>
        </w:rPr>
        <w:t>and/or associated with post-vaccination COVID-19 infection</w:t>
      </w:r>
      <w:r w:rsidR="0018133A">
        <w:rPr>
          <w:szCs w:val="22"/>
        </w:rPr>
        <w:t xml:space="preserve"> </w:t>
      </w:r>
      <w:r w:rsidR="0018133A">
        <w:rPr>
          <w:szCs w:val="22"/>
        </w:rPr>
        <w:lastRenderedPageBreak/>
        <w:t>(i.e., enhanced risk)</w:t>
      </w:r>
      <w:r w:rsidR="006A2AD3">
        <w:t xml:space="preserve"> </w:t>
      </w:r>
      <w:r w:rsidRPr="005C160A">
        <w:t>could behave as a prion</w:t>
      </w:r>
      <w:r>
        <w:t xml:space="preserve"> and be associated with neurodegenerative diseases</w:t>
      </w:r>
      <w:r w:rsidR="00401C4B">
        <w:t xml:space="preserve"> in the future</w:t>
      </w:r>
      <w:r>
        <w:t xml:space="preserve">. </w:t>
      </w:r>
      <w:r w:rsidR="0087716E">
        <w:t xml:space="preserve">Giving </w:t>
      </w:r>
      <w:r>
        <w:t>context</w:t>
      </w:r>
      <w:r w:rsidR="0087716E">
        <w:t xml:space="preserve"> to the spike protein zipper motifs</w:t>
      </w:r>
      <w:r>
        <w:t xml:space="preserve"> t</w:t>
      </w:r>
      <w:r w:rsidRPr="000926E6">
        <w:t>he bo</w:t>
      </w:r>
      <w:r>
        <w:t>vine prion MADCOW has ten sequential</w:t>
      </w:r>
      <w:r w:rsidRPr="00B6095A">
        <w:t xml:space="preserve"> </w:t>
      </w:r>
      <w:r>
        <w:t xml:space="preserve">GxxxG sequences, while </w:t>
      </w:r>
      <w:r w:rsidR="003B3CA6">
        <w:t>Alzheimer's</w:t>
      </w:r>
      <w:r>
        <w:t xml:space="preserve"> beta-amyloid</w:t>
      </w:r>
      <w:r w:rsidRPr="000926E6">
        <w:t xml:space="preserve"> </w:t>
      </w:r>
      <w:r>
        <w:t xml:space="preserve">contains </w:t>
      </w:r>
      <w:r w:rsidRPr="000926E6">
        <w:t>four</w:t>
      </w:r>
      <w:r>
        <w:t>.</w:t>
      </w:r>
      <w:r w:rsidRPr="00BE49F3">
        <w:rPr>
          <w:rStyle w:val="EndnoteReference"/>
          <w:rFonts w:cs="Times New Roman"/>
          <w:szCs w:val="22"/>
        </w:rPr>
        <w:endnoteReference w:id="294"/>
      </w:r>
      <w:r w:rsidRPr="005C160A">
        <w:rPr>
          <w:vertAlign w:val="superscript"/>
        </w:rPr>
        <w:t>,</w:t>
      </w:r>
      <w:r w:rsidRPr="00BE49F3">
        <w:rPr>
          <w:rStyle w:val="EndnoteReference"/>
        </w:rPr>
        <w:endnoteReference w:id="295"/>
      </w:r>
    </w:p>
    <w:p w14:paraId="1020C41F" w14:textId="176EC6DB" w:rsidR="00D73962" w:rsidRDefault="00D73962" w:rsidP="00D73962">
      <w:r>
        <w:t>Comirnaty and Spikevax use</w:t>
      </w:r>
      <w:r w:rsidR="004245BA">
        <w:t>d</w:t>
      </w:r>
      <w:r>
        <w:t xml:space="preserve"> a </w:t>
      </w:r>
      <w:r w:rsidRPr="00043D7F">
        <w:rPr>
          <w:b/>
          <w:bCs w:val="0"/>
        </w:rPr>
        <w:t>modified RNA nucleoside</w:t>
      </w:r>
      <w:r>
        <w:t xml:space="preserve"> </w:t>
      </w:r>
      <w:r w:rsidRPr="00B929E6">
        <w:t xml:space="preserve">N1-methyl pseudouridine </w:t>
      </w:r>
      <w:r>
        <w:t>(Ψ) to replace uracil</w:t>
      </w:r>
      <w:r w:rsidR="00043D7F">
        <w:t xml:space="preserve"> (U</w:t>
      </w:r>
      <w:r w:rsidR="00043D7F">
        <w:sym w:font="Symbol" w:char="F0AE"/>
      </w:r>
      <w:r w:rsidR="00043D7F">
        <w:t>Ψ)</w:t>
      </w:r>
      <w:r w:rsidR="008C5936">
        <w:t>,</w:t>
      </w:r>
      <w:r>
        <w:rPr>
          <w:rStyle w:val="EndnoteReference"/>
        </w:rPr>
        <w:endnoteReference w:id="296"/>
      </w:r>
      <w:r>
        <w:t xml:space="preserve"> </w:t>
      </w:r>
      <w:r w:rsidR="008C5936">
        <w:t>which according to FDA briefing documents was done to reduce activation of the innate immune system and augment spike protein expression (pg.16).</w:t>
      </w:r>
      <w:r w:rsidR="008C5936" w:rsidRPr="00630425">
        <w:rPr>
          <w:rStyle w:val="EndnoteReference"/>
          <w:szCs w:val="22"/>
        </w:rPr>
        <w:endnoteReference w:id="297"/>
      </w:r>
      <w:r w:rsidR="008C5936">
        <w:t xml:space="preserve"> Their prion potential arises because RNA molecules containing this modified RNA nucleoside can cause </w:t>
      </w:r>
      <w:r w:rsidR="008C5936" w:rsidRPr="004E29E3">
        <w:rPr>
          <w:b/>
          <w:bCs w:val="0"/>
        </w:rPr>
        <w:t>altered secondary structures</w:t>
      </w:r>
      <w:r w:rsidR="008C5936" w:rsidRPr="007C1CAD">
        <w:t xml:space="preserve"> </w:t>
      </w:r>
      <w:r w:rsidR="008C5936">
        <w:t xml:space="preserve">and face </w:t>
      </w:r>
      <w:r w:rsidR="008C5936" w:rsidRPr="004E29E3">
        <w:rPr>
          <w:b/>
          <w:bCs w:val="0"/>
        </w:rPr>
        <w:t>codon reading-stopping issues</w:t>
      </w:r>
      <w:r w:rsidR="008C5936">
        <w:t>.</w:t>
      </w:r>
      <w:r w:rsidR="008C5936">
        <w:rPr>
          <w:rStyle w:val="EndnoteReference"/>
        </w:rPr>
        <w:endnoteReference w:id="298"/>
      </w:r>
      <w:r w:rsidR="008C5936">
        <w:t xml:space="preserve"> </w:t>
      </w:r>
      <w:r>
        <w:t>The literature indicates COVID-19 vaccine</w:t>
      </w:r>
      <w:r w:rsidRPr="00CE412F">
        <w:t xml:space="preserve"> </w:t>
      </w:r>
      <w:r w:rsidR="008C5936">
        <w:t>m</w:t>
      </w:r>
      <w:r w:rsidRPr="00CE412F">
        <w:t>RNA contains sixteen UG tandem repeats (ΨGΨG),</w:t>
      </w:r>
      <w:r>
        <w:t xml:space="preserve"> </w:t>
      </w:r>
      <w:r w:rsidRPr="00CE412F">
        <w:t xml:space="preserve">additional UG (ΨG) rich sequences, and two GGΨA </w:t>
      </w:r>
      <w:r>
        <w:t xml:space="preserve">nucleotide </w:t>
      </w:r>
      <w:r w:rsidRPr="00CE412F">
        <w:t>sequences</w:t>
      </w:r>
      <w:r>
        <w:t xml:space="preserve"> (G: </w:t>
      </w:r>
      <w:r w:rsidRPr="00202EF5">
        <w:t xml:space="preserve">guanine, </w:t>
      </w:r>
      <w:r>
        <w:t xml:space="preserve">U: </w:t>
      </w:r>
      <w:r w:rsidRPr="00202EF5">
        <w:t>uracil</w:t>
      </w:r>
      <w:r>
        <w:t>, A: adenosine).</w:t>
      </w:r>
      <w:r w:rsidRPr="00CE412F">
        <w:t xml:space="preserve"> </w:t>
      </w:r>
      <w:r>
        <w:t>As such, mRNA vaccines could</w:t>
      </w:r>
      <w:r w:rsidRPr="00966060">
        <w:t xml:space="preserve"> </w:t>
      </w:r>
      <w:r>
        <w:t xml:space="preserve">theoretically </w:t>
      </w:r>
      <w:r w:rsidRPr="00966060">
        <w:t xml:space="preserve">induce </w:t>
      </w:r>
      <w:r w:rsidRPr="008D187B">
        <w:t>RNA-binding proteins</w:t>
      </w:r>
      <w:r w:rsidRPr="00966060">
        <w:t xml:space="preserve"> </w:t>
      </w:r>
      <w:r>
        <w:t xml:space="preserve">like </w:t>
      </w:r>
      <w:r w:rsidRPr="00966060">
        <w:t xml:space="preserve">TDP-43 and </w:t>
      </w:r>
      <w:r w:rsidRPr="00CE412F">
        <w:t xml:space="preserve">Fused in Sarcoma </w:t>
      </w:r>
      <w:r>
        <w:t>(</w:t>
      </w:r>
      <w:r w:rsidRPr="00966060">
        <w:t>FUS</w:t>
      </w:r>
      <w:r>
        <w:t>)</w:t>
      </w:r>
      <w:r w:rsidRPr="00966060">
        <w:t xml:space="preserve"> to fold i</w:t>
      </w:r>
      <w:r>
        <w:t>nto their pathologic prion confo</w:t>
      </w:r>
      <w:r w:rsidRPr="00966060">
        <w:t>rmations</w:t>
      </w:r>
      <w:r>
        <w:t>.</w:t>
      </w:r>
      <w:r w:rsidRPr="00121511">
        <w:rPr>
          <w:rStyle w:val="EndnoteReference"/>
        </w:rPr>
        <w:endnoteReference w:id="299"/>
      </w:r>
      <w:r w:rsidRPr="00773ABB">
        <w:rPr>
          <w:vertAlign w:val="superscript"/>
        </w:rPr>
        <w:t>,</w:t>
      </w:r>
      <w:r w:rsidRPr="00121511">
        <w:rPr>
          <w:rStyle w:val="EndnoteReference"/>
        </w:rPr>
        <w:endnoteReference w:id="300"/>
      </w:r>
      <w:r w:rsidRPr="00773ABB">
        <w:rPr>
          <w:vertAlign w:val="superscript"/>
        </w:rPr>
        <w:t xml:space="preserve"> </w:t>
      </w:r>
    </w:p>
    <w:p w14:paraId="749E9CFA" w14:textId="22215B75" w:rsidR="00376F5A" w:rsidRDefault="00376F5A" w:rsidP="00376F5A">
      <w:r>
        <w:t>The e</w:t>
      </w:r>
      <w:r w:rsidR="00000831" w:rsidRPr="00000831">
        <w:t xml:space="preserve">xosome shedding </w:t>
      </w:r>
      <w:r w:rsidR="00C672F2">
        <w:t xml:space="preserve">potential </w:t>
      </w:r>
      <w:r w:rsidR="00000831" w:rsidRPr="00000831">
        <w:t xml:space="preserve">of </w:t>
      </w:r>
      <w:r w:rsidR="00F916CE">
        <w:t>SARS-CoV-2</w:t>
      </w:r>
      <w:r w:rsidR="00000831" w:rsidRPr="00000831">
        <w:t xml:space="preserve"> spike proteins raises t</w:t>
      </w:r>
      <w:r w:rsidR="008108BD" w:rsidRPr="00000831">
        <w:t xml:space="preserve">wo </w:t>
      </w:r>
      <w:r w:rsidRPr="00000831">
        <w:t>prion</w:t>
      </w:r>
      <w:r>
        <w:t>-related</w:t>
      </w:r>
      <w:r w:rsidRPr="00000831">
        <w:t xml:space="preserve"> </w:t>
      </w:r>
      <w:r w:rsidR="008108BD" w:rsidRPr="00000831">
        <w:t>issues</w:t>
      </w:r>
      <w:r w:rsidR="00000831" w:rsidRPr="00000831">
        <w:t xml:space="preserve">. </w:t>
      </w:r>
      <w:r w:rsidR="00D73962" w:rsidRPr="00000831">
        <w:t xml:space="preserve">Firstly, prion proteins </w:t>
      </w:r>
      <w:r w:rsidR="00A776C7">
        <w:t>can self-replicate</w:t>
      </w:r>
      <w:r w:rsidR="00D73962" w:rsidRPr="00000831">
        <w:t xml:space="preserve"> by acting as templates for converting other copies of the same protein.</w:t>
      </w:r>
      <w:r w:rsidR="00D73962" w:rsidRPr="00000831">
        <w:rPr>
          <w:rStyle w:val="EndnoteReference"/>
        </w:rPr>
        <w:endnoteReference w:id="301"/>
      </w:r>
      <w:r w:rsidR="00D73962" w:rsidRPr="00000831">
        <w:t xml:space="preserve"> Secondly, the transmission of recombinant prion proteins or infected tissue from prion diseased animals leads to prion disease in transfected animals.</w:t>
      </w:r>
      <w:r w:rsidR="00D73962" w:rsidRPr="00000831">
        <w:rPr>
          <w:rStyle w:val="EndnoteReference"/>
        </w:rPr>
        <w:endnoteReference w:id="302"/>
      </w:r>
      <w:r w:rsidR="00D73962" w:rsidRPr="00000831">
        <w:rPr>
          <w:vertAlign w:val="superscript"/>
        </w:rPr>
        <w:t>,</w:t>
      </w:r>
      <w:r w:rsidR="00D73962" w:rsidRPr="00000831">
        <w:rPr>
          <w:rStyle w:val="EndnoteReference"/>
        </w:rPr>
        <w:endnoteReference w:id="303"/>
      </w:r>
      <w:r w:rsidR="00D73962" w:rsidRPr="00000831">
        <w:rPr>
          <w:vertAlign w:val="superscript"/>
        </w:rPr>
        <w:t>,</w:t>
      </w:r>
      <w:r w:rsidR="00D73962" w:rsidRPr="00000831">
        <w:rPr>
          <w:rStyle w:val="EndnoteReference"/>
        </w:rPr>
        <w:endnoteReference w:id="304"/>
      </w:r>
      <w:r w:rsidR="00D73962" w:rsidRPr="00000831">
        <w:rPr>
          <w:vertAlign w:val="superscript"/>
        </w:rPr>
        <w:t>,</w:t>
      </w:r>
      <w:r w:rsidR="00D73962" w:rsidRPr="00000831">
        <w:rPr>
          <w:rStyle w:val="EndnoteReference"/>
        </w:rPr>
        <w:endnoteReference w:id="305"/>
      </w:r>
      <w:r w:rsidR="00D73962" w:rsidRPr="00000831">
        <w:rPr>
          <w:vertAlign w:val="superscript"/>
        </w:rPr>
        <w:t>,</w:t>
      </w:r>
      <w:r w:rsidR="00D73962" w:rsidRPr="00000831">
        <w:rPr>
          <w:rStyle w:val="EndnoteReference"/>
        </w:rPr>
        <w:endnoteReference w:id="306"/>
      </w:r>
      <w:r w:rsidR="00D73962" w:rsidRPr="00000831">
        <w:rPr>
          <w:vertAlign w:val="superscript"/>
        </w:rPr>
        <w:t xml:space="preserve"> </w:t>
      </w:r>
      <w:r w:rsidR="00D73962">
        <w:t>This highlights a</w:t>
      </w:r>
      <w:r w:rsidR="00C672F2">
        <w:t xml:space="preserve"> seemingly unassessed</w:t>
      </w:r>
      <w:r w:rsidR="00D73962">
        <w:t xml:space="preserve"> potential</w:t>
      </w:r>
      <w:r w:rsidR="00D73962" w:rsidRPr="00C934D4">
        <w:t xml:space="preserve"> for </w:t>
      </w:r>
      <w:r w:rsidR="00D73962" w:rsidRPr="00A621AD">
        <w:t>transmissible prion diseases via</w:t>
      </w:r>
      <w:r w:rsidR="00D73962" w:rsidRPr="00A621AD">
        <w:rPr>
          <w:i/>
        </w:rPr>
        <w:t xml:space="preserve"> </w:t>
      </w:r>
      <w:r w:rsidR="00D73962" w:rsidRPr="00A621AD">
        <w:rPr>
          <w:iCs/>
        </w:rPr>
        <w:t>spike protein exosome</w:t>
      </w:r>
      <w:r w:rsidR="00D73962" w:rsidRPr="00A621AD">
        <w:t xml:space="preserve"> shedding.</w:t>
      </w:r>
      <w:r w:rsidR="00D73962">
        <w:t xml:space="preserve"> </w:t>
      </w:r>
      <w:r w:rsidRPr="00927B7B">
        <w:t>Exosomes</w:t>
      </w:r>
      <w:r>
        <w:t xml:space="preserve"> </w:t>
      </w:r>
      <w:r w:rsidRPr="00C61DA9">
        <w:t xml:space="preserve">have been </w:t>
      </w:r>
      <w:r w:rsidRPr="00376F5A">
        <w:t>confirmed in</w:t>
      </w:r>
      <w:r w:rsidRPr="00C61DA9">
        <w:rPr>
          <w:b/>
          <w:bCs w:val="0"/>
        </w:rPr>
        <w:t xml:space="preserve"> all bodily fluids</w:t>
      </w:r>
      <w:r w:rsidRPr="00C61DA9">
        <w:t xml:space="preserve"> such as epithelial secretions, saliva, urine, mucous, respiratory secretions during respiratory disease, blood, breast milk, cerebral spinal fluid, </w:t>
      </w:r>
      <w:r>
        <w:t xml:space="preserve">and </w:t>
      </w:r>
      <w:r w:rsidRPr="00C61DA9">
        <w:t>amniotic fluid.</w:t>
      </w:r>
      <w:r w:rsidRPr="00C61DA9">
        <w:rPr>
          <w:rStyle w:val="EndnoteReference"/>
        </w:rPr>
        <w:endnoteReference w:id="307"/>
      </w:r>
      <w:r w:rsidRPr="00C61DA9">
        <w:rPr>
          <w:vertAlign w:val="superscript"/>
        </w:rPr>
        <w:t>,</w:t>
      </w:r>
      <w:r w:rsidRPr="00C61DA9">
        <w:rPr>
          <w:rStyle w:val="EndnoteReference"/>
        </w:rPr>
        <w:endnoteReference w:id="308"/>
      </w:r>
      <w:r w:rsidRPr="00C61DA9">
        <w:rPr>
          <w:vertAlign w:val="superscript"/>
        </w:rPr>
        <w:t>,</w:t>
      </w:r>
      <w:r w:rsidRPr="00C61DA9">
        <w:rPr>
          <w:rStyle w:val="EndnoteReference"/>
        </w:rPr>
        <w:endnoteReference w:id="309"/>
      </w:r>
      <w:r w:rsidRPr="00C61DA9">
        <w:rPr>
          <w:vertAlign w:val="superscript"/>
        </w:rPr>
        <w:t>,</w:t>
      </w:r>
      <w:r w:rsidRPr="00C61DA9">
        <w:rPr>
          <w:rStyle w:val="EndnoteReference"/>
        </w:rPr>
        <w:endnoteReference w:id="310"/>
      </w:r>
      <w:r w:rsidRPr="00C61DA9">
        <w:rPr>
          <w:vertAlign w:val="superscript"/>
        </w:rPr>
        <w:t>,</w:t>
      </w:r>
      <w:r w:rsidRPr="00C61DA9">
        <w:rPr>
          <w:rStyle w:val="EndnoteReference"/>
        </w:rPr>
        <w:endnoteReference w:id="311"/>
      </w:r>
      <w:r w:rsidRPr="00C61DA9">
        <w:t xml:space="preserve"> Pfizer understood </w:t>
      </w:r>
      <w:r w:rsidR="00C93329">
        <w:t>the</w:t>
      </w:r>
      <w:r w:rsidRPr="00C61DA9">
        <w:t xml:space="preserve"> potential </w:t>
      </w:r>
      <w:r w:rsidR="00C93329">
        <w:t xml:space="preserve">shedding </w:t>
      </w:r>
      <w:r w:rsidRPr="00C61DA9">
        <w:t xml:space="preserve">risk </w:t>
      </w:r>
      <w:r w:rsidR="00C93329">
        <w:t xml:space="preserve">and harm </w:t>
      </w:r>
      <w:r w:rsidRPr="00C61DA9">
        <w:t>because it anticipa</w:t>
      </w:r>
      <w:r>
        <w:t>ted</w:t>
      </w:r>
      <w:r w:rsidRPr="00C61DA9">
        <w:t xml:space="preserve"> the possibility of secondary exposure to Comirnaty associated with pregnancy, breastfeeding, and in the workplace via inhalation or skin contact (Study protocol section 8.3.5)</w:t>
      </w:r>
      <w:r>
        <w:t>.</w:t>
      </w:r>
      <w:r w:rsidRPr="00C61DA9">
        <w:rPr>
          <w:rStyle w:val="EndnoteReference"/>
        </w:rPr>
        <w:endnoteReference w:id="312"/>
      </w:r>
      <w:r w:rsidRPr="00C61DA9">
        <w:t xml:space="preserve"> No shedding results were disclosed </w:t>
      </w:r>
      <w:r>
        <w:t xml:space="preserve">in the </w:t>
      </w:r>
      <w:r w:rsidR="00C672F2">
        <w:t xml:space="preserve">prior cited </w:t>
      </w:r>
      <w:r>
        <w:t>regulatory review</w:t>
      </w:r>
      <w:r w:rsidRPr="00C61DA9">
        <w:t xml:space="preserve"> documents supporting </w:t>
      </w:r>
      <w:r>
        <w:t xml:space="preserve">Comirnaty’s </w:t>
      </w:r>
      <w:r w:rsidRPr="00C61DA9">
        <w:t>EUA approval.</w:t>
      </w:r>
      <w:r>
        <w:t xml:space="preserve"> </w:t>
      </w:r>
      <w:r w:rsidR="008C5936">
        <w:t>Thus, e</w:t>
      </w:r>
      <w:r w:rsidR="008C5936" w:rsidRPr="00C61DA9">
        <w:t>xosome shedding of COVID-19 spike proteins around booster times</w:t>
      </w:r>
      <w:r w:rsidR="008C5936">
        <w:t xml:space="preserve"> could </w:t>
      </w:r>
      <w:r w:rsidR="008C5936" w:rsidRPr="00C61DA9">
        <w:t xml:space="preserve">represent a potential </w:t>
      </w:r>
      <w:r w:rsidR="008C5936" w:rsidRPr="00C93329">
        <w:rPr>
          <w:b/>
          <w:bCs w:val="0"/>
        </w:rPr>
        <w:t xml:space="preserve">unassessed </w:t>
      </w:r>
      <w:r w:rsidR="008C5936" w:rsidRPr="00C61DA9">
        <w:rPr>
          <w:b/>
          <w:bCs w:val="0"/>
        </w:rPr>
        <w:t>environmental hazard</w:t>
      </w:r>
      <w:r w:rsidR="008C5936">
        <w:t xml:space="preserve"> in the </w:t>
      </w:r>
      <w:r w:rsidR="008C5936" w:rsidRPr="00C61DA9">
        <w:t xml:space="preserve">workplace, school, home, and </w:t>
      </w:r>
      <w:r w:rsidR="008C5936">
        <w:t xml:space="preserve">the </w:t>
      </w:r>
      <w:r w:rsidR="004C3916">
        <w:t xml:space="preserve">general </w:t>
      </w:r>
      <w:r w:rsidR="008C5936">
        <w:t>environment</w:t>
      </w:r>
      <w:r w:rsidR="008C5936" w:rsidRPr="00C61DA9">
        <w:t>.</w:t>
      </w:r>
      <w:r w:rsidR="00172E4F" w:rsidRPr="001235E1">
        <w:rPr>
          <w:rStyle w:val="EndnoteReference"/>
          <w:rFonts w:cs="Times New Roman"/>
        </w:rPr>
        <w:endnoteReference w:id="313"/>
      </w:r>
      <w:r w:rsidR="00172E4F" w:rsidRPr="001235E1">
        <w:rPr>
          <w:rFonts w:cs="Times New Roman"/>
          <w:vertAlign w:val="superscript"/>
        </w:rPr>
        <w:t>,</w:t>
      </w:r>
      <w:r w:rsidR="00172E4F" w:rsidRPr="001235E1">
        <w:rPr>
          <w:rStyle w:val="EndnoteReference"/>
          <w:rFonts w:cs="Times New Roman"/>
        </w:rPr>
        <w:endnoteReference w:id="314"/>
      </w:r>
      <w:r w:rsidR="00172E4F">
        <w:rPr>
          <w:rFonts w:cs="Times New Roman"/>
          <w:vertAlign w:val="superscript"/>
        </w:rPr>
        <w:t>,</w:t>
      </w:r>
      <w:r w:rsidR="00172E4F">
        <w:rPr>
          <w:rStyle w:val="EndnoteReference"/>
          <w:rFonts w:cs="Times New Roman"/>
        </w:rPr>
        <w:endnoteReference w:id="315"/>
      </w:r>
    </w:p>
    <w:p w14:paraId="6936A3C1" w14:textId="65ABDC30" w:rsidR="00736C06" w:rsidRDefault="000E2FBF" w:rsidP="0070199C">
      <w:pPr>
        <w:pStyle w:val="Heading2"/>
      </w:pPr>
      <w:bookmarkStart w:id="111" w:name="_Toc510678507"/>
      <w:bookmarkStart w:id="112" w:name="_Toc510880011"/>
      <w:bookmarkStart w:id="113" w:name="_Toc512275140"/>
      <w:bookmarkStart w:id="114" w:name="_Toc512360357"/>
      <w:bookmarkStart w:id="115" w:name="_Toc516645044"/>
      <w:bookmarkStart w:id="116" w:name="_Toc111368002"/>
      <w:bookmarkStart w:id="117" w:name="_Toc121035135"/>
      <w:r w:rsidRPr="00660BB8">
        <w:t xml:space="preserve">Regulatory Reviews Indicate </w:t>
      </w:r>
      <w:r w:rsidR="0070199C">
        <w:t xml:space="preserve">Critical </w:t>
      </w:r>
      <w:r w:rsidR="003C7A9A" w:rsidRPr="00660BB8">
        <w:t xml:space="preserve">Deficits in </w:t>
      </w:r>
      <w:r w:rsidR="00E974F4">
        <w:t xml:space="preserve">our </w:t>
      </w:r>
      <w:r w:rsidR="00E62126" w:rsidRPr="00660BB8">
        <w:t xml:space="preserve">Preclinical </w:t>
      </w:r>
      <w:r w:rsidR="00CA5198" w:rsidRPr="00660BB8">
        <w:t>Safety</w:t>
      </w:r>
      <w:r w:rsidR="003C7A9A" w:rsidRPr="00660BB8">
        <w:t xml:space="preserve"> </w:t>
      </w:r>
      <w:bookmarkEnd w:id="111"/>
      <w:bookmarkEnd w:id="112"/>
      <w:bookmarkEnd w:id="113"/>
      <w:bookmarkEnd w:id="114"/>
      <w:bookmarkEnd w:id="115"/>
      <w:bookmarkEnd w:id="116"/>
      <w:r w:rsidR="00E974F4">
        <w:t>Understanding</w:t>
      </w:r>
      <w:r w:rsidR="00C918BD">
        <w:t xml:space="preserve"> </w:t>
      </w:r>
      <w:r w:rsidR="00E974F4">
        <w:t>for Comirnaty</w:t>
      </w:r>
      <w:r w:rsidR="00E974F4" w:rsidRPr="00660BB8">
        <w:t xml:space="preserve"> </w:t>
      </w:r>
      <w:r w:rsidR="00C918BD">
        <w:t>at EUA Approval</w:t>
      </w:r>
      <w:r w:rsidR="00E974F4">
        <w:t xml:space="preserve"> </w:t>
      </w:r>
      <w:r w:rsidR="00E974F4" w:rsidRPr="00E974F4">
        <w:t xml:space="preserve">(USA, EU, </w:t>
      </w:r>
      <w:r w:rsidR="00E974F4">
        <w:t xml:space="preserve">&amp; </w:t>
      </w:r>
      <w:r w:rsidR="00E974F4" w:rsidRPr="00E974F4">
        <w:t>Australia)</w:t>
      </w:r>
      <w:bookmarkEnd w:id="117"/>
    </w:p>
    <w:p w14:paraId="30E641A5" w14:textId="68106567" w:rsidR="00927B7B" w:rsidRDefault="009462AE" w:rsidP="00E14FC2">
      <w:pPr>
        <w:rPr>
          <w:rFonts w:cs="Times New Roman"/>
          <w:szCs w:val="22"/>
        </w:rPr>
      </w:pPr>
      <w:r>
        <w:rPr>
          <w:rFonts w:cs="Times New Roman"/>
          <w:szCs w:val="22"/>
        </w:rPr>
        <w:t xml:space="preserve">The following cited </w:t>
      </w:r>
      <w:r w:rsidRPr="00B1014C">
        <w:rPr>
          <w:rFonts w:cs="Times New Roman"/>
          <w:szCs w:val="22"/>
        </w:rPr>
        <w:t>FDA</w:t>
      </w:r>
      <w:r w:rsidR="00876500" w:rsidRPr="00B1014C">
        <w:rPr>
          <w:rFonts w:cs="Times New Roman"/>
          <w:szCs w:val="22"/>
        </w:rPr>
        <w:t xml:space="preserve"> (USA)</w:t>
      </w:r>
      <w:r w:rsidR="00BD3EC6" w:rsidRPr="00B1014C">
        <w:rPr>
          <w:rFonts w:cs="Times New Roman"/>
          <w:szCs w:val="22"/>
        </w:rPr>
        <w:t>,</w:t>
      </w:r>
      <w:r w:rsidRPr="00B1014C">
        <w:rPr>
          <w:rStyle w:val="EndnoteReference"/>
          <w:rFonts w:cs="Times New Roman"/>
          <w:szCs w:val="22"/>
        </w:rPr>
        <w:endnoteReference w:id="316"/>
      </w:r>
      <w:r w:rsidRPr="00B1014C">
        <w:rPr>
          <w:rFonts w:cs="Times New Roman"/>
          <w:szCs w:val="22"/>
        </w:rPr>
        <w:t xml:space="preserve"> E</w:t>
      </w:r>
      <w:r w:rsidR="005B33A5" w:rsidRPr="00B1014C">
        <w:rPr>
          <w:rFonts w:cs="Times New Roman"/>
          <w:szCs w:val="22"/>
        </w:rPr>
        <w:t xml:space="preserve">uropean </w:t>
      </w:r>
      <w:r w:rsidRPr="00B1014C">
        <w:rPr>
          <w:rFonts w:cs="Times New Roman"/>
          <w:szCs w:val="22"/>
        </w:rPr>
        <w:t>M</w:t>
      </w:r>
      <w:r w:rsidR="005B33A5" w:rsidRPr="00B1014C">
        <w:rPr>
          <w:rFonts w:cs="Times New Roman"/>
          <w:szCs w:val="22"/>
        </w:rPr>
        <w:t>edicines Agency (EMA</w:t>
      </w:r>
      <w:r w:rsidR="00876500" w:rsidRPr="00B1014C">
        <w:rPr>
          <w:rFonts w:cs="Times New Roman"/>
          <w:szCs w:val="22"/>
        </w:rPr>
        <w:t>, EU</w:t>
      </w:r>
      <w:r w:rsidR="005B33A5" w:rsidRPr="00B1014C">
        <w:rPr>
          <w:rFonts w:cs="Times New Roman"/>
          <w:szCs w:val="22"/>
        </w:rPr>
        <w:t>)</w:t>
      </w:r>
      <w:r w:rsidR="00BD3EC6" w:rsidRPr="00B1014C">
        <w:rPr>
          <w:rFonts w:cs="Times New Roman"/>
          <w:szCs w:val="22"/>
        </w:rPr>
        <w:t>,</w:t>
      </w:r>
      <w:r w:rsidRPr="00B1014C">
        <w:rPr>
          <w:rStyle w:val="EndnoteReference"/>
          <w:rFonts w:cs="Times New Roman"/>
          <w:szCs w:val="22"/>
        </w:rPr>
        <w:endnoteReference w:id="317"/>
      </w:r>
      <w:r w:rsidRPr="00B1014C">
        <w:rPr>
          <w:rFonts w:cs="Times New Roman"/>
          <w:szCs w:val="22"/>
        </w:rPr>
        <w:t xml:space="preserve"> and </w:t>
      </w:r>
      <w:r w:rsidR="001C4E57" w:rsidRPr="00B1014C">
        <w:rPr>
          <w:rFonts w:cs="Times New Roman"/>
          <w:szCs w:val="22"/>
        </w:rPr>
        <w:t>Therapeutic Goods Administration (</w:t>
      </w:r>
      <w:r w:rsidRPr="00B1014C">
        <w:rPr>
          <w:rFonts w:cs="Times New Roman"/>
          <w:szCs w:val="22"/>
        </w:rPr>
        <w:t>TGA</w:t>
      </w:r>
      <w:r w:rsidR="00BD3EC6" w:rsidRPr="00B1014C">
        <w:rPr>
          <w:rFonts w:cs="Times New Roman"/>
          <w:szCs w:val="22"/>
        </w:rPr>
        <w:t>, Australia</w:t>
      </w:r>
      <w:r w:rsidR="001C4E57" w:rsidRPr="00B1014C">
        <w:rPr>
          <w:rFonts w:cs="Times New Roman"/>
          <w:szCs w:val="22"/>
        </w:rPr>
        <w:t>)</w:t>
      </w:r>
      <w:r w:rsidRPr="00B1014C">
        <w:rPr>
          <w:rStyle w:val="EndnoteReference"/>
          <w:rFonts w:cs="Times New Roman"/>
          <w:szCs w:val="22"/>
        </w:rPr>
        <w:endnoteReference w:id="318"/>
      </w:r>
      <w:r w:rsidRPr="00B1014C">
        <w:rPr>
          <w:rFonts w:cs="Times New Roman"/>
          <w:szCs w:val="22"/>
        </w:rPr>
        <w:t xml:space="preserve"> </w:t>
      </w:r>
      <w:r w:rsidR="00A424B6" w:rsidRPr="00B1014C">
        <w:rPr>
          <w:rFonts w:cs="Times New Roman"/>
          <w:szCs w:val="22"/>
        </w:rPr>
        <w:t xml:space="preserve">regulatory </w:t>
      </w:r>
      <w:r w:rsidR="00876500" w:rsidRPr="00B1014C">
        <w:rPr>
          <w:rFonts w:cs="Times New Roman"/>
          <w:szCs w:val="22"/>
        </w:rPr>
        <w:t>documents</w:t>
      </w:r>
      <w:r w:rsidR="00A424B6" w:rsidRPr="00B1014C">
        <w:rPr>
          <w:rFonts w:cs="Times New Roman"/>
          <w:szCs w:val="22"/>
        </w:rPr>
        <w:t xml:space="preserve"> supporting Comirnaty’s EUA approval </w:t>
      </w:r>
      <w:r w:rsidRPr="00B1014C">
        <w:rPr>
          <w:rFonts w:cs="Times New Roman"/>
          <w:szCs w:val="22"/>
        </w:rPr>
        <w:t xml:space="preserve">were </w:t>
      </w:r>
      <w:r w:rsidR="00A621AD" w:rsidRPr="00B1014C">
        <w:rPr>
          <w:rFonts w:cs="Times New Roman"/>
          <w:iCs/>
          <w:szCs w:val="22"/>
        </w:rPr>
        <w:t xml:space="preserve">pooled and </w:t>
      </w:r>
      <w:r w:rsidRPr="00B1014C">
        <w:rPr>
          <w:rFonts w:cs="Times New Roman"/>
          <w:iCs/>
          <w:szCs w:val="22"/>
        </w:rPr>
        <w:t>reviewed</w:t>
      </w:r>
      <w:r w:rsidR="00B1014C" w:rsidRPr="00B1014C">
        <w:rPr>
          <w:rFonts w:cs="Times New Roman"/>
          <w:iCs/>
          <w:szCs w:val="22"/>
        </w:rPr>
        <w:t>, among others specifically cited</w:t>
      </w:r>
      <w:r w:rsidR="00A621AD" w:rsidRPr="00B1014C">
        <w:rPr>
          <w:rFonts w:cs="Times New Roman"/>
          <w:iCs/>
          <w:szCs w:val="22"/>
        </w:rPr>
        <w:t>.</w:t>
      </w:r>
      <w:r w:rsidR="00A50302" w:rsidRPr="00B1014C">
        <w:rPr>
          <w:rFonts w:cs="Times New Roman"/>
          <w:iCs/>
          <w:szCs w:val="22"/>
        </w:rPr>
        <w:t xml:space="preserve"> </w:t>
      </w:r>
      <w:r w:rsidR="00927B7B" w:rsidRPr="00B1014C">
        <w:rPr>
          <w:rFonts w:cs="Times New Roman"/>
          <w:iCs/>
          <w:szCs w:val="22"/>
        </w:rPr>
        <w:t xml:space="preserve">This was done to identify what was missing from Comirnaty’s preclinical safety assessment </w:t>
      </w:r>
      <w:r w:rsidR="00927B7B">
        <w:rPr>
          <w:rFonts w:cs="Times New Roman"/>
          <w:iCs/>
          <w:szCs w:val="22"/>
        </w:rPr>
        <w:t xml:space="preserve">that if </w:t>
      </w:r>
      <w:r w:rsidR="00A776C7">
        <w:rPr>
          <w:rFonts w:cs="Times New Roman"/>
          <w:iCs/>
          <w:szCs w:val="22"/>
        </w:rPr>
        <w:t xml:space="preserve">it were </w:t>
      </w:r>
      <w:r w:rsidR="00927B7B">
        <w:rPr>
          <w:rFonts w:cs="Times New Roman"/>
          <w:iCs/>
          <w:szCs w:val="22"/>
        </w:rPr>
        <w:t>present would have enabled a broader understanding of vaccine safety before mass vaccination using a first-in-class novel gene-therapy-vaccine technology.</w:t>
      </w:r>
      <w:r w:rsidR="00927B7B">
        <w:rPr>
          <w:rFonts w:cs="Times New Roman"/>
          <w:szCs w:val="22"/>
        </w:rPr>
        <w:t xml:space="preserve"> </w:t>
      </w:r>
      <w:r w:rsidR="00F023CF">
        <w:rPr>
          <w:rFonts w:cs="Times New Roman"/>
          <w:szCs w:val="22"/>
        </w:rPr>
        <w:t>R</w:t>
      </w:r>
      <w:r w:rsidR="00D67242" w:rsidRPr="00076A12">
        <w:rPr>
          <w:rFonts w:cs="Times New Roman"/>
          <w:szCs w:val="22"/>
        </w:rPr>
        <w:t>ed flag</w:t>
      </w:r>
      <w:r w:rsidR="00D67242">
        <w:rPr>
          <w:rFonts w:cs="Times New Roman"/>
          <w:szCs w:val="22"/>
        </w:rPr>
        <w:t xml:space="preserve">s were raised in my </w:t>
      </w:r>
      <w:r w:rsidR="00444E6A">
        <w:rPr>
          <w:rFonts w:cs="Times New Roman"/>
          <w:szCs w:val="22"/>
        </w:rPr>
        <w:t>review</w:t>
      </w:r>
      <w:r w:rsidR="00D67242">
        <w:rPr>
          <w:rFonts w:cs="Times New Roman"/>
          <w:szCs w:val="22"/>
        </w:rPr>
        <w:t xml:space="preserve"> of the</w:t>
      </w:r>
      <w:r w:rsidR="00A4018F">
        <w:rPr>
          <w:rFonts w:cs="Times New Roman"/>
          <w:szCs w:val="22"/>
        </w:rPr>
        <w:t>se</w:t>
      </w:r>
      <w:r w:rsidR="00D67242">
        <w:rPr>
          <w:rFonts w:cs="Times New Roman"/>
          <w:szCs w:val="22"/>
        </w:rPr>
        <w:t xml:space="preserve"> </w:t>
      </w:r>
      <w:r w:rsidR="001816C2">
        <w:rPr>
          <w:rFonts w:cs="Times New Roman"/>
          <w:szCs w:val="22"/>
        </w:rPr>
        <w:t xml:space="preserve">overseas </w:t>
      </w:r>
      <w:r w:rsidR="00A4018F">
        <w:rPr>
          <w:rFonts w:cs="Times New Roman"/>
          <w:szCs w:val="22"/>
        </w:rPr>
        <w:t>regulatory</w:t>
      </w:r>
      <w:r w:rsidR="00D67242">
        <w:rPr>
          <w:rFonts w:cs="Times New Roman"/>
          <w:szCs w:val="22"/>
        </w:rPr>
        <w:t xml:space="preserve"> assessments</w:t>
      </w:r>
      <w:r w:rsidR="001816C2">
        <w:rPr>
          <w:rFonts w:cs="Times New Roman"/>
          <w:szCs w:val="22"/>
        </w:rPr>
        <w:t xml:space="preserve"> for Comirnaty</w:t>
      </w:r>
      <w:r w:rsidR="007264EC">
        <w:rPr>
          <w:rFonts w:cs="Times New Roman"/>
          <w:szCs w:val="22"/>
        </w:rPr>
        <w:t xml:space="preserve">, </w:t>
      </w:r>
      <w:r w:rsidR="007264EC">
        <w:rPr>
          <w:rFonts w:cs="Times New Roman"/>
          <w:szCs w:val="22"/>
        </w:rPr>
        <w:lastRenderedPageBreak/>
        <w:t>which had</w:t>
      </w:r>
      <w:r w:rsidR="0095469A">
        <w:rPr>
          <w:rFonts w:cs="Times New Roman"/>
          <w:szCs w:val="22"/>
        </w:rPr>
        <w:t xml:space="preserve"> numerous </w:t>
      </w:r>
      <w:r w:rsidR="007264EC">
        <w:rPr>
          <w:rFonts w:cs="Times New Roman"/>
          <w:szCs w:val="22"/>
        </w:rPr>
        <w:t>predictable</w:t>
      </w:r>
      <w:r w:rsidR="008061EE">
        <w:rPr>
          <w:rFonts w:cs="Times New Roman"/>
          <w:szCs w:val="22"/>
        </w:rPr>
        <w:t xml:space="preserve"> </w:t>
      </w:r>
      <w:r w:rsidR="0095469A">
        <w:rPr>
          <w:rFonts w:cs="Times New Roman"/>
          <w:szCs w:val="22"/>
        </w:rPr>
        <w:t xml:space="preserve">safety </w:t>
      </w:r>
      <w:r w:rsidR="00167819">
        <w:rPr>
          <w:rFonts w:cs="Times New Roman"/>
          <w:szCs w:val="22"/>
        </w:rPr>
        <w:t>risks</w:t>
      </w:r>
      <w:r w:rsidR="00C72C61">
        <w:rPr>
          <w:rFonts w:cs="Times New Roman"/>
          <w:szCs w:val="22"/>
        </w:rPr>
        <w:t xml:space="preserve"> </w:t>
      </w:r>
      <w:r w:rsidR="0095469A">
        <w:rPr>
          <w:rFonts w:cs="Times New Roman"/>
          <w:szCs w:val="22"/>
        </w:rPr>
        <w:t>(</w:t>
      </w:r>
      <w:r w:rsidR="00167819">
        <w:rPr>
          <w:rFonts w:cs="Times New Roman"/>
          <w:szCs w:val="22"/>
        </w:rPr>
        <w:t xml:space="preserve">i.e., </w:t>
      </w:r>
      <w:r w:rsidR="0095469A" w:rsidRPr="006252EC">
        <w:rPr>
          <w:rFonts w:cs="Times New Roman"/>
          <w:i/>
          <w:iCs/>
          <w:szCs w:val="22"/>
        </w:rPr>
        <w:t xml:space="preserve">ADE, </w:t>
      </w:r>
      <w:r w:rsidR="007264EC">
        <w:rPr>
          <w:rFonts w:cs="Times New Roman"/>
          <w:i/>
          <w:iCs/>
          <w:szCs w:val="22"/>
        </w:rPr>
        <w:t xml:space="preserve">antigenic imprinting, </w:t>
      </w:r>
      <w:r w:rsidR="004351F7">
        <w:rPr>
          <w:rFonts w:cs="Times New Roman"/>
          <w:i/>
          <w:iCs/>
          <w:szCs w:val="22"/>
        </w:rPr>
        <w:t xml:space="preserve">virus-free </w:t>
      </w:r>
      <w:r w:rsidR="0095469A" w:rsidRPr="006252EC">
        <w:rPr>
          <w:rFonts w:cs="Times New Roman"/>
          <w:i/>
          <w:iCs/>
          <w:szCs w:val="22"/>
        </w:rPr>
        <w:t xml:space="preserve">spike </w:t>
      </w:r>
      <w:r w:rsidR="0056745E">
        <w:rPr>
          <w:rFonts w:cs="Times New Roman"/>
          <w:i/>
          <w:iCs/>
          <w:szCs w:val="22"/>
        </w:rPr>
        <w:t>protein-related</w:t>
      </w:r>
      <w:r w:rsidR="0071236A" w:rsidRPr="006252EC">
        <w:rPr>
          <w:rFonts w:cs="Times New Roman"/>
          <w:i/>
          <w:iCs/>
          <w:szCs w:val="22"/>
        </w:rPr>
        <w:t xml:space="preserve"> pathologies</w:t>
      </w:r>
      <w:r w:rsidR="0095469A" w:rsidRPr="006252EC">
        <w:rPr>
          <w:rFonts w:cs="Times New Roman"/>
          <w:i/>
          <w:iCs/>
          <w:szCs w:val="22"/>
        </w:rPr>
        <w:t xml:space="preserve">, </w:t>
      </w:r>
      <w:r w:rsidR="00167819" w:rsidRPr="006252EC">
        <w:rPr>
          <w:rFonts w:cs="Times New Roman"/>
          <w:i/>
          <w:iCs/>
          <w:szCs w:val="22"/>
        </w:rPr>
        <w:t xml:space="preserve">lipid nanoparticle chemical toxicity, genotoxicity, </w:t>
      </w:r>
      <w:r w:rsidR="00927B7B">
        <w:rPr>
          <w:rFonts w:cs="Times New Roman"/>
          <w:i/>
          <w:iCs/>
          <w:szCs w:val="22"/>
        </w:rPr>
        <w:t xml:space="preserve">and </w:t>
      </w:r>
      <w:r w:rsidR="00167819" w:rsidRPr="006252EC">
        <w:rPr>
          <w:rFonts w:cs="Times New Roman"/>
          <w:i/>
          <w:iCs/>
          <w:szCs w:val="22"/>
        </w:rPr>
        <w:t>fertility-reproductive</w:t>
      </w:r>
      <w:r w:rsidR="00C72C61">
        <w:rPr>
          <w:rFonts w:cs="Times New Roman"/>
          <w:i/>
          <w:iCs/>
          <w:szCs w:val="22"/>
        </w:rPr>
        <w:t xml:space="preserve"> issues</w:t>
      </w:r>
      <w:r w:rsidR="0095469A">
        <w:rPr>
          <w:rFonts w:cs="Times New Roman"/>
          <w:szCs w:val="22"/>
        </w:rPr>
        <w:t>).</w:t>
      </w:r>
      <w:r w:rsidR="00A4018F">
        <w:rPr>
          <w:rFonts w:cs="Times New Roman"/>
          <w:szCs w:val="22"/>
        </w:rPr>
        <w:t xml:space="preserve"> </w:t>
      </w:r>
      <w:r w:rsidR="00927B7B">
        <w:rPr>
          <w:rFonts w:cs="Times New Roman"/>
          <w:szCs w:val="22"/>
        </w:rPr>
        <w:t>The</w:t>
      </w:r>
      <w:r w:rsidR="002E1EB7">
        <w:rPr>
          <w:rFonts w:cs="Times New Roman"/>
          <w:szCs w:val="22"/>
        </w:rPr>
        <w:t xml:space="preserve"> glaring </w:t>
      </w:r>
      <w:r w:rsidR="00927B7B">
        <w:rPr>
          <w:rFonts w:cs="Times New Roman"/>
          <w:szCs w:val="22"/>
        </w:rPr>
        <w:t xml:space="preserve">deficits </w:t>
      </w:r>
      <w:r w:rsidR="000742AA">
        <w:rPr>
          <w:rFonts w:cs="Times New Roman"/>
          <w:szCs w:val="22"/>
        </w:rPr>
        <w:t xml:space="preserve">(to me) </w:t>
      </w:r>
      <w:r w:rsidR="00927B7B">
        <w:rPr>
          <w:rFonts w:cs="Times New Roman"/>
          <w:szCs w:val="22"/>
        </w:rPr>
        <w:t xml:space="preserve">left me with </w:t>
      </w:r>
      <w:r w:rsidR="00927B7B" w:rsidRPr="002E1EB7">
        <w:rPr>
          <w:rFonts w:cs="Times New Roman"/>
          <w:b/>
          <w:bCs w:val="0"/>
          <w:szCs w:val="22"/>
        </w:rPr>
        <w:t xml:space="preserve">two </w:t>
      </w:r>
      <w:r w:rsidR="004351F7">
        <w:rPr>
          <w:rFonts w:cs="Times New Roman"/>
          <w:b/>
          <w:bCs w:val="0"/>
          <w:szCs w:val="22"/>
        </w:rPr>
        <w:t xml:space="preserve">rhetorical </w:t>
      </w:r>
      <w:r w:rsidR="00927B7B" w:rsidRPr="002E1EB7">
        <w:rPr>
          <w:rFonts w:cs="Times New Roman"/>
          <w:b/>
          <w:bCs w:val="0"/>
          <w:szCs w:val="22"/>
        </w:rPr>
        <w:t>questions</w:t>
      </w:r>
      <w:r w:rsidR="00927B7B">
        <w:rPr>
          <w:rFonts w:cs="Times New Roman"/>
          <w:szCs w:val="22"/>
        </w:rPr>
        <w:t xml:space="preserve">: (1) Was a broader repertoire of preclinical safety studies </w:t>
      </w:r>
      <w:r w:rsidR="00927B7B" w:rsidRPr="002E1EB7">
        <w:rPr>
          <w:rFonts w:cs="Times New Roman"/>
          <w:szCs w:val="22"/>
        </w:rPr>
        <w:t xml:space="preserve">conducted but not provided </w:t>
      </w:r>
      <w:r w:rsidR="002E1EB7" w:rsidRPr="002E1EB7">
        <w:rPr>
          <w:rFonts w:cs="Times New Roman"/>
          <w:szCs w:val="22"/>
        </w:rPr>
        <w:t xml:space="preserve">by the regulators </w:t>
      </w:r>
      <w:r w:rsidR="00927B7B" w:rsidRPr="002E1EB7">
        <w:rPr>
          <w:rFonts w:cs="Times New Roman"/>
          <w:szCs w:val="22"/>
        </w:rPr>
        <w:t>within the</w:t>
      </w:r>
      <w:r w:rsidR="00097B1A">
        <w:rPr>
          <w:rFonts w:cs="Times New Roman"/>
          <w:szCs w:val="22"/>
        </w:rPr>
        <w:t>ir</w:t>
      </w:r>
      <w:r w:rsidR="00927B7B" w:rsidRPr="002E1EB7">
        <w:rPr>
          <w:rFonts w:cs="Times New Roman"/>
          <w:szCs w:val="22"/>
        </w:rPr>
        <w:t xml:space="preserve"> regulatory reviews? (2) Did the regulators provide a low hurdle for preclinical</w:t>
      </w:r>
      <w:r w:rsidR="00927B7B">
        <w:rPr>
          <w:rFonts w:cs="Times New Roman"/>
          <w:szCs w:val="22"/>
        </w:rPr>
        <w:t xml:space="preserve"> safety assessment for Comirnaty?</w:t>
      </w:r>
    </w:p>
    <w:p w14:paraId="319FA294" w14:textId="1CDE0A90" w:rsidR="005D7800" w:rsidRPr="00CA463A" w:rsidRDefault="002A35C9" w:rsidP="004C5C79">
      <w:pPr>
        <w:pStyle w:val="Heading3"/>
      </w:pPr>
      <w:bookmarkStart w:id="118" w:name="_Toc510678508"/>
      <w:bookmarkStart w:id="119" w:name="_Toc510880012"/>
      <w:bookmarkStart w:id="120" w:name="_Toc512275141"/>
      <w:bookmarkStart w:id="121" w:name="_Toc512360358"/>
      <w:bookmarkStart w:id="122" w:name="_Toc516645045"/>
      <w:bookmarkStart w:id="123" w:name="_Toc111368003"/>
      <w:bookmarkStart w:id="124" w:name="_Toc121035136"/>
      <w:r>
        <w:t>Biodistribution Studies</w:t>
      </w:r>
      <w:r w:rsidR="0012623B">
        <w:t xml:space="preserve"> </w:t>
      </w:r>
      <w:bookmarkEnd w:id="118"/>
      <w:bookmarkEnd w:id="119"/>
      <w:bookmarkEnd w:id="120"/>
      <w:bookmarkEnd w:id="121"/>
      <w:bookmarkEnd w:id="122"/>
      <w:r w:rsidR="00155D51">
        <w:t>Bypassed</w:t>
      </w:r>
      <w:r>
        <w:t xml:space="preserve"> Spike Protein-ACE2 </w:t>
      </w:r>
      <w:r w:rsidR="002873D0">
        <w:t>Pathology</w:t>
      </w:r>
      <w:r w:rsidR="00A57392">
        <w:t xml:space="preserve"> Mechanisms</w:t>
      </w:r>
      <w:bookmarkEnd w:id="123"/>
      <w:bookmarkEnd w:id="124"/>
    </w:p>
    <w:p w14:paraId="4493D0DC" w14:textId="2D302B5E" w:rsidR="00AD42FF" w:rsidRDefault="00A03147" w:rsidP="00103841">
      <w:pPr>
        <w:rPr>
          <w:rFonts w:cs="Times New Roman"/>
          <w:szCs w:val="22"/>
        </w:rPr>
      </w:pPr>
      <w:r>
        <w:rPr>
          <w:rFonts w:cs="Times New Roman"/>
          <w:szCs w:val="22"/>
        </w:rPr>
        <w:t>Critically</w:t>
      </w:r>
      <w:r w:rsidR="0041013C">
        <w:rPr>
          <w:rFonts w:cs="Times New Roman"/>
          <w:szCs w:val="22"/>
        </w:rPr>
        <w:t xml:space="preserve">, </w:t>
      </w:r>
      <w:r w:rsidR="00857F3F">
        <w:rPr>
          <w:rFonts w:cs="Times New Roman"/>
          <w:szCs w:val="22"/>
        </w:rPr>
        <w:t>for</w:t>
      </w:r>
      <w:r>
        <w:rPr>
          <w:rFonts w:cs="Times New Roman"/>
          <w:szCs w:val="22"/>
        </w:rPr>
        <w:t xml:space="preserve"> biodistribution studies</w:t>
      </w:r>
      <w:r w:rsidR="00857F3F">
        <w:rPr>
          <w:rFonts w:cs="Times New Roman"/>
          <w:szCs w:val="22"/>
        </w:rPr>
        <w:t>,</w:t>
      </w:r>
      <w:r>
        <w:rPr>
          <w:rFonts w:cs="Times New Roman"/>
          <w:szCs w:val="22"/>
        </w:rPr>
        <w:t xml:space="preserve"> </w:t>
      </w:r>
      <w:r w:rsidR="0041013C">
        <w:rPr>
          <w:rFonts w:cs="Times New Roman"/>
          <w:szCs w:val="22"/>
        </w:rPr>
        <w:t xml:space="preserve">the spike </w:t>
      </w:r>
      <w:r w:rsidR="002A35C9">
        <w:rPr>
          <w:rFonts w:cs="Times New Roman"/>
          <w:szCs w:val="22"/>
        </w:rPr>
        <w:t>protein-encoding</w:t>
      </w:r>
      <w:r w:rsidR="0041013C">
        <w:rPr>
          <w:rFonts w:cs="Times New Roman"/>
          <w:szCs w:val="22"/>
        </w:rPr>
        <w:t xml:space="preserve"> mRNA-LNP</w:t>
      </w:r>
      <w:r w:rsidR="0041013C" w:rsidRPr="00D24EA8">
        <w:rPr>
          <w:rFonts w:cs="Times New Roman"/>
          <w:szCs w:val="22"/>
        </w:rPr>
        <w:t xml:space="preserve"> </w:t>
      </w:r>
      <w:r w:rsidR="0041013C">
        <w:rPr>
          <w:rFonts w:cs="Times New Roman"/>
          <w:szCs w:val="22"/>
        </w:rPr>
        <w:t>was</w:t>
      </w:r>
      <w:r w:rsidR="0041013C" w:rsidRPr="00D24EA8">
        <w:rPr>
          <w:rFonts w:cs="Times New Roman"/>
          <w:szCs w:val="22"/>
        </w:rPr>
        <w:t xml:space="preserve"> </w:t>
      </w:r>
      <w:r w:rsidR="0041013C" w:rsidRPr="0027732A">
        <w:rPr>
          <w:rFonts w:cs="Times New Roman"/>
          <w:b/>
          <w:bCs w:val="0"/>
          <w:szCs w:val="22"/>
        </w:rPr>
        <w:t>substituted</w:t>
      </w:r>
      <w:r w:rsidR="0041013C" w:rsidRPr="00D24EA8">
        <w:rPr>
          <w:rFonts w:cs="Times New Roman"/>
          <w:szCs w:val="22"/>
        </w:rPr>
        <w:t xml:space="preserve"> </w:t>
      </w:r>
      <w:r w:rsidR="002A35C9">
        <w:rPr>
          <w:rFonts w:cs="Times New Roman"/>
          <w:szCs w:val="22"/>
        </w:rPr>
        <w:t>with</w:t>
      </w:r>
      <w:r w:rsidR="0041013C">
        <w:rPr>
          <w:rFonts w:cs="Times New Roman"/>
          <w:szCs w:val="22"/>
        </w:rPr>
        <w:t xml:space="preserve"> </w:t>
      </w:r>
      <w:r w:rsidR="0041013C" w:rsidRPr="00D24EA8">
        <w:rPr>
          <w:rFonts w:cs="Times New Roman"/>
          <w:szCs w:val="22"/>
        </w:rPr>
        <w:t xml:space="preserve">a </w:t>
      </w:r>
      <w:r w:rsidR="0041013C" w:rsidRPr="008D187B">
        <w:rPr>
          <w:rFonts w:cs="Times New Roman"/>
          <w:szCs w:val="22"/>
        </w:rPr>
        <w:t>surrogate</w:t>
      </w:r>
      <w:r w:rsidR="0041013C" w:rsidRPr="00D24EA8">
        <w:rPr>
          <w:rFonts w:cs="Times New Roman"/>
          <w:szCs w:val="22"/>
        </w:rPr>
        <w:t xml:space="preserve"> luciferase expressing </w:t>
      </w:r>
      <w:r w:rsidR="0041013C">
        <w:rPr>
          <w:rFonts w:cs="Times New Roman"/>
          <w:szCs w:val="22"/>
        </w:rPr>
        <w:t>mRNA-LNP</w:t>
      </w:r>
      <w:r w:rsidR="00FB27C6">
        <w:rPr>
          <w:rFonts w:cs="Times New Roman"/>
          <w:szCs w:val="22"/>
        </w:rPr>
        <w:t xml:space="preserve"> using </w:t>
      </w:r>
      <w:r w:rsidR="00561403">
        <w:rPr>
          <w:rFonts w:cs="Times New Roman"/>
          <w:szCs w:val="22"/>
        </w:rPr>
        <w:t>various</w:t>
      </w:r>
      <w:r w:rsidR="00FB27C6">
        <w:rPr>
          <w:rFonts w:cs="Times New Roman"/>
          <w:szCs w:val="22"/>
        </w:rPr>
        <w:t xml:space="preserve"> routes of administration</w:t>
      </w:r>
      <w:r w:rsidR="00DF1A7D">
        <w:rPr>
          <w:rFonts w:cs="Times New Roman"/>
          <w:szCs w:val="22"/>
        </w:rPr>
        <w:t>. Consequently</w:t>
      </w:r>
      <w:r w:rsidR="00BA46A7">
        <w:rPr>
          <w:rFonts w:cs="Times New Roman"/>
          <w:szCs w:val="22"/>
        </w:rPr>
        <w:t>,</w:t>
      </w:r>
      <w:r w:rsidR="00DF1A7D">
        <w:rPr>
          <w:rFonts w:cs="Times New Roman"/>
          <w:szCs w:val="22"/>
        </w:rPr>
        <w:t xml:space="preserve"> </w:t>
      </w:r>
      <w:r w:rsidR="00103841">
        <w:rPr>
          <w:rFonts w:cs="Times New Roman"/>
          <w:szCs w:val="22"/>
        </w:rPr>
        <w:t>the regulatory reviews did not disclose</w:t>
      </w:r>
      <w:r w:rsidR="00DF1A7D">
        <w:rPr>
          <w:rFonts w:cs="Times New Roman"/>
          <w:szCs w:val="22"/>
        </w:rPr>
        <w:t xml:space="preserve"> </w:t>
      </w:r>
      <w:r w:rsidR="007F3A6A">
        <w:rPr>
          <w:rFonts w:cs="Times New Roman"/>
          <w:szCs w:val="22"/>
        </w:rPr>
        <w:t xml:space="preserve">Comirnaty-specific </w:t>
      </w:r>
      <w:r w:rsidR="00A320B1">
        <w:rPr>
          <w:rFonts w:cs="Times New Roman"/>
          <w:szCs w:val="22"/>
        </w:rPr>
        <w:t>data</w:t>
      </w:r>
      <w:r w:rsidR="00DF1A7D">
        <w:rPr>
          <w:rFonts w:cs="Times New Roman"/>
          <w:szCs w:val="22"/>
        </w:rPr>
        <w:t xml:space="preserve"> about the tissue distribution </w:t>
      </w:r>
      <w:r w:rsidR="00AD42FF">
        <w:rPr>
          <w:rFonts w:cs="Times New Roman"/>
          <w:szCs w:val="22"/>
        </w:rPr>
        <w:t xml:space="preserve">and kinetics </w:t>
      </w:r>
      <w:r w:rsidR="00DF1A7D">
        <w:rPr>
          <w:rFonts w:cs="Times New Roman"/>
          <w:szCs w:val="22"/>
        </w:rPr>
        <w:t xml:space="preserve">of spike protein mRNA </w:t>
      </w:r>
      <w:r w:rsidR="00AD42FF">
        <w:rPr>
          <w:rFonts w:cs="Times New Roman"/>
          <w:szCs w:val="22"/>
        </w:rPr>
        <w:t xml:space="preserve">and its transcribed spike protein </w:t>
      </w:r>
      <w:r w:rsidR="004F269D">
        <w:rPr>
          <w:rFonts w:cs="Times New Roman"/>
          <w:szCs w:val="22"/>
        </w:rPr>
        <w:t xml:space="preserve">after </w:t>
      </w:r>
      <w:r w:rsidR="009430FB">
        <w:rPr>
          <w:rFonts w:cs="Times New Roman"/>
          <w:szCs w:val="22"/>
        </w:rPr>
        <w:t>vaccination. As such,</w:t>
      </w:r>
      <w:r w:rsidR="00AD42FF">
        <w:rPr>
          <w:rFonts w:cs="Times New Roman"/>
          <w:szCs w:val="22"/>
        </w:rPr>
        <w:t xml:space="preserve"> regulators </w:t>
      </w:r>
      <w:r w:rsidR="004B511A">
        <w:rPr>
          <w:rFonts w:cs="Times New Roman"/>
          <w:szCs w:val="22"/>
        </w:rPr>
        <w:t xml:space="preserve">seemingly </w:t>
      </w:r>
      <w:r w:rsidR="00AD42FF">
        <w:rPr>
          <w:rFonts w:cs="Times New Roman"/>
          <w:szCs w:val="22"/>
        </w:rPr>
        <w:t xml:space="preserve">had </w:t>
      </w:r>
      <w:r w:rsidR="001525E0">
        <w:rPr>
          <w:rFonts w:cs="Times New Roman"/>
          <w:szCs w:val="22"/>
        </w:rPr>
        <w:t xml:space="preserve">a </w:t>
      </w:r>
      <w:r w:rsidR="0056594E">
        <w:rPr>
          <w:rFonts w:cs="Times New Roman"/>
          <w:b/>
          <w:bCs w:val="0"/>
          <w:szCs w:val="22"/>
        </w:rPr>
        <w:t>no-</w:t>
      </w:r>
      <w:r w:rsidR="0056745E">
        <w:rPr>
          <w:rFonts w:cs="Times New Roman"/>
          <w:b/>
          <w:bCs w:val="0"/>
          <w:szCs w:val="22"/>
        </w:rPr>
        <w:t>to-</w:t>
      </w:r>
      <w:r w:rsidR="0056594E">
        <w:rPr>
          <w:rFonts w:cs="Times New Roman"/>
          <w:b/>
          <w:bCs w:val="0"/>
          <w:szCs w:val="22"/>
        </w:rPr>
        <w:t>little</w:t>
      </w:r>
      <w:r w:rsidR="00AD42FF" w:rsidRPr="0027732A">
        <w:rPr>
          <w:rFonts w:cs="Times New Roman"/>
          <w:b/>
          <w:bCs w:val="0"/>
          <w:szCs w:val="22"/>
        </w:rPr>
        <w:t xml:space="preserve"> understanding</w:t>
      </w:r>
      <w:r w:rsidR="00AD42FF">
        <w:rPr>
          <w:rFonts w:cs="Times New Roman"/>
          <w:szCs w:val="22"/>
        </w:rPr>
        <w:t xml:space="preserve"> of Comirnaty’s spike protein </w:t>
      </w:r>
      <w:r w:rsidR="0056594E">
        <w:rPr>
          <w:rFonts w:cs="Times New Roman"/>
          <w:szCs w:val="22"/>
        </w:rPr>
        <w:t xml:space="preserve">pharmacokinetics and any </w:t>
      </w:r>
      <w:r w:rsidR="00AD42FF">
        <w:rPr>
          <w:rFonts w:cs="Times New Roman"/>
          <w:szCs w:val="22"/>
        </w:rPr>
        <w:t>patholog</w:t>
      </w:r>
      <w:r w:rsidR="009430FB">
        <w:rPr>
          <w:rFonts w:cs="Times New Roman"/>
          <w:szCs w:val="22"/>
        </w:rPr>
        <w:t>ies</w:t>
      </w:r>
      <w:r w:rsidR="00AD42FF">
        <w:rPr>
          <w:rFonts w:cs="Times New Roman"/>
          <w:szCs w:val="22"/>
        </w:rPr>
        <w:t xml:space="preserve"> triggered by </w:t>
      </w:r>
      <w:r w:rsidR="004B511A">
        <w:rPr>
          <w:rFonts w:cs="Times New Roman"/>
          <w:szCs w:val="22"/>
        </w:rPr>
        <w:t>it</w:t>
      </w:r>
      <w:r w:rsidR="00AD42FF">
        <w:rPr>
          <w:rFonts w:cs="Times New Roman"/>
          <w:szCs w:val="22"/>
        </w:rPr>
        <w:t xml:space="preserve">s </w:t>
      </w:r>
      <w:r w:rsidR="00AD42FF" w:rsidRPr="009430FB">
        <w:rPr>
          <w:rFonts w:cs="Times New Roman"/>
          <w:b/>
          <w:bCs w:val="0"/>
          <w:szCs w:val="22"/>
        </w:rPr>
        <w:t>high-affinity binding</w:t>
      </w:r>
      <w:r w:rsidR="00AD42FF">
        <w:rPr>
          <w:rFonts w:cs="Times New Roman"/>
          <w:szCs w:val="22"/>
        </w:rPr>
        <w:t xml:space="preserve"> with ACE2 receptors distant from the injection site</w:t>
      </w:r>
      <w:r w:rsidR="0061416F">
        <w:rPr>
          <w:rFonts w:cs="Times New Roman"/>
          <w:szCs w:val="22"/>
        </w:rPr>
        <w:t xml:space="preserve"> in a relevant species</w:t>
      </w:r>
      <w:r w:rsidR="00AD42FF">
        <w:rPr>
          <w:rFonts w:cs="Times New Roman"/>
          <w:szCs w:val="22"/>
        </w:rPr>
        <w:t>.</w:t>
      </w:r>
    </w:p>
    <w:p w14:paraId="10007506" w14:textId="24E42C3C" w:rsidR="00066B2E" w:rsidRDefault="001525E0" w:rsidP="00103841">
      <w:pPr>
        <w:rPr>
          <w:rFonts w:cs="Times New Roman"/>
          <w:szCs w:val="22"/>
          <w:vertAlign w:val="superscript"/>
        </w:rPr>
      </w:pPr>
      <w:r>
        <w:rPr>
          <w:rFonts w:cs="Times New Roman"/>
          <w:szCs w:val="22"/>
        </w:rPr>
        <w:t xml:space="preserve">In my opinion, </w:t>
      </w:r>
      <w:r w:rsidR="000742AA">
        <w:rPr>
          <w:rFonts w:cs="Times New Roman"/>
          <w:szCs w:val="22"/>
        </w:rPr>
        <w:t>using</w:t>
      </w:r>
      <w:r>
        <w:rPr>
          <w:rFonts w:cs="Times New Roman"/>
          <w:szCs w:val="22"/>
        </w:rPr>
        <w:t xml:space="preserve"> rats in the toxicology studies would likely have flattered Comirnaty safety’s profile</w:t>
      </w:r>
      <w:r w:rsidR="00066B2E">
        <w:rPr>
          <w:rFonts w:cs="Times New Roman"/>
          <w:szCs w:val="22"/>
        </w:rPr>
        <w:t xml:space="preserve">. This reflects the </w:t>
      </w:r>
      <w:r w:rsidR="00066B2E" w:rsidRPr="00EC5238">
        <w:rPr>
          <w:rFonts w:cs="Times New Roman"/>
          <w:b/>
          <w:bCs w:val="0"/>
          <w:szCs w:val="22"/>
        </w:rPr>
        <w:t>low-affinity binding of rat ACE2 receptors</w:t>
      </w:r>
      <w:r w:rsidR="00066B2E">
        <w:rPr>
          <w:rFonts w:cs="Times New Roman"/>
          <w:szCs w:val="22"/>
        </w:rPr>
        <w:t xml:space="preserve"> </w:t>
      </w:r>
      <w:r w:rsidR="004B511A">
        <w:rPr>
          <w:rFonts w:cs="Times New Roman"/>
          <w:szCs w:val="22"/>
        </w:rPr>
        <w:t>with</w:t>
      </w:r>
      <w:r w:rsidR="00066B2E">
        <w:rPr>
          <w:rFonts w:cs="Times New Roman"/>
          <w:szCs w:val="22"/>
        </w:rPr>
        <w:t xml:space="preserve"> the spike protein</w:t>
      </w:r>
      <w:r w:rsidR="004B511A">
        <w:rPr>
          <w:rFonts w:cs="Times New Roman"/>
          <w:szCs w:val="22"/>
        </w:rPr>
        <w:t xml:space="preserve"> </w:t>
      </w:r>
      <w:r w:rsidR="00066B2E">
        <w:rPr>
          <w:rFonts w:cs="Times New Roman"/>
          <w:szCs w:val="22"/>
        </w:rPr>
        <w:t xml:space="preserve">in ACE2-rich tissues like </w:t>
      </w:r>
      <w:r w:rsidR="004351F7">
        <w:rPr>
          <w:rFonts w:cs="Times New Roman"/>
          <w:szCs w:val="22"/>
        </w:rPr>
        <w:t xml:space="preserve">cardio-/cerebro-/respiratory-/renal- vascular </w:t>
      </w:r>
      <w:r w:rsidR="00066B2E">
        <w:rPr>
          <w:rFonts w:cs="Times New Roman"/>
          <w:szCs w:val="22"/>
        </w:rPr>
        <w:t xml:space="preserve">endothelium, cardiac muscle, alveoli, brain, gastrointestinal, </w:t>
      </w:r>
      <w:r w:rsidR="004351F7">
        <w:rPr>
          <w:rFonts w:cs="Times New Roman"/>
          <w:szCs w:val="22"/>
        </w:rPr>
        <w:t>gonads etc</w:t>
      </w:r>
      <w:r w:rsidR="00066B2E">
        <w:rPr>
          <w:rFonts w:cs="Times New Roman"/>
          <w:szCs w:val="22"/>
        </w:rPr>
        <w:t xml:space="preserve">. </w:t>
      </w:r>
      <w:r w:rsidR="0056594E">
        <w:rPr>
          <w:rFonts w:cs="Times New Roman"/>
          <w:szCs w:val="22"/>
        </w:rPr>
        <w:t xml:space="preserve">After all, we </w:t>
      </w:r>
      <w:r w:rsidR="0056594E" w:rsidRPr="00985C1D">
        <w:rPr>
          <w:rFonts w:cs="Times New Roman"/>
          <w:szCs w:val="22"/>
        </w:rPr>
        <w:t>kn</w:t>
      </w:r>
      <w:r w:rsidR="0061416F">
        <w:rPr>
          <w:rFonts w:cs="Times New Roman"/>
          <w:szCs w:val="22"/>
        </w:rPr>
        <w:t>e</w:t>
      </w:r>
      <w:r w:rsidR="0056594E" w:rsidRPr="00985C1D">
        <w:rPr>
          <w:rFonts w:cs="Times New Roman"/>
          <w:szCs w:val="22"/>
        </w:rPr>
        <w:t xml:space="preserve">w </w:t>
      </w:r>
      <w:r w:rsidR="0056594E">
        <w:rPr>
          <w:rFonts w:cs="Times New Roman"/>
          <w:szCs w:val="22"/>
        </w:rPr>
        <w:t xml:space="preserve">that the </w:t>
      </w:r>
      <w:r w:rsidR="0056594E" w:rsidRPr="00985C1D">
        <w:rPr>
          <w:rFonts w:cs="Times New Roman"/>
          <w:szCs w:val="22"/>
        </w:rPr>
        <w:t>SARS-CoV</w:t>
      </w:r>
      <w:r w:rsidR="0056594E">
        <w:rPr>
          <w:rFonts w:cs="Times New Roman"/>
          <w:szCs w:val="22"/>
        </w:rPr>
        <w:t>-1</w:t>
      </w:r>
      <w:r w:rsidR="0056594E" w:rsidRPr="00985C1D">
        <w:rPr>
          <w:rFonts w:cs="Times New Roman"/>
          <w:szCs w:val="22"/>
        </w:rPr>
        <w:t xml:space="preserve"> </w:t>
      </w:r>
      <w:r w:rsidR="0056594E">
        <w:rPr>
          <w:rFonts w:cs="Times New Roman"/>
          <w:szCs w:val="22"/>
        </w:rPr>
        <w:t>(2002) spike protein receptor binding domain</w:t>
      </w:r>
      <w:r w:rsidR="0056594E" w:rsidRPr="00985C1D">
        <w:rPr>
          <w:rFonts w:cs="Times New Roman"/>
          <w:szCs w:val="22"/>
        </w:rPr>
        <w:t xml:space="preserve"> </w:t>
      </w:r>
      <w:r w:rsidR="0056594E">
        <w:rPr>
          <w:rFonts w:cs="Times New Roman"/>
          <w:szCs w:val="22"/>
        </w:rPr>
        <w:t>bound</w:t>
      </w:r>
      <w:r w:rsidR="0056594E" w:rsidRPr="00985C1D">
        <w:rPr>
          <w:rFonts w:cs="Times New Roman"/>
          <w:szCs w:val="22"/>
        </w:rPr>
        <w:t xml:space="preserve"> </w:t>
      </w:r>
      <w:r w:rsidR="0056594E">
        <w:rPr>
          <w:rFonts w:cs="Times New Roman"/>
          <w:szCs w:val="22"/>
        </w:rPr>
        <w:t>the mouse</w:t>
      </w:r>
      <w:r w:rsidR="0056594E" w:rsidRPr="00985C1D">
        <w:rPr>
          <w:rFonts w:cs="Times New Roman"/>
          <w:szCs w:val="22"/>
        </w:rPr>
        <w:t xml:space="preserve"> ACE2</w:t>
      </w:r>
      <w:r w:rsidR="0056594E">
        <w:rPr>
          <w:rFonts w:cs="Times New Roman"/>
          <w:szCs w:val="22"/>
        </w:rPr>
        <w:t xml:space="preserve"> </w:t>
      </w:r>
      <w:r w:rsidR="0056594E" w:rsidRPr="00605B7F">
        <w:rPr>
          <w:rFonts w:cs="Times New Roman"/>
          <w:szCs w:val="22"/>
        </w:rPr>
        <w:t>r</w:t>
      </w:r>
      <w:r w:rsidR="0056594E" w:rsidRPr="00605B7F">
        <w:rPr>
          <w:rFonts w:eastAsiaTheme="majorEastAsia" w:cstheme="majorBidi"/>
          <w:sz w:val="24"/>
        </w:rPr>
        <w:t>eceptor</w:t>
      </w:r>
      <w:r w:rsidR="0056594E">
        <w:rPr>
          <w:rFonts w:eastAsiaTheme="majorEastAsia" w:cstheme="majorBidi"/>
          <w:b/>
          <w:sz w:val="24"/>
        </w:rPr>
        <w:t xml:space="preserve"> </w:t>
      </w:r>
      <w:r w:rsidR="0056594E">
        <w:rPr>
          <w:rFonts w:cs="Times New Roman"/>
          <w:szCs w:val="22"/>
        </w:rPr>
        <w:t>with lower affinity than human ACE2</w:t>
      </w:r>
      <w:r w:rsidR="0056594E" w:rsidRPr="00985C1D">
        <w:rPr>
          <w:rFonts w:cs="Times New Roman"/>
          <w:szCs w:val="22"/>
        </w:rPr>
        <w:t xml:space="preserve"> and </w:t>
      </w:r>
      <w:r w:rsidR="0056594E">
        <w:rPr>
          <w:rFonts w:cs="Times New Roman"/>
          <w:szCs w:val="22"/>
        </w:rPr>
        <w:t xml:space="preserve">that binding with </w:t>
      </w:r>
      <w:r w:rsidR="0056594E" w:rsidRPr="00985C1D">
        <w:rPr>
          <w:rFonts w:cs="Times New Roman"/>
          <w:szCs w:val="22"/>
        </w:rPr>
        <w:t xml:space="preserve">rat ACE2 </w:t>
      </w:r>
      <w:r w:rsidR="0056594E">
        <w:rPr>
          <w:rFonts w:cs="Times New Roman"/>
          <w:szCs w:val="22"/>
        </w:rPr>
        <w:t>was</w:t>
      </w:r>
      <w:r w:rsidR="0056594E" w:rsidRPr="00985C1D">
        <w:rPr>
          <w:rFonts w:cs="Times New Roman"/>
          <w:szCs w:val="22"/>
        </w:rPr>
        <w:t xml:space="preserve"> even </w:t>
      </w:r>
      <w:r w:rsidR="0056594E">
        <w:rPr>
          <w:rFonts w:cs="Times New Roman"/>
          <w:szCs w:val="22"/>
        </w:rPr>
        <w:t xml:space="preserve">lower affinity (i.e., </w:t>
      </w:r>
      <w:r w:rsidR="0056594E" w:rsidRPr="00693741">
        <w:rPr>
          <w:rFonts w:cs="Times New Roman"/>
          <w:i/>
          <w:szCs w:val="22"/>
        </w:rPr>
        <w:t>at near background levels</w:t>
      </w:r>
      <w:r w:rsidR="0056594E">
        <w:rPr>
          <w:rFonts w:cs="Times New Roman"/>
          <w:szCs w:val="22"/>
        </w:rPr>
        <w:t>).</w:t>
      </w:r>
      <w:r w:rsidR="0056594E" w:rsidRPr="00985C1D">
        <w:rPr>
          <w:szCs w:val="22"/>
          <w:vertAlign w:val="superscript"/>
        </w:rPr>
        <w:endnoteReference w:id="319"/>
      </w:r>
      <w:r w:rsidR="0056594E" w:rsidRPr="00985C1D">
        <w:rPr>
          <w:rFonts w:cs="Times New Roman"/>
          <w:szCs w:val="22"/>
          <w:vertAlign w:val="superscript"/>
        </w:rPr>
        <w:t>,</w:t>
      </w:r>
      <w:r w:rsidR="0056594E" w:rsidRPr="00985C1D">
        <w:rPr>
          <w:szCs w:val="22"/>
          <w:vertAlign w:val="superscript"/>
        </w:rPr>
        <w:endnoteReference w:id="320"/>
      </w:r>
      <w:r w:rsidR="0056594E">
        <w:rPr>
          <w:rFonts w:cs="Times New Roman"/>
          <w:szCs w:val="22"/>
          <w:vertAlign w:val="superscript"/>
        </w:rPr>
        <w:t xml:space="preserve">  </w:t>
      </w:r>
      <w:r w:rsidR="00066B2E">
        <w:rPr>
          <w:rFonts w:cs="Times New Roman"/>
          <w:szCs w:val="22"/>
        </w:rPr>
        <w:t>A</w:t>
      </w:r>
      <w:r w:rsidR="00066B2E" w:rsidRPr="00985C1D">
        <w:rPr>
          <w:rFonts w:cs="Times New Roman"/>
          <w:szCs w:val="22"/>
        </w:rPr>
        <w:t xml:space="preserve"> </w:t>
      </w:r>
      <w:r w:rsidR="00066B2E">
        <w:rPr>
          <w:rFonts w:cs="Times New Roman"/>
          <w:szCs w:val="22"/>
        </w:rPr>
        <w:t xml:space="preserve">more </w:t>
      </w:r>
      <w:r w:rsidR="00066B2E" w:rsidRPr="00985C1D">
        <w:rPr>
          <w:rFonts w:cs="Times New Roman"/>
          <w:szCs w:val="22"/>
        </w:rPr>
        <w:t xml:space="preserve">relevant species </w:t>
      </w:r>
      <w:r w:rsidR="00066B2E">
        <w:rPr>
          <w:rFonts w:cs="Times New Roman"/>
          <w:szCs w:val="22"/>
        </w:rPr>
        <w:t xml:space="preserve">for toxicology assessment </w:t>
      </w:r>
      <w:r w:rsidR="00066B2E" w:rsidRPr="00985C1D">
        <w:rPr>
          <w:rFonts w:cs="Times New Roman"/>
          <w:szCs w:val="22"/>
        </w:rPr>
        <w:t xml:space="preserve">would have been </w:t>
      </w:r>
      <w:r w:rsidR="00066B2E">
        <w:rPr>
          <w:rFonts w:cs="Times New Roman"/>
          <w:szCs w:val="22"/>
        </w:rPr>
        <w:t>human-</w:t>
      </w:r>
      <w:r w:rsidR="00066B2E" w:rsidRPr="00985C1D">
        <w:rPr>
          <w:rFonts w:cs="Times New Roman"/>
          <w:szCs w:val="22"/>
        </w:rPr>
        <w:t xml:space="preserve">ACE2 </w:t>
      </w:r>
      <w:r w:rsidR="00066B2E">
        <w:rPr>
          <w:rFonts w:cs="Times New Roman"/>
          <w:szCs w:val="22"/>
        </w:rPr>
        <w:t>transgenic mice,</w:t>
      </w:r>
      <w:r w:rsidR="00066B2E" w:rsidRPr="00985C1D">
        <w:rPr>
          <w:rStyle w:val="EndnoteReference"/>
          <w:rFonts w:cs="Times New Roman"/>
          <w:szCs w:val="22"/>
        </w:rPr>
        <w:endnoteReference w:id="321"/>
      </w:r>
      <w:r w:rsidR="00066B2E" w:rsidRPr="00985C1D">
        <w:rPr>
          <w:rFonts w:cs="Times New Roman"/>
          <w:szCs w:val="22"/>
          <w:vertAlign w:val="superscript"/>
        </w:rPr>
        <w:t>,</w:t>
      </w:r>
      <w:r w:rsidR="00066B2E">
        <w:rPr>
          <w:rStyle w:val="EndnoteReference"/>
          <w:rFonts w:cs="Times New Roman"/>
          <w:szCs w:val="22"/>
        </w:rPr>
        <w:endnoteReference w:id="322"/>
      </w:r>
      <w:r w:rsidR="00066B2E" w:rsidRPr="00985C1D">
        <w:rPr>
          <w:rFonts w:cs="Times New Roman"/>
          <w:szCs w:val="22"/>
          <w:vertAlign w:val="superscript"/>
        </w:rPr>
        <w:t xml:space="preserve"> </w:t>
      </w:r>
      <w:r w:rsidR="003E2721">
        <w:rPr>
          <w:rFonts w:cs="Times New Roman"/>
          <w:szCs w:val="22"/>
        </w:rPr>
        <w:t>and</w:t>
      </w:r>
      <w:r w:rsidR="00066B2E" w:rsidRPr="00985C1D">
        <w:rPr>
          <w:rFonts w:cs="Times New Roman"/>
          <w:szCs w:val="22"/>
        </w:rPr>
        <w:t xml:space="preserve"> </w:t>
      </w:r>
      <w:r w:rsidR="00066B2E">
        <w:rPr>
          <w:rFonts w:cs="Times New Roman"/>
          <w:szCs w:val="22"/>
        </w:rPr>
        <w:t>non-human primates due to their higher human-</w:t>
      </w:r>
      <w:r w:rsidR="00066B2E" w:rsidRPr="00985C1D">
        <w:rPr>
          <w:rFonts w:cs="Times New Roman"/>
          <w:szCs w:val="22"/>
        </w:rPr>
        <w:t xml:space="preserve">ACE2 homology and greater binding affinity </w:t>
      </w:r>
      <w:r w:rsidR="00066B2E">
        <w:rPr>
          <w:rFonts w:cs="Times New Roman"/>
          <w:szCs w:val="22"/>
        </w:rPr>
        <w:t>with</w:t>
      </w:r>
      <w:r w:rsidR="00066B2E" w:rsidRPr="00985C1D">
        <w:rPr>
          <w:rFonts w:cs="Times New Roman"/>
          <w:szCs w:val="22"/>
        </w:rPr>
        <w:t xml:space="preserve"> SARS-CoV-2.</w:t>
      </w:r>
      <w:r w:rsidR="00066B2E" w:rsidRPr="00502DDB">
        <w:rPr>
          <w:szCs w:val="22"/>
          <w:vertAlign w:val="superscript"/>
        </w:rPr>
        <w:endnoteReference w:id="323"/>
      </w:r>
      <w:r w:rsidR="00066B2E" w:rsidRPr="00502DDB">
        <w:rPr>
          <w:rFonts w:cs="Times New Roman"/>
          <w:szCs w:val="22"/>
          <w:vertAlign w:val="superscript"/>
        </w:rPr>
        <w:t>,</w:t>
      </w:r>
      <w:r w:rsidR="00066B2E" w:rsidRPr="00502DDB">
        <w:rPr>
          <w:rStyle w:val="EndnoteReference"/>
          <w:rFonts w:cs="Times New Roman"/>
          <w:szCs w:val="22"/>
        </w:rPr>
        <w:endnoteReference w:id="324"/>
      </w:r>
    </w:p>
    <w:p w14:paraId="664789BF" w14:textId="509E7626" w:rsidR="0056594E" w:rsidRPr="0056594E" w:rsidRDefault="0056594E" w:rsidP="00103841">
      <w:pPr>
        <w:rPr>
          <w:rFonts w:cs="Times New Roman"/>
          <w:szCs w:val="22"/>
        </w:rPr>
      </w:pPr>
      <w:r>
        <w:rPr>
          <w:rFonts w:cs="Times New Roman"/>
          <w:szCs w:val="22"/>
        </w:rPr>
        <w:t xml:space="preserve">Crucially, </w:t>
      </w:r>
      <w:r w:rsidRPr="00951AEE">
        <w:rPr>
          <w:rFonts w:cs="Times New Roman"/>
          <w:szCs w:val="22"/>
        </w:rPr>
        <w:t xml:space="preserve">the </w:t>
      </w:r>
      <w:r w:rsidRPr="004B511A">
        <w:rPr>
          <w:rFonts w:cs="Times New Roman"/>
          <w:b/>
          <w:bCs w:val="0"/>
          <w:szCs w:val="22"/>
        </w:rPr>
        <w:t xml:space="preserve">intravenous (IV) </w:t>
      </w:r>
      <w:r w:rsidR="0061416F" w:rsidRPr="004B511A">
        <w:rPr>
          <w:rFonts w:cs="Times New Roman"/>
          <w:b/>
          <w:bCs w:val="0"/>
          <w:szCs w:val="22"/>
        </w:rPr>
        <w:t>route</w:t>
      </w:r>
      <w:r w:rsidR="0061416F" w:rsidRPr="00951AEE">
        <w:rPr>
          <w:rFonts w:cs="Times New Roman"/>
          <w:szCs w:val="22"/>
        </w:rPr>
        <w:t xml:space="preserve"> </w:t>
      </w:r>
      <w:r w:rsidRPr="00951AEE">
        <w:rPr>
          <w:rFonts w:cs="Times New Roman"/>
          <w:szCs w:val="22"/>
        </w:rPr>
        <w:t>of</w:t>
      </w:r>
      <w:r w:rsidRPr="008D187B">
        <w:rPr>
          <w:rFonts w:cs="Times New Roman"/>
          <w:szCs w:val="22"/>
        </w:rPr>
        <w:t xml:space="preserve"> administration </w:t>
      </w:r>
      <w:r>
        <w:rPr>
          <w:rFonts w:cs="Times New Roman"/>
          <w:szCs w:val="22"/>
        </w:rPr>
        <w:t xml:space="preserve">for Comirnaty </w:t>
      </w:r>
      <w:r w:rsidRPr="008D187B">
        <w:rPr>
          <w:rFonts w:cs="Times New Roman"/>
          <w:szCs w:val="22"/>
        </w:rPr>
        <w:t xml:space="preserve">was </w:t>
      </w:r>
      <w:r>
        <w:rPr>
          <w:rFonts w:cs="Times New Roman"/>
          <w:szCs w:val="22"/>
        </w:rPr>
        <w:t xml:space="preserve">not detailed in the </w:t>
      </w:r>
      <w:r w:rsidR="004351F7">
        <w:rPr>
          <w:rFonts w:cs="Times New Roman"/>
          <w:szCs w:val="22"/>
        </w:rPr>
        <w:t xml:space="preserve">regulatory </w:t>
      </w:r>
      <w:r>
        <w:rPr>
          <w:rFonts w:cs="Times New Roman"/>
          <w:szCs w:val="22"/>
        </w:rPr>
        <w:t>review documents. Instead, Comirnaty’s LNP</w:t>
      </w:r>
      <w:r w:rsidRPr="0061416F">
        <w:rPr>
          <w:rFonts w:cs="Times New Roman"/>
          <w:szCs w:val="22"/>
        </w:rPr>
        <w:t>-spike protein mRNA was</w:t>
      </w:r>
      <w:r w:rsidRPr="00951AEE">
        <w:rPr>
          <w:rFonts w:cs="Times New Roman"/>
          <w:b/>
          <w:bCs w:val="0"/>
          <w:szCs w:val="22"/>
        </w:rPr>
        <w:t xml:space="preserve"> substituted</w:t>
      </w:r>
      <w:r>
        <w:rPr>
          <w:rFonts w:cs="Times New Roman"/>
          <w:szCs w:val="22"/>
        </w:rPr>
        <w:t xml:space="preserve"> with a single</w:t>
      </w:r>
      <w:r w:rsidRPr="00FF106A">
        <w:rPr>
          <w:rFonts w:cs="Times New Roman"/>
          <w:szCs w:val="22"/>
        </w:rPr>
        <w:t xml:space="preserve"> intravenous dose</w:t>
      </w:r>
      <w:r>
        <w:rPr>
          <w:rFonts w:cs="Times New Roman"/>
          <w:szCs w:val="22"/>
        </w:rPr>
        <w:t xml:space="preserve"> (IV) study in rats using an LNP-luciferase-</w:t>
      </w:r>
      <w:r w:rsidRPr="00FF106A">
        <w:rPr>
          <w:rFonts w:cs="Times New Roman"/>
          <w:szCs w:val="22"/>
        </w:rPr>
        <w:t>mRNA</w:t>
      </w:r>
      <w:r w:rsidR="00DD4755">
        <w:rPr>
          <w:rFonts w:cs="Times New Roman"/>
          <w:szCs w:val="22"/>
        </w:rPr>
        <w:t xml:space="preserve"> (i.e., </w:t>
      </w:r>
      <w:r w:rsidR="00DD4755" w:rsidRPr="00DD4755">
        <w:rPr>
          <w:rFonts w:cs="Times New Roman"/>
          <w:i/>
          <w:iCs/>
          <w:szCs w:val="22"/>
        </w:rPr>
        <w:t>avoiding ACE2 interactions mediated by furin</w:t>
      </w:r>
      <w:r w:rsidR="00DD4755">
        <w:rPr>
          <w:rFonts w:cs="Times New Roman"/>
          <w:szCs w:val="22"/>
        </w:rPr>
        <w:t>)</w:t>
      </w:r>
      <w:r>
        <w:rPr>
          <w:rFonts w:cs="Times New Roman"/>
          <w:szCs w:val="22"/>
        </w:rPr>
        <w:t>. The IV route</w:t>
      </w:r>
      <w:r w:rsidRPr="008D187B">
        <w:rPr>
          <w:rFonts w:cs="Times New Roman"/>
          <w:szCs w:val="22"/>
        </w:rPr>
        <w:t xml:space="preserve"> </w:t>
      </w:r>
      <w:r>
        <w:rPr>
          <w:rFonts w:cs="Times New Roman"/>
          <w:szCs w:val="22"/>
        </w:rPr>
        <w:t xml:space="preserve">of administration of the spike protein encoded mRNA </w:t>
      </w:r>
      <w:r w:rsidR="001514CF">
        <w:rPr>
          <w:rFonts w:cs="Times New Roman"/>
          <w:szCs w:val="22"/>
        </w:rPr>
        <w:t>to</w:t>
      </w:r>
      <w:r w:rsidR="0061416F">
        <w:rPr>
          <w:rFonts w:cs="Times New Roman"/>
          <w:szCs w:val="22"/>
        </w:rPr>
        <w:t xml:space="preserve"> mice </w:t>
      </w:r>
      <w:r w:rsidRPr="008D187B">
        <w:rPr>
          <w:rFonts w:cs="Times New Roman"/>
          <w:szCs w:val="22"/>
        </w:rPr>
        <w:t>could have been used to mimic accidental IV administration in humans</w:t>
      </w:r>
      <w:r>
        <w:rPr>
          <w:rFonts w:cs="Times New Roman"/>
          <w:szCs w:val="22"/>
        </w:rPr>
        <w:t xml:space="preserve">, which </w:t>
      </w:r>
      <w:r w:rsidR="0061416F">
        <w:rPr>
          <w:rFonts w:cs="Times New Roman"/>
          <w:szCs w:val="22"/>
        </w:rPr>
        <w:t>might</w:t>
      </w:r>
      <w:r>
        <w:rPr>
          <w:rFonts w:cs="Times New Roman"/>
          <w:szCs w:val="22"/>
        </w:rPr>
        <w:t xml:space="preserve"> have </w:t>
      </w:r>
      <w:r w:rsidRPr="008D187B">
        <w:rPr>
          <w:rFonts w:cs="Times New Roman"/>
          <w:szCs w:val="22"/>
        </w:rPr>
        <w:t>identif</w:t>
      </w:r>
      <w:r>
        <w:rPr>
          <w:rFonts w:cs="Times New Roman"/>
          <w:szCs w:val="22"/>
        </w:rPr>
        <w:t>ied</w:t>
      </w:r>
      <w:r w:rsidRPr="008D187B">
        <w:rPr>
          <w:rFonts w:cs="Times New Roman"/>
          <w:szCs w:val="22"/>
        </w:rPr>
        <w:t xml:space="preserve"> </w:t>
      </w:r>
      <w:r w:rsidR="0061416F" w:rsidRPr="0061416F">
        <w:rPr>
          <w:rFonts w:cs="Times New Roman"/>
          <w:b/>
          <w:bCs w:val="0"/>
          <w:szCs w:val="22"/>
        </w:rPr>
        <w:t>acute</w:t>
      </w:r>
      <w:r w:rsidR="0061416F">
        <w:rPr>
          <w:rFonts w:cs="Times New Roman"/>
          <w:szCs w:val="22"/>
        </w:rPr>
        <w:t xml:space="preserve"> </w:t>
      </w:r>
      <w:r w:rsidRPr="005A1134">
        <w:rPr>
          <w:rFonts w:cs="Times New Roman"/>
          <w:b/>
          <w:bCs w:val="0"/>
          <w:szCs w:val="22"/>
        </w:rPr>
        <w:t>myopericarditis</w:t>
      </w:r>
      <w:r w:rsidRPr="008D187B">
        <w:rPr>
          <w:rFonts w:cs="Times New Roman"/>
          <w:szCs w:val="22"/>
        </w:rPr>
        <w:t xml:space="preserve"> as</w:t>
      </w:r>
      <w:r>
        <w:rPr>
          <w:rFonts w:cs="Times New Roman"/>
          <w:szCs w:val="22"/>
        </w:rPr>
        <w:t xml:space="preserve"> a potential Comirnaty risk</w:t>
      </w:r>
      <w:r w:rsidR="004B511A">
        <w:rPr>
          <w:rFonts w:cs="Times New Roman"/>
          <w:szCs w:val="22"/>
        </w:rPr>
        <w:t xml:space="preserve"> and directed the use of cardiac, endothelial, and blood clotting biomarkers </w:t>
      </w:r>
      <w:r w:rsidR="000742AA">
        <w:rPr>
          <w:rFonts w:cs="Times New Roman"/>
          <w:szCs w:val="22"/>
        </w:rPr>
        <w:t>for the</w:t>
      </w:r>
      <w:r w:rsidR="004B511A">
        <w:rPr>
          <w:rFonts w:cs="Times New Roman"/>
          <w:szCs w:val="22"/>
        </w:rPr>
        <w:t xml:space="preserve"> clinical studies</w:t>
      </w:r>
      <w:r>
        <w:rPr>
          <w:rFonts w:cs="Times New Roman"/>
          <w:szCs w:val="22"/>
        </w:rPr>
        <w:t>.</w:t>
      </w:r>
      <w:r w:rsidRPr="00EA11BC">
        <w:rPr>
          <w:rStyle w:val="EndnoteReference"/>
          <w:rFonts w:cs="Times New Roman"/>
          <w:szCs w:val="22"/>
        </w:rPr>
        <w:endnoteReference w:id="325"/>
      </w:r>
    </w:p>
    <w:p w14:paraId="2DEB26AF" w14:textId="51DB0B6B" w:rsidR="00312C58" w:rsidRPr="005D7800" w:rsidRDefault="00312C58" w:rsidP="004C5C79">
      <w:pPr>
        <w:pStyle w:val="Heading3"/>
      </w:pPr>
      <w:bookmarkStart w:id="125" w:name="_Toc111368004"/>
      <w:bookmarkStart w:id="126" w:name="_Toc121035137"/>
      <w:r>
        <w:t xml:space="preserve">Pre-Clinical Toxicology Revealed </w:t>
      </w:r>
      <w:r w:rsidR="00660BB8">
        <w:t>a</w:t>
      </w:r>
      <w:r>
        <w:t xml:space="preserve"> Debilitating </w:t>
      </w:r>
      <w:r w:rsidRPr="005D7800">
        <w:t>Proinflammatory Response</w:t>
      </w:r>
      <w:bookmarkEnd w:id="125"/>
      <w:r w:rsidR="001525E0">
        <w:t>,</w:t>
      </w:r>
      <w:r w:rsidR="0056594E">
        <w:t xml:space="preserve"> </w:t>
      </w:r>
      <w:r w:rsidR="0061416F">
        <w:t>BUT</w:t>
      </w:r>
      <w:r w:rsidR="0056594E">
        <w:t xml:space="preserve"> the </w:t>
      </w:r>
      <w:r w:rsidR="0061416F">
        <w:t xml:space="preserve">Lipid Nanoparticle Formulation Without mRNA </w:t>
      </w:r>
      <w:r w:rsidR="001525E0">
        <w:t>went</w:t>
      </w:r>
      <w:r w:rsidR="0061416F">
        <w:t xml:space="preserve"> Unassessed</w:t>
      </w:r>
      <w:bookmarkEnd w:id="126"/>
    </w:p>
    <w:p w14:paraId="5FA382B8" w14:textId="757A8C0C" w:rsidR="0061416F" w:rsidRDefault="0056594E" w:rsidP="0061416F">
      <w:pPr>
        <w:rPr>
          <w:rFonts w:cs="Times New Roman"/>
          <w:szCs w:val="22"/>
        </w:rPr>
      </w:pPr>
      <w:r w:rsidRPr="002722B5">
        <w:rPr>
          <w:rFonts w:cs="Times New Roman"/>
          <w:szCs w:val="22"/>
        </w:rPr>
        <w:t xml:space="preserve">From a safety perspective, modified mRNA delivered in </w:t>
      </w:r>
      <w:r w:rsidR="0061416F">
        <w:rPr>
          <w:rFonts w:cs="Times New Roman"/>
          <w:szCs w:val="22"/>
        </w:rPr>
        <w:t>lipid nanoparticles (</w:t>
      </w:r>
      <w:r w:rsidRPr="002722B5">
        <w:rPr>
          <w:rFonts w:cs="Times New Roman"/>
          <w:szCs w:val="22"/>
        </w:rPr>
        <w:t>LNP</w:t>
      </w:r>
      <w:r w:rsidR="0061416F">
        <w:rPr>
          <w:rFonts w:cs="Times New Roman"/>
          <w:szCs w:val="22"/>
        </w:rPr>
        <w:t>)</w:t>
      </w:r>
      <w:r w:rsidRPr="002722B5">
        <w:rPr>
          <w:rFonts w:cs="Times New Roman"/>
          <w:szCs w:val="22"/>
        </w:rPr>
        <w:t xml:space="preserve"> is a complex molecule that requires the </w:t>
      </w:r>
      <w:r w:rsidR="004B511A" w:rsidRPr="002722B5">
        <w:rPr>
          <w:rFonts w:cs="Times New Roman"/>
          <w:szCs w:val="22"/>
        </w:rPr>
        <w:t xml:space="preserve">safety </w:t>
      </w:r>
      <w:r w:rsidRPr="002722B5">
        <w:rPr>
          <w:rFonts w:cs="Times New Roman"/>
          <w:szCs w:val="22"/>
        </w:rPr>
        <w:t xml:space="preserve">assessment of </w:t>
      </w:r>
      <w:r w:rsidR="00DD4755">
        <w:rPr>
          <w:rFonts w:cs="Times New Roman"/>
          <w:szCs w:val="22"/>
        </w:rPr>
        <w:t>Comirnaty</w:t>
      </w:r>
      <w:r w:rsidRPr="002722B5">
        <w:rPr>
          <w:rFonts w:cs="Times New Roman"/>
          <w:szCs w:val="22"/>
        </w:rPr>
        <w:t xml:space="preserve">, </w:t>
      </w:r>
      <w:r w:rsidR="001514CF" w:rsidRPr="002722B5">
        <w:rPr>
          <w:rFonts w:cs="Times New Roman"/>
          <w:szCs w:val="22"/>
        </w:rPr>
        <w:t>LNP</w:t>
      </w:r>
      <w:r w:rsidR="001514CF">
        <w:rPr>
          <w:rFonts w:cs="Times New Roman"/>
          <w:szCs w:val="22"/>
        </w:rPr>
        <w:t xml:space="preserve"> </w:t>
      </w:r>
      <w:r w:rsidR="001514CF" w:rsidRPr="002722B5">
        <w:rPr>
          <w:rFonts w:cs="Times New Roman"/>
          <w:szCs w:val="22"/>
        </w:rPr>
        <w:t>delivery system</w:t>
      </w:r>
      <w:r w:rsidR="001514CF">
        <w:rPr>
          <w:rFonts w:cs="Times New Roman"/>
          <w:szCs w:val="22"/>
        </w:rPr>
        <w:t>,</w:t>
      </w:r>
      <w:r w:rsidR="001514CF" w:rsidRPr="002722B5">
        <w:rPr>
          <w:rFonts w:cs="Times New Roman"/>
          <w:szCs w:val="22"/>
        </w:rPr>
        <w:t xml:space="preserve"> </w:t>
      </w:r>
      <w:r w:rsidR="001514CF">
        <w:rPr>
          <w:rFonts w:cs="Times New Roman"/>
          <w:szCs w:val="22"/>
        </w:rPr>
        <w:t>LNP components</w:t>
      </w:r>
      <w:r>
        <w:rPr>
          <w:rFonts w:cs="Times New Roman"/>
          <w:szCs w:val="22"/>
        </w:rPr>
        <w:t xml:space="preserve">, </w:t>
      </w:r>
      <w:r w:rsidR="004C3916">
        <w:rPr>
          <w:rFonts w:cs="Times New Roman"/>
          <w:szCs w:val="22"/>
        </w:rPr>
        <w:t xml:space="preserve">and </w:t>
      </w:r>
      <w:r w:rsidR="004C3916">
        <w:rPr>
          <w:rFonts w:cs="Times New Roman"/>
          <w:szCs w:val="22"/>
        </w:rPr>
        <w:lastRenderedPageBreak/>
        <w:t>manufactured</w:t>
      </w:r>
      <w:r w:rsidR="004C3916" w:rsidRPr="002722B5">
        <w:rPr>
          <w:rFonts w:cs="Times New Roman"/>
          <w:szCs w:val="22"/>
        </w:rPr>
        <w:t xml:space="preserve"> </w:t>
      </w:r>
      <w:r w:rsidR="004C3916">
        <w:rPr>
          <w:rFonts w:cs="Times New Roman"/>
          <w:szCs w:val="22"/>
        </w:rPr>
        <w:t xml:space="preserve">spike </w:t>
      </w:r>
      <w:r w:rsidR="004C3916" w:rsidRPr="002722B5">
        <w:rPr>
          <w:rFonts w:cs="Times New Roman"/>
          <w:szCs w:val="22"/>
        </w:rPr>
        <w:t>protein</w:t>
      </w:r>
      <w:r w:rsidR="004C3916">
        <w:rPr>
          <w:rFonts w:cs="Times New Roman"/>
          <w:szCs w:val="22"/>
        </w:rPr>
        <w:t xml:space="preserve">s </w:t>
      </w:r>
      <w:r>
        <w:rPr>
          <w:rFonts w:cs="Times New Roman"/>
          <w:szCs w:val="22"/>
        </w:rPr>
        <w:t xml:space="preserve">to fully understand the pharmacokinetics (i.e., </w:t>
      </w:r>
      <w:r w:rsidRPr="00066B2E">
        <w:rPr>
          <w:rFonts w:cs="Times New Roman"/>
          <w:i/>
          <w:iCs/>
          <w:szCs w:val="22"/>
        </w:rPr>
        <w:t>absorption, distribution, metabolism, excretion</w:t>
      </w:r>
      <w:r>
        <w:rPr>
          <w:rFonts w:cs="Times New Roman"/>
          <w:szCs w:val="22"/>
        </w:rPr>
        <w:t xml:space="preserve">), pharmacodynamics (i.e., </w:t>
      </w:r>
      <w:r w:rsidRPr="00066B2E">
        <w:rPr>
          <w:rFonts w:cs="Times New Roman"/>
          <w:i/>
          <w:iCs/>
          <w:szCs w:val="22"/>
        </w:rPr>
        <w:t>biochemical and physiologic effects</w:t>
      </w:r>
      <w:r>
        <w:rPr>
          <w:rFonts w:cs="Times New Roman"/>
          <w:szCs w:val="22"/>
        </w:rPr>
        <w:t>), and the safety and toxicology.</w:t>
      </w:r>
      <w:r w:rsidRPr="00DE263B">
        <w:rPr>
          <w:rStyle w:val="EndnoteReference"/>
          <w:rFonts w:cs="Times New Roman"/>
          <w:color w:val="0000FF"/>
          <w:szCs w:val="22"/>
        </w:rPr>
        <w:endnoteReference w:id="326"/>
      </w:r>
      <w:r w:rsidRPr="002722B5">
        <w:rPr>
          <w:rFonts w:cs="Times New Roman"/>
          <w:szCs w:val="22"/>
        </w:rPr>
        <w:t xml:space="preserve"> </w:t>
      </w:r>
      <w:r>
        <w:rPr>
          <w:rFonts w:cs="Times New Roman"/>
          <w:szCs w:val="22"/>
        </w:rPr>
        <w:t>The regulatory reviews for Comirnaty’s p</w:t>
      </w:r>
      <w:r w:rsidRPr="00D24EA8">
        <w:rPr>
          <w:rFonts w:cs="Times New Roman"/>
          <w:szCs w:val="22"/>
        </w:rPr>
        <w:t>harmacokinetic</w:t>
      </w:r>
      <w:r>
        <w:rPr>
          <w:rFonts w:cs="Times New Roman"/>
          <w:szCs w:val="22"/>
        </w:rPr>
        <w:t>s</w:t>
      </w:r>
      <w:r w:rsidRPr="00D24EA8">
        <w:rPr>
          <w:rFonts w:cs="Times New Roman"/>
          <w:szCs w:val="22"/>
        </w:rPr>
        <w:t xml:space="preserve"> </w:t>
      </w:r>
      <w:r w:rsidRPr="00066B2E">
        <w:rPr>
          <w:rFonts w:cs="Times New Roman"/>
          <w:b/>
          <w:bCs w:val="0"/>
          <w:szCs w:val="22"/>
        </w:rPr>
        <w:t>did not fully detail</w:t>
      </w:r>
      <w:r>
        <w:rPr>
          <w:rFonts w:cs="Times New Roman"/>
          <w:szCs w:val="22"/>
        </w:rPr>
        <w:t xml:space="preserve"> Comirnaty or its LNP formulation </w:t>
      </w:r>
      <w:r w:rsidR="00796A0D">
        <w:rPr>
          <w:rFonts w:cs="Times New Roman"/>
          <w:szCs w:val="22"/>
        </w:rPr>
        <w:t xml:space="preserve">or LNP </w:t>
      </w:r>
      <w:r>
        <w:rPr>
          <w:rFonts w:cs="Times New Roman"/>
          <w:szCs w:val="22"/>
        </w:rPr>
        <w:t xml:space="preserve">components (i.e., </w:t>
      </w:r>
      <w:r w:rsidRPr="0068348B">
        <w:rPr>
          <w:rFonts w:cs="Times New Roman"/>
          <w:szCs w:val="22"/>
        </w:rPr>
        <w:t>ALC-0159 and ALC-0315</w:t>
      </w:r>
      <w:r>
        <w:rPr>
          <w:rFonts w:cs="Times New Roman"/>
          <w:szCs w:val="22"/>
        </w:rPr>
        <w:t xml:space="preserve">). Thus, regulators could not determine what happened to the spike protein mRNA, LNP chemicals, or the manufactured spike protein after vaccination. </w:t>
      </w:r>
      <w:r w:rsidR="0061416F" w:rsidRPr="00574F73">
        <w:rPr>
          <w:rFonts w:cs="Times New Roman"/>
          <w:szCs w:val="22"/>
        </w:rPr>
        <w:t xml:space="preserve">There was </w:t>
      </w:r>
      <w:r w:rsidR="0061416F">
        <w:rPr>
          <w:rFonts w:cs="Times New Roman"/>
          <w:szCs w:val="22"/>
        </w:rPr>
        <w:t xml:space="preserve">also </w:t>
      </w:r>
      <w:r w:rsidR="0061416F" w:rsidRPr="00574F73">
        <w:rPr>
          <w:rFonts w:cs="Times New Roman"/>
          <w:szCs w:val="22"/>
        </w:rPr>
        <w:t>no repeat dose toxicity assessment</w:t>
      </w:r>
      <w:r w:rsidR="0061416F">
        <w:rPr>
          <w:rFonts w:cs="Times New Roman"/>
          <w:szCs w:val="22"/>
        </w:rPr>
        <w:t xml:space="preserve"> provided in the regulatory review documents for Comirnaty’s </w:t>
      </w:r>
      <w:r w:rsidR="0061416F" w:rsidRPr="00F7651D">
        <w:rPr>
          <w:rFonts w:cs="Times New Roman"/>
          <w:szCs w:val="22"/>
        </w:rPr>
        <w:t xml:space="preserve">LNP formulation or </w:t>
      </w:r>
      <w:r w:rsidR="0061416F">
        <w:rPr>
          <w:rFonts w:cs="Times New Roman"/>
          <w:szCs w:val="22"/>
        </w:rPr>
        <w:t xml:space="preserve">its </w:t>
      </w:r>
      <w:r w:rsidR="0061416F" w:rsidRPr="00F7651D">
        <w:rPr>
          <w:rFonts w:cs="Times New Roman"/>
          <w:szCs w:val="22"/>
        </w:rPr>
        <w:t xml:space="preserve">novel </w:t>
      </w:r>
      <w:r w:rsidR="00DD4755">
        <w:rPr>
          <w:rFonts w:cs="Times New Roman"/>
          <w:szCs w:val="22"/>
        </w:rPr>
        <w:t>ingredients</w:t>
      </w:r>
      <w:r w:rsidR="0061416F">
        <w:rPr>
          <w:rFonts w:cs="Times New Roman"/>
          <w:szCs w:val="22"/>
        </w:rPr>
        <w:t xml:space="preserve">, making it </w:t>
      </w:r>
      <w:r w:rsidR="0061416F" w:rsidRPr="0039256D">
        <w:rPr>
          <w:rFonts w:cs="Times New Roman"/>
          <w:szCs w:val="22"/>
        </w:rPr>
        <w:t>impossible to discern</w:t>
      </w:r>
      <w:r w:rsidR="0061416F">
        <w:rPr>
          <w:rFonts w:cs="Times New Roman"/>
          <w:szCs w:val="22"/>
        </w:rPr>
        <w:t xml:space="preserve"> if the observed pro-inflammatory response was due to the LNP formulation or a result of mRNA immunogenicity</w:t>
      </w:r>
      <w:r w:rsidR="0061416F" w:rsidRPr="00F7651D">
        <w:rPr>
          <w:rFonts w:cs="Times New Roman"/>
          <w:szCs w:val="22"/>
        </w:rPr>
        <w:t xml:space="preserve">. </w:t>
      </w:r>
    </w:p>
    <w:p w14:paraId="2ACD4D5F" w14:textId="53B6291D" w:rsidR="006210B4" w:rsidRDefault="006210B4" w:rsidP="00BC388A">
      <w:pPr>
        <w:rPr>
          <w:rFonts w:cs="Times New Roman"/>
          <w:szCs w:val="22"/>
        </w:rPr>
      </w:pPr>
      <w:r>
        <w:rPr>
          <w:rFonts w:cs="Times New Roman"/>
          <w:szCs w:val="22"/>
        </w:rPr>
        <w:t xml:space="preserve">Only one species (i.e., </w:t>
      </w:r>
      <w:r w:rsidR="002414F7">
        <w:rPr>
          <w:rFonts w:cs="Times New Roman"/>
          <w:szCs w:val="22"/>
        </w:rPr>
        <w:t xml:space="preserve">healthy </w:t>
      </w:r>
      <w:r w:rsidR="004C3916">
        <w:rPr>
          <w:rFonts w:cs="Times New Roman"/>
          <w:szCs w:val="22"/>
        </w:rPr>
        <w:t xml:space="preserve">young </w:t>
      </w:r>
      <w:r>
        <w:rPr>
          <w:rFonts w:cs="Times New Roman"/>
          <w:szCs w:val="22"/>
        </w:rPr>
        <w:t>rat</w:t>
      </w:r>
      <w:r w:rsidR="002414F7">
        <w:rPr>
          <w:rFonts w:cs="Times New Roman"/>
          <w:szCs w:val="22"/>
        </w:rPr>
        <w:t>s without comorbidities</w:t>
      </w:r>
      <w:r>
        <w:rPr>
          <w:rFonts w:cs="Times New Roman"/>
          <w:szCs w:val="22"/>
        </w:rPr>
        <w:t xml:space="preserve">) was </w:t>
      </w:r>
      <w:r w:rsidR="00760258">
        <w:rPr>
          <w:rFonts w:cs="Times New Roman"/>
          <w:szCs w:val="22"/>
        </w:rPr>
        <w:t xml:space="preserve">used </w:t>
      </w:r>
      <w:r>
        <w:rPr>
          <w:rFonts w:cs="Times New Roman"/>
          <w:szCs w:val="22"/>
        </w:rPr>
        <w:t>in repeat dose toxicity testing</w:t>
      </w:r>
      <w:r w:rsidR="00944136">
        <w:rPr>
          <w:rFonts w:cs="Times New Roman"/>
          <w:szCs w:val="22"/>
        </w:rPr>
        <w:t xml:space="preserve"> using Comirnaty and other COVID-19 mRNA-LNP variants</w:t>
      </w:r>
      <w:r w:rsidR="00BC388A">
        <w:rPr>
          <w:rFonts w:cs="Times New Roman"/>
          <w:szCs w:val="22"/>
        </w:rPr>
        <w:t>, which according to the TGA</w:t>
      </w:r>
      <w:r w:rsidR="001525E0">
        <w:rPr>
          <w:rFonts w:cs="Times New Roman"/>
          <w:szCs w:val="22"/>
        </w:rPr>
        <w:t>,</w:t>
      </w:r>
      <w:r w:rsidR="00BC388A">
        <w:rPr>
          <w:rFonts w:cs="Times New Roman"/>
          <w:szCs w:val="22"/>
        </w:rPr>
        <w:t xml:space="preserve"> was adequately justified by Pfizer</w:t>
      </w:r>
      <w:r w:rsidR="00944136">
        <w:rPr>
          <w:rFonts w:cs="Times New Roman"/>
          <w:szCs w:val="22"/>
        </w:rPr>
        <w:t xml:space="preserve">. This regulatory acceptance came </w:t>
      </w:r>
      <w:r w:rsidR="00BC388A">
        <w:rPr>
          <w:rFonts w:cs="Times New Roman"/>
          <w:szCs w:val="22"/>
        </w:rPr>
        <w:t xml:space="preserve">despite the </w:t>
      </w:r>
      <w:r w:rsidR="00E12E29">
        <w:rPr>
          <w:rFonts w:cs="Times New Roman"/>
          <w:szCs w:val="22"/>
        </w:rPr>
        <w:t xml:space="preserve">well-known </w:t>
      </w:r>
      <w:r w:rsidR="001D02AE">
        <w:rPr>
          <w:rFonts w:cs="Times New Roman"/>
          <w:szCs w:val="22"/>
        </w:rPr>
        <w:t>issues linked to rat ACE2</w:t>
      </w:r>
      <w:r w:rsidR="00673A29">
        <w:rPr>
          <w:rFonts w:cs="Times New Roman"/>
          <w:szCs w:val="22"/>
        </w:rPr>
        <w:t>’s</w:t>
      </w:r>
      <w:r w:rsidR="001D02AE">
        <w:rPr>
          <w:rFonts w:cs="Times New Roman"/>
          <w:szCs w:val="22"/>
        </w:rPr>
        <w:t xml:space="preserve"> </w:t>
      </w:r>
      <w:r w:rsidR="00220FFC">
        <w:rPr>
          <w:rFonts w:cs="Times New Roman"/>
          <w:szCs w:val="22"/>
        </w:rPr>
        <w:t>low-affinity</w:t>
      </w:r>
      <w:r w:rsidR="001D02AE">
        <w:rPr>
          <w:rFonts w:cs="Times New Roman"/>
          <w:szCs w:val="22"/>
        </w:rPr>
        <w:t xml:space="preserve"> binding of the human</w:t>
      </w:r>
      <w:r w:rsidR="00EC5238">
        <w:rPr>
          <w:rFonts w:cs="Times New Roman"/>
          <w:szCs w:val="22"/>
        </w:rPr>
        <w:t>ized</w:t>
      </w:r>
      <w:r w:rsidR="001D02AE">
        <w:rPr>
          <w:rFonts w:cs="Times New Roman"/>
          <w:szCs w:val="22"/>
        </w:rPr>
        <w:t xml:space="preserve"> spike protein</w:t>
      </w:r>
      <w:r w:rsidR="00944136">
        <w:rPr>
          <w:rFonts w:cs="Times New Roman"/>
          <w:szCs w:val="22"/>
        </w:rPr>
        <w:t xml:space="preserve"> and the pro-inflammatory nature of LNP formulations</w:t>
      </w:r>
      <w:r w:rsidR="00BC388A">
        <w:rPr>
          <w:rFonts w:cs="Times New Roman"/>
          <w:szCs w:val="22"/>
        </w:rPr>
        <w:t>.</w:t>
      </w:r>
      <w:r w:rsidR="00BC388A" w:rsidRPr="00BC388A">
        <w:t xml:space="preserve"> </w:t>
      </w:r>
      <w:r w:rsidR="001D02AE">
        <w:rPr>
          <w:rFonts w:cs="Times New Roman"/>
          <w:szCs w:val="22"/>
        </w:rPr>
        <w:t>This rat toxicology study involved t</w:t>
      </w:r>
      <w:r>
        <w:rPr>
          <w:rFonts w:cs="Times New Roman"/>
          <w:szCs w:val="22"/>
        </w:rPr>
        <w:t xml:space="preserve">hree intramuscular doses one week apart, with a </w:t>
      </w:r>
      <w:r w:rsidR="00EC5238">
        <w:rPr>
          <w:rFonts w:cs="Times New Roman"/>
          <w:szCs w:val="22"/>
        </w:rPr>
        <w:t>three-week</w:t>
      </w:r>
      <w:r>
        <w:rPr>
          <w:rFonts w:cs="Times New Roman"/>
          <w:szCs w:val="22"/>
        </w:rPr>
        <w:t xml:space="preserve"> recovery phase</w:t>
      </w:r>
      <w:r w:rsidR="001525E0">
        <w:rPr>
          <w:rFonts w:cs="Times New Roman"/>
          <w:szCs w:val="22"/>
        </w:rPr>
        <w:t xml:space="preserve">, and </w:t>
      </w:r>
      <w:r>
        <w:rPr>
          <w:rFonts w:cs="Times New Roman"/>
          <w:szCs w:val="22"/>
        </w:rPr>
        <w:t xml:space="preserve">was conducted without any dose escalation. The TGA considered the one-week interval </w:t>
      </w:r>
      <w:r w:rsidRPr="00EC5238">
        <w:rPr>
          <w:rFonts w:cs="Times New Roman"/>
          <w:b/>
          <w:bCs w:val="0"/>
          <w:szCs w:val="22"/>
        </w:rPr>
        <w:t>non-optimal</w:t>
      </w:r>
      <w:r>
        <w:rPr>
          <w:rFonts w:cs="Times New Roman"/>
          <w:szCs w:val="22"/>
        </w:rPr>
        <w:t xml:space="preserve"> because </w:t>
      </w:r>
      <w:r w:rsidRPr="006917FA">
        <w:rPr>
          <w:rFonts w:cs="Times New Roman"/>
          <w:szCs w:val="22"/>
        </w:rPr>
        <w:t xml:space="preserve">the immune response </w:t>
      </w:r>
      <w:r>
        <w:rPr>
          <w:rFonts w:cs="Times New Roman"/>
          <w:szCs w:val="22"/>
        </w:rPr>
        <w:t xml:space="preserve">takes 2-3 weeks to </w:t>
      </w:r>
      <w:r w:rsidR="001525E0">
        <w:rPr>
          <w:rFonts w:cs="Times New Roman"/>
          <w:szCs w:val="22"/>
        </w:rPr>
        <w:t xml:space="preserve">reach its </w:t>
      </w:r>
      <w:r w:rsidRPr="006917FA">
        <w:rPr>
          <w:rFonts w:cs="Times New Roman"/>
          <w:szCs w:val="22"/>
        </w:rPr>
        <w:t>peak</w:t>
      </w:r>
      <w:r w:rsidR="001525E0">
        <w:rPr>
          <w:rFonts w:cs="Times New Roman"/>
          <w:szCs w:val="22"/>
        </w:rPr>
        <w:t>. Comirnaty’s</w:t>
      </w:r>
      <w:r>
        <w:rPr>
          <w:rFonts w:cs="Times New Roman"/>
          <w:szCs w:val="22"/>
        </w:rPr>
        <w:t xml:space="preserve"> </w:t>
      </w:r>
      <w:r w:rsidRPr="006917FA">
        <w:rPr>
          <w:rFonts w:cs="Times New Roman"/>
          <w:szCs w:val="22"/>
        </w:rPr>
        <w:t xml:space="preserve">novel lipid excipients </w:t>
      </w:r>
      <w:r w:rsidR="00EC5238">
        <w:rPr>
          <w:rFonts w:cs="Times New Roman"/>
          <w:szCs w:val="22"/>
        </w:rPr>
        <w:t>had</w:t>
      </w:r>
      <w:r w:rsidRPr="006917FA">
        <w:rPr>
          <w:rFonts w:cs="Times New Roman"/>
          <w:szCs w:val="22"/>
        </w:rPr>
        <w:t xml:space="preserve"> </w:t>
      </w:r>
      <w:r w:rsidRPr="008C5085">
        <w:rPr>
          <w:rFonts w:cs="Times New Roman"/>
          <w:b/>
          <w:bCs w:val="0"/>
          <w:szCs w:val="22"/>
        </w:rPr>
        <w:t xml:space="preserve">long liver retention </w:t>
      </w:r>
      <w:r w:rsidR="00EC5238">
        <w:rPr>
          <w:rFonts w:cs="Times New Roman"/>
          <w:b/>
          <w:bCs w:val="0"/>
          <w:szCs w:val="22"/>
        </w:rPr>
        <w:t>times</w:t>
      </w:r>
      <w:r w:rsidRPr="00574F73">
        <w:rPr>
          <w:rFonts w:cs="Times New Roman"/>
          <w:szCs w:val="22"/>
        </w:rPr>
        <w:t xml:space="preserve"> (</w:t>
      </w:r>
      <w:r>
        <w:rPr>
          <w:rFonts w:cs="Times New Roman"/>
          <w:szCs w:val="22"/>
        </w:rPr>
        <w:t xml:space="preserve">EMA: </w:t>
      </w:r>
      <w:r w:rsidRPr="00574F73">
        <w:rPr>
          <w:rFonts w:cs="Times New Roman"/>
          <w:szCs w:val="22"/>
        </w:rPr>
        <w:t>ALC-0315 6-w</w:t>
      </w:r>
      <w:r>
        <w:rPr>
          <w:rFonts w:cs="Times New Roman"/>
          <w:szCs w:val="22"/>
        </w:rPr>
        <w:t>eeks, ALC-0159 &gt;</w:t>
      </w:r>
      <w:r w:rsidR="001525E0">
        <w:rPr>
          <w:rFonts w:cs="Times New Roman"/>
          <w:szCs w:val="22"/>
        </w:rPr>
        <w:t xml:space="preserve"> 2 weeks</w:t>
      </w:r>
      <w:r>
        <w:rPr>
          <w:rFonts w:cs="Times New Roman"/>
          <w:szCs w:val="22"/>
        </w:rPr>
        <w:t>)</w:t>
      </w:r>
      <w:r w:rsidR="001525E0">
        <w:rPr>
          <w:rFonts w:cs="Times New Roman"/>
          <w:szCs w:val="22"/>
        </w:rPr>
        <w:t xml:space="preserve"> and </w:t>
      </w:r>
      <w:r w:rsidR="00EC5238">
        <w:rPr>
          <w:rFonts w:cs="Times New Roman"/>
          <w:szCs w:val="22"/>
        </w:rPr>
        <w:t xml:space="preserve">three </w:t>
      </w:r>
      <w:r w:rsidRPr="00574F73">
        <w:rPr>
          <w:rFonts w:cs="Times New Roman"/>
          <w:szCs w:val="22"/>
        </w:rPr>
        <w:t xml:space="preserve">weeks was the planned clinical study booster interval. </w:t>
      </w:r>
      <w:r>
        <w:rPr>
          <w:rFonts w:cs="Times New Roman"/>
          <w:szCs w:val="22"/>
        </w:rPr>
        <w:t>Nonetheless, the TGA</w:t>
      </w:r>
      <w:r w:rsidR="00097B1A">
        <w:rPr>
          <w:rFonts w:cs="Times New Roman"/>
          <w:szCs w:val="22"/>
        </w:rPr>
        <w:t xml:space="preserve">, </w:t>
      </w:r>
      <w:r w:rsidR="00796A0D">
        <w:rPr>
          <w:rFonts w:cs="Times New Roman"/>
          <w:szCs w:val="22"/>
        </w:rPr>
        <w:t>and</w:t>
      </w:r>
      <w:r w:rsidR="00097B1A">
        <w:rPr>
          <w:rFonts w:cs="Times New Roman"/>
          <w:szCs w:val="22"/>
        </w:rPr>
        <w:t xml:space="preserve"> other regulators,</w:t>
      </w:r>
      <w:r>
        <w:rPr>
          <w:rFonts w:cs="Times New Roman"/>
          <w:szCs w:val="22"/>
        </w:rPr>
        <w:t xml:space="preserve"> </w:t>
      </w:r>
      <w:r w:rsidR="00EC5238">
        <w:rPr>
          <w:rFonts w:cs="Times New Roman"/>
          <w:szCs w:val="22"/>
        </w:rPr>
        <w:t>permitted</w:t>
      </w:r>
      <w:r>
        <w:rPr>
          <w:rFonts w:cs="Times New Roman"/>
          <w:szCs w:val="22"/>
        </w:rPr>
        <w:t xml:space="preserve"> this. </w:t>
      </w:r>
    </w:p>
    <w:p w14:paraId="26364134" w14:textId="35E3A7F6" w:rsidR="00C81A63" w:rsidRPr="0029424B" w:rsidRDefault="00312C58" w:rsidP="00312C58">
      <w:pPr>
        <w:rPr>
          <w:rFonts w:cs="Times New Roman"/>
          <w:szCs w:val="22"/>
        </w:rPr>
      </w:pPr>
      <w:r>
        <w:rPr>
          <w:rFonts w:cs="Times New Roman"/>
          <w:szCs w:val="22"/>
        </w:rPr>
        <w:t xml:space="preserve">The overwhelming findings of the toxicology studies were that of a </w:t>
      </w:r>
      <w:r w:rsidR="001525E0">
        <w:rPr>
          <w:rFonts w:cs="Times New Roman"/>
          <w:szCs w:val="22"/>
        </w:rPr>
        <w:t>robust</w:t>
      </w:r>
      <w:r w:rsidRPr="008C5085">
        <w:rPr>
          <w:rFonts w:cs="Times New Roman"/>
          <w:b/>
          <w:bCs w:val="0"/>
          <w:szCs w:val="22"/>
        </w:rPr>
        <w:t xml:space="preserve"> </w:t>
      </w:r>
      <w:r w:rsidR="002722B5" w:rsidRPr="008C5085">
        <w:rPr>
          <w:rFonts w:cs="Times New Roman"/>
          <w:b/>
          <w:bCs w:val="0"/>
          <w:szCs w:val="22"/>
        </w:rPr>
        <w:t>pro-inflammatory</w:t>
      </w:r>
      <w:r w:rsidRPr="008C5085">
        <w:rPr>
          <w:rFonts w:cs="Times New Roman"/>
          <w:b/>
          <w:bCs w:val="0"/>
          <w:szCs w:val="22"/>
        </w:rPr>
        <w:t xml:space="preserve"> response,</w:t>
      </w:r>
      <w:r>
        <w:rPr>
          <w:rFonts w:cs="Times New Roman"/>
          <w:szCs w:val="22"/>
        </w:rPr>
        <w:t xml:space="preserve"> which led to fever and a s</w:t>
      </w:r>
      <w:r w:rsidRPr="00C25467">
        <w:rPr>
          <w:rFonts w:cs="Times New Roman"/>
          <w:szCs w:val="22"/>
        </w:rPr>
        <w:t xml:space="preserve">tatistically </w:t>
      </w:r>
      <w:r w:rsidRPr="0039256D">
        <w:rPr>
          <w:rFonts w:cs="Times New Roman"/>
          <w:szCs w:val="22"/>
        </w:rPr>
        <w:t xml:space="preserve">significant reduction in rat </w:t>
      </w:r>
      <w:r w:rsidR="00EC5238">
        <w:rPr>
          <w:rFonts w:cs="Times New Roman"/>
          <w:szCs w:val="22"/>
        </w:rPr>
        <w:t>body weights</w:t>
      </w:r>
      <w:r w:rsidRPr="0039256D">
        <w:rPr>
          <w:rFonts w:cs="Times New Roman"/>
          <w:szCs w:val="22"/>
        </w:rPr>
        <w:t xml:space="preserve"> </w:t>
      </w:r>
      <w:r w:rsidR="001525E0">
        <w:rPr>
          <w:rFonts w:cs="Times New Roman"/>
          <w:szCs w:val="22"/>
        </w:rPr>
        <w:t xml:space="preserve">nine </w:t>
      </w:r>
      <w:r w:rsidRPr="0039256D">
        <w:rPr>
          <w:rFonts w:cs="Times New Roman"/>
          <w:szCs w:val="22"/>
        </w:rPr>
        <w:t xml:space="preserve">days </w:t>
      </w:r>
      <w:r>
        <w:rPr>
          <w:rFonts w:cs="Times New Roman"/>
          <w:szCs w:val="22"/>
        </w:rPr>
        <w:t>after vaccination</w:t>
      </w:r>
      <w:r w:rsidR="0029424B">
        <w:rPr>
          <w:rFonts w:cs="Times New Roman"/>
          <w:szCs w:val="22"/>
        </w:rPr>
        <w:t>,</w:t>
      </w:r>
      <w:r>
        <w:rPr>
          <w:rFonts w:cs="Times New Roman"/>
          <w:szCs w:val="22"/>
        </w:rPr>
        <w:t xml:space="preserve"> indicating </w:t>
      </w:r>
      <w:r w:rsidRPr="008C5085">
        <w:rPr>
          <w:rFonts w:cs="Times New Roman"/>
          <w:b/>
          <w:bCs w:val="0"/>
          <w:szCs w:val="22"/>
        </w:rPr>
        <w:t>significant systemic illness</w:t>
      </w:r>
      <w:r>
        <w:rPr>
          <w:rFonts w:cs="Times New Roman"/>
          <w:szCs w:val="22"/>
        </w:rPr>
        <w:t>.</w:t>
      </w:r>
      <w:r w:rsidRPr="00FF106A">
        <w:rPr>
          <w:rFonts w:cs="Times New Roman"/>
          <w:szCs w:val="22"/>
        </w:rPr>
        <w:t xml:space="preserve"> </w:t>
      </w:r>
      <w:r>
        <w:rPr>
          <w:rFonts w:cs="Times New Roman"/>
          <w:szCs w:val="22"/>
        </w:rPr>
        <w:t xml:space="preserve">The associated pathologies included </w:t>
      </w:r>
      <w:r w:rsidRPr="00FF106A">
        <w:rPr>
          <w:rFonts w:cs="Times New Roman"/>
          <w:szCs w:val="22"/>
        </w:rPr>
        <w:t xml:space="preserve">injection site inflammation </w:t>
      </w:r>
      <w:r>
        <w:rPr>
          <w:rFonts w:cs="Times New Roman"/>
          <w:szCs w:val="22"/>
        </w:rPr>
        <w:t xml:space="preserve">and abnormal </w:t>
      </w:r>
      <w:r w:rsidRPr="00332B10">
        <w:rPr>
          <w:rFonts w:cs="Times New Roman"/>
          <w:iCs/>
          <w:szCs w:val="22"/>
        </w:rPr>
        <w:t>clinical pathologies</w:t>
      </w:r>
      <w:r w:rsidRPr="00FF106A">
        <w:rPr>
          <w:rFonts w:cs="Times New Roman"/>
          <w:szCs w:val="22"/>
        </w:rPr>
        <w:t xml:space="preserve"> (</w:t>
      </w:r>
      <w:r>
        <w:rPr>
          <w:rFonts w:cs="Times New Roman"/>
          <w:szCs w:val="22"/>
        </w:rPr>
        <w:t xml:space="preserve">i.e., </w:t>
      </w:r>
      <w:r>
        <w:rPr>
          <w:rFonts w:cs="Times New Roman"/>
          <w:i/>
          <w:szCs w:val="22"/>
        </w:rPr>
        <w:t xml:space="preserve">moderate-strong leukocytosis, </w:t>
      </w:r>
      <w:r w:rsidRPr="00920727">
        <w:rPr>
          <w:rFonts w:cs="Times New Roman"/>
          <w:i/>
          <w:szCs w:val="22"/>
        </w:rPr>
        <w:t xml:space="preserve">strong transient lowered reticulocytes and moderate </w:t>
      </w:r>
      <w:r>
        <w:rPr>
          <w:rFonts w:cs="Times New Roman"/>
          <w:i/>
          <w:szCs w:val="22"/>
        </w:rPr>
        <w:t>reductions</w:t>
      </w:r>
      <w:r w:rsidRPr="00920727">
        <w:rPr>
          <w:rFonts w:cs="Times New Roman"/>
          <w:i/>
          <w:szCs w:val="22"/>
        </w:rPr>
        <w:t xml:space="preserve"> </w:t>
      </w:r>
      <w:r>
        <w:rPr>
          <w:rFonts w:cs="Times New Roman"/>
          <w:i/>
          <w:szCs w:val="22"/>
        </w:rPr>
        <w:t>in</w:t>
      </w:r>
      <w:r w:rsidRPr="00920727">
        <w:rPr>
          <w:rFonts w:cs="Times New Roman"/>
          <w:i/>
          <w:szCs w:val="22"/>
        </w:rPr>
        <w:t xml:space="preserve"> red blood cell parameters, raised fibrinogen</w:t>
      </w:r>
      <w:r>
        <w:rPr>
          <w:rFonts w:cs="Times New Roman"/>
          <w:i/>
          <w:szCs w:val="22"/>
        </w:rPr>
        <w:t xml:space="preserve"> levels</w:t>
      </w:r>
      <w:r w:rsidRPr="00920727">
        <w:rPr>
          <w:rFonts w:cs="Times New Roman"/>
          <w:i/>
          <w:szCs w:val="22"/>
        </w:rPr>
        <w:t xml:space="preserve">, </w:t>
      </w:r>
      <w:r w:rsidR="001525E0">
        <w:rPr>
          <w:rFonts w:cs="Times New Roman"/>
          <w:i/>
          <w:szCs w:val="22"/>
        </w:rPr>
        <w:t>significant</w:t>
      </w:r>
      <w:r w:rsidRPr="00920727">
        <w:rPr>
          <w:rFonts w:cs="Times New Roman"/>
          <w:i/>
          <w:szCs w:val="22"/>
        </w:rPr>
        <w:t xml:space="preserve"> increase</w:t>
      </w:r>
      <w:r>
        <w:rPr>
          <w:rFonts w:cs="Times New Roman"/>
          <w:i/>
          <w:szCs w:val="22"/>
        </w:rPr>
        <w:t>s</w:t>
      </w:r>
      <w:r w:rsidRPr="00920727">
        <w:rPr>
          <w:rFonts w:cs="Times New Roman"/>
          <w:i/>
          <w:szCs w:val="22"/>
        </w:rPr>
        <w:t xml:space="preserve"> in acute phase proteins, </w:t>
      </w:r>
      <w:r>
        <w:rPr>
          <w:rFonts w:cs="Times New Roman"/>
          <w:i/>
          <w:szCs w:val="22"/>
        </w:rPr>
        <w:t xml:space="preserve">a </w:t>
      </w:r>
      <w:r w:rsidRPr="00920727">
        <w:rPr>
          <w:rFonts w:cs="Times New Roman"/>
          <w:i/>
          <w:szCs w:val="22"/>
        </w:rPr>
        <w:t xml:space="preserve">decreased albumin/globulin ratio, </w:t>
      </w:r>
      <w:r>
        <w:rPr>
          <w:rFonts w:cs="Times New Roman"/>
          <w:i/>
          <w:szCs w:val="22"/>
        </w:rPr>
        <w:t xml:space="preserve">and </w:t>
      </w:r>
      <w:r w:rsidR="001525E0">
        <w:rPr>
          <w:rFonts w:cs="Times New Roman"/>
          <w:i/>
          <w:szCs w:val="22"/>
        </w:rPr>
        <w:t>significant</w:t>
      </w:r>
      <w:r w:rsidRPr="00920727">
        <w:rPr>
          <w:rFonts w:cs="Times New Roman"/>
          <w:i/>
          <w:szCs w:val="22"/>
        </w:rPr>
        <w:t xml:space="preserve"> liver enzyme elevations</w:t>
      </w:r>
      <w:r>
        <w:rPr>
          <w:rFonts w:cs="Times New Roman"/>
          <w:szCs w:val="22"/>
        </w:rPr>
        <w:t xml:space="preserve">) and </w:t>
      </w:r>
      <w:r w:rsidRPr="00332B10">
        <w:rPr>
          <w:rFonts w:cs="Times New Roman"/>
          <w:iCs/>
          <w:szCs w:val="22"/>
        </w:rPr>
        <w:t xml:space="preserve">histopathologies </w:t>
      </w:r>
      <w:r w:rsidRPr="00FF106A">
        <w:rPr>
          <w:rFonts w:cs="Times New Roman"/>
          <w:szCs w:val="22"/>
        </w:rPr>
        <w:t>(</w:t>
      </w:r>
      <w:r>
        <w:rPr>
          <w:rFonts w:cs="Times New Roman"/>
          <w:szCs w:val="22"/>
        </w:rPr>
        <w:t xml:space="preserve">i.e., </w:t>
      </w:r>
      <w:r w:rsidRPr="00920727">
        <w:rPr>
          <w:rFonts w:cs="Times New Roman"/>
          <w:i/>
          <w:szCs w:val="22"/>
        </w:rPr>
        <w:t xml:space="preserve">hyper-cellularity of draining lymph nodes, spleen and bone marrow, and reversible </w:t>
      </w:r>
      <w:r>
        <w:rPr>
          <w:rFonts w:cs="Times New Roman"/>
          <w:i/>
          <w:szCs w:val="22"/>
        </w:rPr>
        <w:t>portal hepatocyte</w:t>
      </w:r>
      <w:r w:rsidRPr="00920727">
        <w:rPr>
          <w:rFonts w:cs="Times New Roman"/>
          <w:i/>
          <w:szCs w:val="22"/>
        </w:rPr>
        <w:t xml:space="preserve"> </w:t>
      </w:r>
      <w:r>
        <w:rPr>
          <w:rFonts w:cs="Times New Roman"/>
          <w:i/>
          <w:szCs w:val="22"/>
        </w:rPr>
        <w:t xml:space="preserve">vacuolation </w:t>
      </w:r>
      <w:r w:rsidRPr="00920727">
        <w:rPr>
          <w:rFonts w:cs="Times New Roman"/>
          <w:i/>
          <w:szCs w:val="22"/>
        </w:rPr>
        <w:t xml:space="preserve">probably </w:t>
      </w:r>
      <w:r>
        <w:rPr>
          <w:rFonts w:cs="Times New Roman"/>
          <w:i/>
          <w:szCs w:val="22"/>
        </w:rPr>
        <w:t>linked to the LNP lipids</w:t>
      </w:r>
      <w:r>
        <w:rPr>
          <w:rFonts w:cs="Times New Roman"/>
          <w:szCs w:val="22"/>
        </w:rPr>
        <w:t>)</w:t>
      </w:r>
      <w:r w:rsidRPr="00FF106A">
        <w:rPr>
          <w:rFonts w:cs="Times New Roman"/>
          <w:szCs w:val="22"/>
        </w:rPr>
        <w:t xml:space="preserve">. </w:t>
      </w:r>
      <w:r>
        <w:rPr>
          <w:rFonts w:cs="Times New Roman"/>
          <w:szCs w:val="22"/>
        </w:rPr>
        <w:t>The above changes were partially or fully reversed</w:t>
      </w:r>
      <w:r w:rsidRPr="00FF106A">
        <w:rPr>
          <w:rFonts w:cs="Times New Roman"/>
          <w:szCs w:val="22"/>
        </w:rPr>
        <w:t xml:space="preserve"> with</w:t>
      </w:r>
      <w:r>
        <w:rPr>
          <w:rFonts w:cs="Times New Roman"/>
          <w:szCs w:val="22"/>
        </w:rPr>
        <w:t>in</w:t>
      </w:r>
      <w:r w:rsidRPr="00FF106A">
        <w:rPr>
          <w:rFonts w:cs="Times New Roman"/>
          <w:szCs w:val="22"/>
        </w:rPr>
        <w:t xml:space="preserve"> </w:t>
      </w:r>
      <w:r>
        <w:rPr>
          <w:rFonts w:cs="Times New Roman"/>
          <w:szCs w:val="22"/>
        </w:rPr>
        <w:t>the 3-week recovery phase.</w:t>
      </w:r>
      <w:r w:rsidRPr="00FF106A">
        <w:rPr>
          <w:rStyle w:val="EndnoteReference"/>
          <w:rFonts w:cs="Times New Roman"/>
          <w:szCs w:val="22"/>
        </w:rPr>
        <w:endnoteReference w:id="327"/>
      </w:r>
      <w:r w:rsidRPr="00FF106A">
        <w:rPr>
          <w:rFonts w:cs="Times New Roman"/>
          <w:szCs w:val="22"/>
        </w:rPr>
        <w:t xml:space="preserve"> </w:t>
      </w:r>
      <w:r w:rsidR="00C51FB4">
        <w:rPr>
          <w:rFonts w:cs="Times New Roman"/>
          <w:szCs w:val="22"/>
        </w:rPr>
        <w:t>These results were consistent with other preclinical studies</w:t>
      </w:r>
      <w:r w:rsidR="00B6335A">
        <w:rPr>
          <w:rFonts w:cs="Times New Roman"/>
          <w:szCs w:val="22"/>
        </w:rPr>
        <w:t xml:space="preserve">, which described </w:t>
      </w:r>
      <w:r w:rsidR="00C51FB4">
        <w:rPr>
          <w:rFonts w:cs="Times New Roman"/>
          <w:szCs w:val="22"/>
        </w:rPr>
        <w:t>LNP</w:t>
      </w:r>
      <w:r w:rsidR="00B6335A">
        <w:rPr>
          <w:rFonts w:cs="Times New Roman"/>
          <w:szCs w:val="22"/>
        </w:rPr>
        <w:t xml:space="preserve">s used to </w:t>
      </w:r>
      <w:r w:rsidR="00B6335A" w:rsidRPr="0029424B">
        <w:rPr>
          <w:rFonts w:cs="Times New Roman"/>
          <w:szCs w:val="22"/>
        </w:rPr>
        <w:t>deliver mRNA as highly inflammatory.</w:t>
      </w:r>
      <w:r w:rsidR="00C51FB4" w:rsidRPr="0029424B">
        <w:rPr>
          <w:rStyle w:val="EndnoteReference"/>
          <w:rFonts w:cs="Times New Roman"/>
          <w:szCs w:val="22"/>
        </w:rPr>
        <w:endnoteReference w:id="328"/>
      </w:r>
      <w:r w:rsidR="00C81A63" w:rsidRPr="0029424B">
        <w:rPr>
          <w:rFonts w:cs="Times New Roman"/>
          <w:szCs w:val="22"/>
        </w:rPr>
        <w:t xml:space="preserve"> </w:t>
      </w:r>
    </w:p>
    <w:p w14:paraId="0072C9C3" w14:textId="79AF47FA" w:rsidR="009B0727" w:rsidRDefault="006F1155" w:rsidP="006F1155">
      <w:pPr>
        <w:rPr>
          <w:rFonts w:cs="Times New Roman"/>
          <w:szCs w:val="22"/>
        </w:rPr>
      </w:pPr>
      <w:r>
        <w:rPr>
          <w:rFonts w:cs="Times New Roman"/>
          <w:szCs w:val="22"/>
        </w:rPr>
        <w:t xml:space="preserve">The TGA commented that </w:t>
      </w:r>
      <w:r w:rsidR="00996A42">
        <w:rPr>
          <w:rFonts w:cs="Times New Roman"/>
          <w:szCs w:val="22"/>
        </w:rPr>
        <w:t>treatment-related</w:t>
      </w:r>
      <w:r w:rsidRPr="006F1155">
        <w:rPr>
          <w:rFonts w:cs="Times New Roman"/>
          <w:szCs w:val="22"/>
        </w:rPr>
        <w:t xml:space="preserve"> microscopic findings were seen at the injection sites and in surrounding tissues</w:t>
      </w:r>
      <w:r>
        <w:rPr>
          <w:rFonts w:cs="Times New Roman"/>
          <w:szCs w:val="22"/>
        </w:rPr>
        <w:t>,</w:t>
      </w:r>
      <w:r w:rsidRPr="006F1155">
        <w:rPr>
          <w:rFonts w:cs="Times New Roman"/>
          <w:szCs w:val="22"/>
        </w:rPr>
        <w:t xml:space="preserve"> draining lymph nodes</w:t>
      </w:r>
      <w:r>
        <w:rPr>
          <w:rFonts w:cs="Times New Roman"/>
          <w:szCs w:val="22"/>
        </w:rPr>
        <w:t>,</w:t>
      </w:r>
      <w:r w:rsidRPr="006F1155">
        <w:rPr>
          <w:rFonts w:cs="Times New Roman"/>
          <w:szCs w:val="22"/>
        </w:rPr>
        <w:t xml:space="preserve"> bone marrow</w:t>
      </w:r>
      <w:r>
        <w:rPr>
          <w:rFonts w:cs="Times New Roman"/>
          <w:szCs w:val="22"/>
        </w:rPr>
        <w:t>,</w:t>
      </w:r>
      <w:r w:rsidRPr="006F1155">
        <w:rPr>
          <w:rFonts w:cs="Times New Roman"/>
          <w:szCs w:val="22"/>
        </w:rPr>
        <w:t xml:space="preserve"> spleen</w:t>
      </w:r>
      <w:r>
        <w:rPr>
          <w:rFonts w:cs="Times New Roman"/>
          <w:szCs w:val="22"/>
        </w:rPr>
        <w:t xml:space="preserve">, </w:t>
      </w:r>
      <w:r w:rsidRPr="006F1155">
        <w:rPr>
          <w:rFonts w:cs="Times New Roman"/>
          <w:szCs w:val="22"/>
        </w:rPr>
        <w:t>and liver</w:t>
      </w:r>
      <w:r>
        <w:rPr>
          <w:rFonts w:cs="Times New Roman"/>
          <w:szCs w:val="22"/>
        </w:rPr>
        <w:t>, which were “</w:t>
      </w:r>
      <w:r w:rsidRPr="006F1155">
        <w:rPr>
          <w:rFonts w:cs="Times New Roman"/>
          <w:i/>
          <w:iCs/>
          <w:szCs w:val="22"/>
        </w:rPr>
        <w:t>consistent with immune responses and inflammatory reactions</w:t>
      </w:r>
      <w:r w:rsidRPr="006F1155">
        <w:rPr>
          <w:rFonts w:cs="Times New Roman"/>
          <w:szCs w:val="22"/>
        </w:rPr>
        <w:t>.</w:t>
      </w:r>
      <w:r>
        <w:rPr>
          <w:rFonts w:cs="Times New Roman"/>
          <w:szCs w:val="22"/>
        </w:rPr>
        <w:t>”</w:t>
      </w:r>
      <w:r w:rsidR="00996A42" w:rsidRPr="00996A42">
        <w:rPr>
          <w:rFonts w:cs="Times New Roman"/>
          <w:szCs w:val="22"/>
        </w:rPr>
        <w:t xml:space="preserve"> </w:t>
      </w:r>
      <w:r w:rsidR="00996A42">
        <w:rPr>
          <w:rFonts w:cs="Times New Roman"/>
          <w:szCs w:val="22"/>
        </w:rPr>
        <w:t xml:space="preserve">Given the widespread distribution of radiolabeled LNP mRNA luciferase at 48 hours post-vaccination in the </w:t>
      </w:r>
      <w:r w:rsidR="003A7115">
        <w:rPr>
          <w:rFonts w:cs="Times New Roman"/>
          <w:szCs w:val="22"/>
        </w:rPr>
        <w:t xml:space="preserve">rat </w:t>
      </w:r>
      <w:r w:rsidR="00996A42">
        <w:rPr>
          <w:rFonts w:cs="Times New Roman"/>
          <w:szCs w:val="22"/>
        </w:rPr>
        <w:t xml:space="preserve">body, </w:t>
      </w:r>
      <w:r w:rsidR="009B0727">
        <w:rPr>
          <w:rFonts w:cs="Times New Roman"/>
          <w:szCs w:val="22"/>
        </w:rPr>
        <w:t>it was surprising</w:t>
      </w:r>
      <w:r w:rsidR="00996A42">
        <w:rPr>
          <w:rFonts w:cs="Times New Roman"/>
          <w:szCs w:val="22"/>
        </w:rPr>
        <w:t xml:space="preserve"> that histopathology</w:t>
      </w:r>
      <w:r w:rsidR="0061416F">
        <w:rPr>
          <w:rFonts w:cs="Times New Roman"/>
          <w:szCs w:val="22"/>
        </w:rPr>
        <w:t xml:space="preserve">, </w:t>
      </w:r>
      <w:r w:rsidR="0085444B">
        <w:rPr>
          <w:rFonts w:cs="Times New Roman"/>
          <w:szCs w:val="22"/>
        </w:rPr>
        <w:t>immuno-toxicology</w:t>
      </w:r>
      <w:r w:rsidR="0061416F">
        <w:rPr>
          <w:rFonts w:cs="Times New Roman"/>
          <w:szCs w:val="22"/>
        </w:rPr>
        <w:t>, and bio-marker</w:t>
      </w:r>
      <w:r w:rsidR="0085444B">
        <w:rPr>
          <w:rFonts w:cs="Times New Roman"/>
          <w:szCs w:val="22"/>
        </w:rPr>
        <w:t xml:space="preserve"> </w:t>
      </w:r>
      <w:r w:rsidR="0029424B">
        <w:rPr>
          <w:rFonts w:cs="Times New Roman"/>
          <w:szCs w:val="22"/>
        </w:rPr>
        <w:t>information</w:t>
      </w:r>
      <w:r w:rsidR="008365DD">
        <w:rPr>
          <w:rFonts w:cs="Times New Roman"/>
          <w:szCs w:val="22"/>
        </w:rPr>
        <w:t xml:space="preserve"> was </w:t>
      </w:r>
      <w:r w:rsidR="008365DD" w:rsidRPr="00927B7B">
        <w:rPr>
          <w:rFonts w:cs="Times New Roman"/>
          <w:b/>
          <w:bCs w:val="0"/>
          <w:szCs w:val="22"/>
        </w:rPr>
        <w:t>not provided</w:t>
      </w:r>
      <w:r w:rsidR="008365DD">
        <w:rPr>
          <w:rFonts w:cs="Times New Roman"/>
          <w:szCs w:val="22"/>
        </w:rPr>
        <w:t xml:space="preserve"> in </w:t>
      </w:r>
      <w:r w:rsidR="0029424B">
        <w:rPr>
          <w:rFonts w:cs="Times New Roman"/>
          <w:szCs w:val="22"/>
        </w:rPr>
        <w:t xml:space="preserve">any of </w:t>
      </w:r>
      <w:r w:rsidR="008365DD">
        <w:rPr>
          <w:rFonts w:cs="Times New Roman"/>
          <w:szCs w:val="22"/>
        </w:rPr>
        <w:t>the regulatory reviews for</w:t>
      </w:r>
      <w:r w:rsidR="00996A42">
        <w:rPr>
          <w:rFonts w:cs="Times New Roman"/>
          <w:szCs w:val="22"/>
        </w:rPr>
        <w:t xml:space="preserve"> blood vessels, heart, brain, lungs, </w:t>
      </w:r>
      <w:r w:rsidR="002E202C">
        <w:rPr>
          <w:rFonts w:cs="Times New Roman"/>
          <w:szCs w:val="22"/>
        </w:rPr>
        <w:t xml:space="preserve">kidney, </w:t>
      </w:r>
      <w:r w:rsidR="00996A42">
        <w:rPr>
          <w:rFonts w:cs="Times New Roman"/>
          <w:szCs w:val="22"/>
        </w:rPr>
        <w:t>intestinal tract, endocrine glands, gonads</w:t>
      </w:r>
      <w:r w:rsidR="00FD57D9">
        <w:rPr>
          <w:rFonts w:cs="Times New Roman"/>
          <w:szCs w:val="22"/>
        </w:rPr>
        <w:t>,</w:t>
      </w:r>
      <w:r w:rsidR="009B0727">
        <w:rPr>
          <w:rFonts w:cs="Times New Roman"/>
          <w:szCs w:val="22"/>
        </w:rPr>
        <w:t xml:space="preserve"> </w:t>
      </w:r>
      <w:r w:rsidR="0029424B">
        <w:rPr>
          <w:rFonts w:cs="Times New Roman"/>
          <w:szCs w:val="22"/>
        </w:rPr>
        <w:t>and placentas</w:t>
      </w:r>
      <w:r w:rsidR="009B0727">
        <w:rPr>
          <w:rFonts w:cs="Times New Roman"/>
          <w:szCs w:val="22"/>
        </w:rPr>
        <w:t>.</w:t>
      </w:r>
    </w:p>
    <w:p w14:paraId="3B3187CA" w14:textId="7D945046" w:rsidR="00654676" w:rsidRPr="009D2E61" w:rsidRDefault="008365DD" w:rsidP="004C5C79">
      <w:pPr>
        <w:pStyle w:val="Heading3"/>
      </w:pPr>
      <w:bookmarkStart w:id="127" w:name="_Toc111368005"/>
      <w:bookmarkStart w:id="128" w:name="_Toc510678509"/>
      <w:bookmarkStart w:id="129" w:name="_Toc510880013"/>
      <w:bookmarkStart w:id="130" w:name="_Toc512275142"/>
      <w:bookmarkStart w:id="131" w:name="_Toc512360359"/>
      <w:bookmarkStart w:id="132" w:name="_Toc516645046"/>
      <w:bookmarkStart w:id="133" w:name="_Toc121035138"/>
      <w:r>
        <w:lastRenderedPageBreak/>
        <w:t xml:space="preserve">Pre-Clinical Assessment of </w:t>
      </w:r>
      <w:r w:rsidRPr="009D2E61">
        <w:t>Autoimmunity, Genotoxicity</w:t>
      </w:r>
      <w:r>
        <w:t>,</w:t>
      </w:r>
      <w:r w:rsidRPr="009D2E61">
        <w:t xml:space="preserve"> </w:t>
      </w:r>
      <w:r>
        <w:t>and</w:t>
      </w:r>
      <w:r w:rsidRPr="009D2E61">
        <w:t xml:space="preserve"> Carcinogenicity</w:t>
      </w:r>
      <w:r>
        <w:t xml:space="preserve"> </w:t>
      </w:r>
      <w:r w:rsidR="00F45406">
        <w:t xml:space="preserve">was </w:t>
      </w:r>
      <w:r>
        <w:t xml:space="preserve">Not Detailed in </w:t>
      </w:r>
      <w:r w:rsidR="003E2721">
        <w:t xml:space="preserve">the </w:t>
      </w:r>
      <w:r w:rsidR="0062543C">
        <w:t>Regulator</w:t>
      </w:r>
      <w:r>
        <w:t>y Reviews</w:t>
      </w:r>
      <w:bookmarkEnd w:id="127"/>
      <w:bookmarkEnd w:id="128"/>
      <w:bookmarkEnd w:id="129"/>
      <w:bookmarkEnd w:id="130"/>
      <w:bookmarkEnd w:id="131"/>
      <w:bookmarkEnd w:id="132"/>
      <w:bookmarkEnd w:id="133"/>
    </w:p>
    <w:p w14:paraId="539960A1" w14:textId="3E9B0B4B" w:rsidR="001F5407" w:rsidRDefault="00C55C01" w:rsidP="00654676">
      <w:pPr>
        <w:rPr>
          <w:rFonts w:cs="Times New Roman"/>
          <w:szCs w:val="22"/>
        </w:rPr>
      </w:pPr>
      <w:r w:rsidRPr="0017516E">
        <w:rPr>
          <w:rFonts w:cs="Times New Roman"/>
          <w:szCs w:val="22"/>
        </w:rPr>
        <w:t xml:space="preserve">Surprisingly, there was no </w:t>
      </w:r>
      <w:r>
        <w:rPr>
          <w:rFonts w:cs="Times New Roman"/>
          <w:szCs w:val="22"/>
        </w:rPr>
        <w:t xml:space="preserve">study information provided in the three regulatory reviews regarding autoimmunity, </w:t>
      </w:r>
      <w:r w:rsidRPr="0017516E">
        <w:rPr>
          <w:rFonts w:cs="Times New Roman"/>
          <w:szCs w:val="22"/>
        </w:rPr>
        <w:t>genotoxicity (i.e., an ability to cause genetic alterations)</w:t>
      </w:r>
      <w:r>
        <w:rPr>
          <w:rFonts w:cs="Times New Roman"/>
          <w:szCs w:val="22"/>
        </w:rPr>
        <w:t xml:space="preserve">, and </w:t>
      </w:r>
      <w:r w:rsidRPr="0017516E">
        <w:rPr>
          <w:rFonts w:cs="Times New Roman"/>
          <w:szCs w:val="22"/>
        </w:rPr>
        <w:t xml:space="preserve">carcinogenicity for Comirnaty as a first-in-class mRNA gene-therapy-vaccine. </w:t>
      </w:r>
      <w:r w:rsidR="00AB6CC6">
        <w:rPr>
          <w:rFonts w:cs="Times New Roman"/>
          <w:szCs w:val="22"/>
        </w:rPr>
        <w:t xml:space="preserve">The absence of autoimmune disease </w:t>
      </w:r>
      <w:r w:rsidR="0029424B">
        <w:rPr>
          <w:rFonts w:cs="Times New Roman"/>
          <w:szCs w:val="22"/>
        </w:rPr>
        <w:t>information</w:t>
      </w:r>
      <w:r w:rsidR="00AB6CC6">
        <w:rPr>
          <w:rFonts w:cs="Times New Roman"/>
          <w:szCs w:val="22"/>
        </w:rPr>
        <w:t xml:space="preserve"> raised a </w:t>
      </w:r>
      <w:r w:rsidR="00AB6CC6" w:rsidRPr="00C55C01">
        <w:rPr>
          <w:rFonts w:cs="Times New Roman"/>
          <w:szCs w:val="22"/>
        </w:rPr>
        <w:t xml:space="preserve">red flag </w:t>
      </w:r>
      <w:r w:rsidR="00B76360">
        <w:rPr>
          <w:rFonts w:cs="Times New Roman"/>
          <w:szCs w:val="22"/>
        </w:rPr>
        <w:t xml:space="preserve">for me </w:t>
      </w:r>
      <w:r>
        <w:rPr>
          <w:rFonts w:cs="Times New Roman"/>
          <w:szCs w:val="22"/>
        </w:rPr>
        <w:t xml:space="preserve">because this fundamental lead optimization research science should have been conducted to predict human vaccine safety, develop clinical assays, and support regulatory submissions and investigator brochures. Furthermore, the failures of </w:t>
      </w:r>
      <w:r w:rsidR="001F5407" w:rsidRPr="00133D11">
        <w:rPr>
          <w:rFonts w:cs="Times New Roman"/>
          <w:szCs w:val="22"/>
        </w:rPr>
        <w:t>SARS</w:t>
      </w:r>
      <w:r w:rsidR="001F5407">
        <w:rPr>
          <w:rFonts w:cs="Times New Roman"/>
          <w:szCs w:val="22"/>
        </w:rPr>
        <w:t>-CoV-1</w:t>
      </w:r>
      <w:r w:rsidR="001F5407" w:rsidRPr="00133D11">
        <w:rPr>
          <w:rFonts w:cs="Times New Roman"/>
          <w:szCs w:val="22"/>
        </w:rPr>
        <w:t xml:space="preserve"> and MERS </w:t>
      </w:r>
      <w:r w:rsidR="001F5407">
        <w:rPr>
          <w:rFonts w:cs="Times New Roman"/>
          <w:szCs w:val="22"/>
        </w:rPr>
        <w:t xml:space="preserve">coronavirus spike protein </w:t>
      </w:r>
      <w:r w:rsidR="001F5407" w:rsidRPr="00133D11">
        <w:rPr>
          <w:rFonts w:cs="Times New Roman"/>
          <w:szCs w:val="22"/>
        </w:rPr>
        <w:t>vaccine</w:t>
      </w:r>
      <w:r w:rsidR="001F5407">
        <w:rPr>
          <w:rFonts w:cs="Times New Roman"/>
          <w:szCs w:val="22"/>
        </w:rPr>
        <w:t xml:space="preserve"> prototypes</w:t>
      </w:r>
      <w:r w:rsidR="001F5407" w:rsidRPr="00133D11">
        <w:rPr>
          <w:rFonts w:cs="Times New Roman"/>
          <w:szCs w:val="22"/>
        </w:rPr>
        <w:t xml:space="preserve"> </w:t>
      </w:r>
      <w:r w:rsidR="001F5407">
        <w:rPr>
          <w:rFonts w:cs="Times New Roman"/>
          <w:szCs w:val="22"/>
        </w:rPr>
        <w:t xml:space="preserve">putatively </w:t>
      </w:r>
      <w:r w:rsidR="0029424B">
        <w:rPr>
          <w:rFonts w:cs="Times New Roman"/>
          <w:szCs w:val="22"/>
        </w:rPr>
        <w:t>involved</w:t>
      </w:r>
      <w:r w:rsidR="001F5407" w:rsidRPr="00133D11">
        <w:rPr>
          <w:rFonts w:cs="Times New Roman"/>
          <w:szCs w:val="22"/>
        </w:rPr>
        <w:t xml:space="preserve"> </w:t>
      </w:r>
      <w:r w:rsidR="002414F7">
        <w:rPr>
          <w:rFonts w:cs="Times New Roman"/>
          <w:szCs w:val="22"/>
        </w:rPr>
        <w:t xml:space="preserve">a </w:t>
      </w:r>
      <w:r w:rsidR="001F5407" w:rsidRPr="00133D11">
        <w:rPr>
          <w:rFonts w:cs="Times New Roman"/>
          <w:szCs w:val="22"/>
        </w:rPr>
        <w:t xml:space="preserve">pathogenesis </w:t>
      </w:r>
      <w:r w:rsidR="002414F7">
        <w:rPr>
          <w:rFonts w:cs="Times New Roman"/>
          <w:szCs w:val="22"/>
        </w:rPr>
        <w:t xml:space="preserve">mechanism </w:t>
      </w:r>
      <w:r w:rsidR="001F5407" w:rsidRPr="00133D11">
        <w:rPr>
          <w:rFonts w:cs="Times New Roman"/>
          <w:szCs w:val="22"/>
        </w:rPr>
        <w:t>consistent with autoimmunity in lung tissues</w:t>
      </w:r>
      <w:r w:rsidR="001F5407">
        <w:rPr>
          <w:rFonts w:cs="Times New Roman"/>
          <w:szCs w:val="22"/>
        </w:rPr>
        <w:t>.</w:t>
      </w:r>
      <w:r w:rsidR="001F5407" w:rsidRPr="003B433E">
        <w:rPr>
          <w:rStyle w:val="EndnoteReference"/>
          <w:rFonts w:cs="Times New Roman"/>
          <w:szCs w:val="22"/>
        </w:rPr>
        <w:endnoteReference w:id="329"/>
      </w:r>
    </w:p>
    <w:p w14:paraId="23A0974E" w14:textId="08E8F95D" w:rsidR="001F5407" w:rsidRPr="00FF76F3" w:rsidRDefault="007F13FB" w:rsidP="00654676">
      <w:pPr>
        <w:rPr>
          <w:rFonts w:cs="Times New Roman"/>
          <w:szCs w:val="22"/>
        </w:rPr>
      </w:pPr>
      <w:r>
        <w:rPr>
          <w:rFonts w:cs="Times New Roman"/>
          <w:szCs w:val="22"/>
        </w:rPr>
        <w:t xml:space="preserve">The SARS-CoV-2 spike protein encoded by Comirnaty’s mRNA </w:t>
      </w:r>
      <w:r w:rsidR="007A6A1D">
        <w:rPr>
          <w:rFonts w:cs="Times New Roman"/>
          <w:szCs w:val="22"/>
        </w:rPr>
        <w:t>c</w:t>
      </w:r>
      <w:r>
        <w:rPr>
          <w:rFonts w:cs="Times New Roman"/>
          <w:szCs w:val="22"/>
        </w:rPr>
        <w:t xml:space="preserve">ould have been computationally checked for </w:t>
      </w:r>
      <w:r w:rsidR="007278DC">
        <w:rPr>
          <w:rFonts w:cs="Times New Roman"/>
          <w:szCs w:val="22"/>
        </w:rPr>
        <w:t>its</w:t>
      </w:r>
      <w:r>
        <w:rPr>
          <w:rFonts w:cs="Times New Roman"/>
          <w:szCs w:val="22"/>
        </w:rPr>
        <w:t xml:space="preserve"> </w:t>
      </w:r>
      <w:r w:rsidR="001F5407">
        <w:rPr>
          <w:rFonts w:cs="Times New Roman"/>
          <w:szCs w:val="22"/>
        </w:rPr>
        <w:t xml:space="preserve">sequence </w:t>
      </w:r>
      <w:r>
        <w:rPr>
          <w:rFonts w:cs="Times New Roman"/>
          <w:szCs w:val="22"/>
        </w:rPr>
        <w:t>homology</w:t>
      </w:r>
      <w:r w:rsidR="0029424B" w:rsidRPr="0029424B">
        <w:rPr>
          <w:rFonts w:cs="Times New Roman"/>
          <w:szCs w:val="22"/>
        </w:rPr>
        <w:t xml:space="preserve"> </w:t>
      </w:r>
      <w:r w:rsidR="0029424B">
        <w:rPr>
          <w:rFonts w:cs="Times New Roman"/>
          <w:szCs w:val="22"/>
        </w:rPr>
        <w:t xml:space="preserve">and cross-reactivity potential with human tissue proteins, among other related </w:t>
      </w:r>
      <w:r w:rsidR="00C55C01">
        <w:rPr>
          <w:rFonts w:cs="Times New Roman"/>
          <w:szCs w:val="22"/>
        </w:rPr>
        <w:t xml:space="preserve">predictive </w:t>
      </w:r>
      <w:r w:rsidR="0029424B">
        <w:rPr>
          <w:rFonts w:cs="Times New Roman"/>
          <w:szCs w:val="22"/>
        </w:rPr>
        <w:t>assessments.</w:t>
      </w:r>
      <w:r>
        <w:rPr>
          <w:rFonts w:cs="Times New Roman"/>
          <w:szCs w:val="22"/>
        </w:rPr>
        <w:t xml:space="preserve"> </w:t>
      </w:r>
      <w:r w:rsidR="001525E0">
        <w:rPr>
          <w:rFonts w:cs="Times New Roman"/>
          <w:szCs w:val="22"/>
        </w:rPr>
        <w:t>Using</w:t>
      </w:r>
      <w:r>
        <w:rPr>
          <w:rFonts w:cs="Times New Roman"/>
          <w:szCs w:val="22"/>
        </w:rPr>
        <w:t xml:space="preserve"> in-vitro assays </w:t>
      </w:r>
      <w:r w:rsidR="00C55C01">
        <w:rPr>
          <w:rFonts w:cs="Times New Roman"/>
          <w:szCs w:val="22"/>
        </w:rPr>
        <w:t>with</w:t>
      </w:r>
      <w:r>
        <w:rPr>
          <w:rFonts w:cs="Times New Roman"/>
          <w:szCs w:val="22"/>
        </w:rPr>
        <w:t xml:space="preserve"> an array of SARS-CoV-2 spike protein monoclonal antibodies and tissue antigens would </w:t>
      </w:r>
      <w:r w:rsidR="00C55C01">
        <w:rPr>
          <w:rFonts w:cs="Times New Roman"/>
          <w:szCs w:val="22"/>
        </w:rPr>
        <w:t xml:space="preserve">then have been the next logical step for assessing </w:t>
      </w:r>
      <w:r>
        <w:rPr>
          <w:rFonts w:cs="Times New Roman"/>
          <w:szCs w:val="22"/>
        </w:rPr>
        <w:t xml:space="preserve">autoimmunity potential. </w:t>
      </w:r>
      <w:r w:rsidR="00DC3941" w:rsidRPr="00927B7B">
        <w:rPr>
          <w:rFonts w:cs="Times New Roman"/>
          <w:szCs w:val="22"/>
        </w:rPr>
        <w:t xml:space="preserve">This research was </w:t>
      </w:r>
      <w:r w:rsidR="005B6323" w:rsidRPr="00927B7B">
        <w:rPr>
          <w:rFonts w:cs="Times New Roman"/>
          <w:szCs w:val="22"/>
        </w:rPr>
        <w:t>conducted by</w:t>
      </w:r>
      <w:r w:rsidR="00DC3941" w:rsidRPr="00927B7B">
        <w:rPr>
          <w:rFonts w:cs="Times New Roman"/>
          <w:szCs w:val="22"/>
        </w:rPr>
        <w:t xml:space="preserve"> </w:t>
      </w:r>
      <w:r w:rsidR="00215F14" w:rsidRPr="00927B7B">
        <w:rPr>
          <w:rFonts w:cs="Times New Roman"/>
          <w:szCs w:val="22"/>
        </w:rPr>
        <w:t>independent</w:t>
      </w:r>
      <w:r w:rsidR="00DC3941" w:rsidRPr="00927B7B">
        <w:rPr>
          <w:rFonts w:cs="Times New Roman"/>
          <w:szCs w:val="22"/>
        </w:rPr>
        <w:t xml:space="preserve"> r</w:t>
      </w:r>
      <w:r w:rsidR="009D2D79" w:rsidRPr="00927B7B">
        <w:rPr>
          <w:rFonts w:cs="Times New Roman"/>
          <w:szCs w:val="22"/>
        </w:rPr>
        <w:t>esearchers</w:t>
      </w:r>
      <w:r w:rsidR="00F732F9" w:rsidRPr="00927B7B">
        <w:rPr>
          <w:rFonts w:cs="Times New Roman"/>
          <w:szCs w:val="22"/>
        </w:rPr>
        <w:t xml:space="preserve"> </w:t>
      </w:r>
      <w:r w:rsidR="00DC3941" w:rsidRPr="00927B7B">
        <w:rPr>
          <w:rFonts w:cs="Times New Roman"/>
          <w:szCs w:val="22"/>
        </w:rPr>
        <w:t xml:space="preserve">who </w:t>
      </w:r>
      <w:r w:rsidR="00F732F9" w:rsidRPr="00FF76F3">
        <w:rPr>
          <w:rFonts w:cs="Times New Roman"/>
          <w:b/>
          <w:bCs w:val="0"/>
          <w:szCs w:val="22"/>
        </w:rPr>
        <w:t xml:space="preserve">demonstrated a </w:t>
      </w:r>
      <w:r w:rsidR="009D2D79" w:rsidRPr="00FF76F3">
        <w:rPr>
          <w:rFonts w:cs="Times New Roman"/>
          <w:b/>
          <w:bCs w:val="0"/>
          <w:szCs w:val="22"/>
        </w:rPr>
        <w:t>high degree of cross-reactivity</w:t>
      </w:r>
      <w:r w:rsidR="009D2D79" w:rsidRPr="00927B7B">
        <w:rPr>
          <w:rFonts w:cs="Times New Roman"/>
          <w:szCs w:val="22"/>
        </w:rPr>
        <w:t xml:space="preserve"> </w:t>
      </w:r>
      <w:r w:rsidR="00DC3941" w:rsidRPr="00927B7B">
        <w:rPr>
          <w:rFonts w:cs="Times New Roman"/>
          <w:szCs w:val="22"/>
        </w:rPr>
        <w:t>between SARS-CoV-2 spike protein and</w:t>
      </w:r>
      <w:r w:rsidR="009D2D79" w:rsidRPr="00927B7B">
        <w:rPr>
          <w:rFonts w:cs="Times New Roman"/>
          <w:szCs w:val="22"/>
        </w:rPr>
        <w:t xml:space="preserve"> tissue antigens</w:t>
      </w:r>
      <w:r w:rsidR="00E6132A" w:rsidRPr="00927B7B">
        <w:rPr>
          <w:rFonts w:cs="Times New Roman"/>
          <w:szCs w:val="22"/>
        </w:rPr>
        <w:t xml:space="preserve"> </w:t>
      </w:r>
      <w:r w:rsidR="00FF76F3">
        <w:rPr>
          <w:rFonts w:cs="Times New Roman"/>
          <w:szCs w:val="22"/>
        </w:rPr>
        <w:t>and</w:t>
      </w:r>
      <w:r w:rsidR="001525E0">
        <w:rPr>
          <w:rFonts w:cs="Times New Roman"/>
          <w:szCs w:val="22"/>
        </w:rPr>
        <w:t>,</w:t>
      </w:r>
      <w:r w:rsidR="00FF76F3">
        <w:rPr>
          <w:rFonts w:cs="Times New Roman"/>
          <w:szCs w:val="22"/>
        </w:rPr>
        <w:t xml:space="preserve"> therefore</w:t>
      </w:r>
      <w:r w:rsidR="001525E0">
        <w:rPr>
          <w:rFonts w:cs="Times New Roman"/>
          <w:szCs w:val="22"/>
        </w:rPr>
        <w:t>,</w:t>
      </w:r>
      <w:r w:rsidR="00FF76F3">
        <w:rPr>
          <w:rFonts w:cs="Times New Roman"/>
          <w:szCs w:val="22"/>
        </w:rPr>
        <w:t xml:space="preserve"> the potential for autoimmunity with COVID-19 infection </w:t>
      </w:r>
      <w:r w:rsidR="00E6132A" w:rsidRPr="001F5407">
        <w:rPr>
          <w:rFonts w:cs="Times New Roman"/>
          <w:szCs w:val="22"/>
        </w:rPr>
        <w:t>(</w:t>
      </w:r>
      <w:r w:rsidR="001F5407" w:rsidRPr="001F5407">
        <w:rPr>
          <w:rFonts w:cs="Times New Roman"/>
          <w:szCs w:val="22"/>
        </w:rPr>
        <w:t>section 1.3.3</w:t>
      </w:r>
      <w:r w:rsidR="00E6132A" w:rsidRPr="001F5407">
        <w:rPr>
          <w:rFonts w:cs="Times New Roman"/>
          <w:szCs w:val="22"/>
        </w:rPr>
        <w:t>)</w:t>
      </w:r>
      <w:r w:rsidR="00FF76F3">
        <w:rPr>
          <w:rFonts w:cs="Times New Roman"/>
          <w:szCs w:val="22"/>
          <w:vertAlign w:val="superscript"/>
        </w:rPr>
        <w:t xml:space="preserve"> </w:t>
      </w:r>
      <w:r w:rsidR="00FF76F3">
        <w:rPr>
          <w:rFonts w:cs="Times New Roman"/>
          <w:szCs w:val="22"/>
        </w:rPr>
        <w:t>and</w:t>
      </w:r>
      <w:r w:rsidR="001525E0">
        <w:rPr>
          <w:rFonts w:cs="Times New Roman"/>
          <w:szCs w:val="22"/>
        </w:rPr>
        <w:t>,</w:t>
      </w:r>
      <w:r w:rsidR="00FF76F3">
        <w:rPr>
          <w:rFonts w:cs="Times New Roman"/>
          <w:szCs w:val="22"/>
        </w:rPr>
        <w:t xml:space="preserve"> by implication</w:t>
      </w:r>
      <w:r w:rsidR="001525E0">
        <w:rPr>
          <w:rFonts w:cs="Times New Roman"/>
          <w:szCs w:val="22"/>
        </w:rPr>
        <w:t>,</w:t>
      </w:r>
      <w:r w:rsidR="00FF76F3">
        <w:rPr>
          <w:rFonts w:cs="Times New Roman"/>
          <w:szCs w:val="22"/>
        </w:rPr>
        <w:t xml:space="preserve"> </w:t>
      </w:r>
      <w:r w:rsidR="002414F7">
        <w:rPr>
          <w:rFonts w:cs="Times New Roman"/>
          <w:szCs w:val="22"/>
        </w:rPr>
        <w:t xml:space="preserve">with </w:t>
      </w:r>
      <w:r w:rsidR="00FF76F3">
        <w:rPr>
          <w:rFonts w:cs="Times New Roman"/>
          <w:szCs w:val="22"/>
        </w:rPr>
        <w:t>vaccination.</w:t>
      </w:r>
    </w:p>
    <w:p w14:paraId="640C7EB1" w14:textId="6A95ACF5" w:rsidR="00C55C01" w:rsidRPr="00C55C01" w:rsidRDefault="00C55C01" w:rsidP="00C55C01">
      <w:pPr>
        <w:rPr>
          <w:szCs w:val="22"/>
        </w:rPr>
      </w:pPr>
      <w:r w:rsidRPr="00A73961">
        <w:t xml:space="preserve">Of great genotoxicity concern is that </w:t>
      </w:r>
      <w:r w:rsidR="001525E0">
        <w:t xml:space="preserve">it has recently been discovered that </w:t>
      </w:r>
      <w:r w:rsidRPr="00A73961">
        <w:t xml:space="preserve">SARS-CoV-2 uniquely possesses </w:t>
      </w:r>
      <w:r w:rsidRPr="00A73961">
        <w:rPr>
          <w:szCs w:val="22"/>
        </w:rPr>
        <w:t xml:space="preserve">a </w:t>
      </w:r>
      <w:r w:rsidRPr="00A73961">
        <w:t xml:space="preserve">functional </w:t>
      </w:r>
      <w:r w:rsidRPr="00A73961">
        <w:rPr>
          <w:b/>
          <w:bCs w:val="0"/>
        </w:rPr>
        <w:t>nuclear localization signal</w:t>
      </w:r>
      <w:r w:rsidRPr="00A73961">
        <w:t xml:space="preserve"> (NLS) motif “PRRARSV” between the spike protein S1 and S2 sub-units. This functional NLS motif enables SARS-CoV-2 spike proteins to </w:t>
      </w:r>
      <w:r w:rsidRPr="00A73961">
        <w:rPr>
          <w:b/>
          <w:bCs w:val="0"/>
        </w:rPr>
        <w:t>translocate into the nucleus</w:t>
      </w:r>
      <w:r w:rsidRPr="00A73961">
        <w:t xml:space="preserve"> in infected airway epithelial cells and </w:t>
      </w:r>
      <w:r>
        <w:t xml:space="preserve">to </w:t>
      </w:r>
      <w:r w:rsidRPr="00A73961">
        <w:t>potentially shuttle spike</w:t>
      </w:r>
      <w:r w:rsidR="00DD4755">
        <w:t xml:space="preserve"> protein</w:t>
      </w:r>
      <w:r w:rsidRPr="00A73961">
        <w:rPr>
          <w:b/>
          <w:bCs w:val="0"/>
        </w:rPr>
        <w:t xml:space="preserve"> mRNA</w:t>
      </w:r>
      <w:r>
        <w:rPr>
          <w:b/>
          <w:bCs w:val="0"/>
        </w:rPr>
        <w:t>,</w:t>
      </w:r>
      <w:r w:rsidRPr="00A73961">
        <w:rPr>
          <w:b/>
          <w:bCs w:val="0"/>
        </w:rPr>
        <w:t xml:space="preserve"> </w:t>
      </w:r>
      <w:r w:rsidRPr="00A73961">
        <w:t>and possibly the whole genome</w:t>
      </w:r>
      <w:r w:rsidRPr="00A96F5A">
        <w:t>, into the nucleus</w:t>
      </w:r>
      <w:r w:rsidRPr="00A73961">
        <w:t xml:space="preserve"> (preprint)</w:t>
      </w:r>
      <w:r w:rsidR="007A6A1D">
        <w:t>.</w:t>
      </w:r>
      <w:r w:rsidR="002414F7" w:rsidRPr="00A73961">
        <w:rPr>
          <w:rStyle w:val="EndnoteReference"/>
          <w:szCs w:val="22"/>
        </w:rPr>
        <w:endnoteReference w:id="330"/>
      </w:r>
      <w:r w:rsidR="007A6A1D">
        <w:t xml:space="preserve"> Its role in pathogenesis is not </w:t>
      </w:r>
      <w:r w:rsidR="002414F7">
        <w:t xml:space="preserve">publicly </w:t>
      </w:r>
      <w:r w:rsidR="007A6A1D">
        <w:t>understood</w:t>
      </w:r>
      <w:r w:rsidR="002414F7">
        <w:t xml:space="preserve"> yet</w:t>
      </w:r>
      <w:r w:rsidRPr="00A73961">
        <w:rPr>
          <w:szCs w:val="22"/>
        </w:rPr>
        <w:t xml:space="preserve">. This NLS motif </w:t>
      </w:r>
      <w:r w:rsidR="007A6A1D">
        <w:rPr>
          <w:szCs w:val="22"/>
        </w:rPr>
        <w:t xml:space="preserve">also comprises </w:t>
      </w:r>
      <w:r w:rsidRPr="00A73961">
        <w:rPr>
          <w:szCs w:val="22"/>
        </w:rPr>
        <w:t xml:space="preserve">the </w:t>
      </w:r>
      <w:r w:rsidR="004C3916">
        <w:rPr>
          <w:szCs w:val="22"/>
        </w:rPr>
        <w:t>uniquely encoded</w:t>
      </w:r>
      <w:r w:rsidRPr="00A73961">
        <w:rPr>
          <w:szCs w:val="22"/>
        </w:rPr>
        <w:t xml:space="preserve"> </w:t>
      </w:r>
      <w:r w:rsidR="004C3916">
        <w:rPr>
          <w:szCs w:val="22"/>
        </w:rPr>
        <w:t xml:space="preserve">Arginine-doublet containing </w:t>
      </w:r>
      <w:r w:rsidRPr="00A73961">
        <w:rPr>
          <w:szCs w:val="22"/>
        </w:rPr>
        <w:t>furin cleavage site (FCS</w:t>
      </w:r>
      <w:r w:rsidR="00DD4755">
        <w:rPr>
          <w:szCs w:val="22"/>
        </w:rPr>
        <w:t>, “</w:t>
      </w:r>
      <w:r w:rsidR="00DD4755" w:rsidRPr="00A73961">
        <w:t>PRRA</w:t>
      </w:r>
      <w:r w:rsidR="00DD4755">
        <w:rPr>
          <w:szCs w:val="22"/>
        </w:rPr>
        <w:t>”</w:t>
      </w:r>
      <w:r w:rsidRPr="00A73961">
        <w:rPr>
          <w:szCs w:val="22"/>
        </w:rPr>
        <w:t>) used by SARS</w:t>
      </w:r>
      <w:r w:rsidRPr="00C55C01">
        <w:rPr>
          <w:szCs w:val="22"/>
        </w:rPr>
        <w:t xml:space="preserve">-CoV-2 to gain </w:t>
      </w:r>
      <w:r w:rsidR="007A6A1D">
        <w:rPr>
          <w:szCs w:val="22"/>
        </w:rPr>
        <w:t>ACE2-mediated</w:t>
      </w:r>
      <w:r>
        <w:rPr>
          <w:szCs w:val="22"/>
        </w:rPr>
        <w:t xml:space="preserve"> </w:t>
      </w:r>
      <w:r w:rsidRPr="00C55C01">
        <w:rPr>
          <w:szCs w:val="22"/>
        </w:rPr>
        <w:t xml:space="preserve">cell entry. Furthermore, a 19-nucleotide genome portion </w:t>
      </w:r>
      <w:r>
        <w:rPr>
          <w:szCs w:val="22"/>
        </w:rPr>
        <w:t>comprising</w:t>
      </w:r>
      <w:r w:rsidRPr="00C55C01">
        <w:rPr>
          <w:szCs w:val="22"/>
        </w:rPr>
        <w:t xml:space="preserve"> th</w:t>
      </w:r>
      <w:r>
        <w:rPr>
          <w:szCs w:val="22"/>
        </w:rPr>
        <w:t>is</w:t>
      </w:r>
      <w:r w:rsidRPr="00C55C01">
        <w:rPr>
          <w:szCs w:val="22"/>
        </w:rPr>
        <w:t xml:space="preserve"> 12-nucleotide FCS was 100% matched with a patented </w:t>
      </w:r>
      <w:r w:rsidRPr="00A96F5A">
        <w:rPr>
          <w:b/>
          <w:bCs w:val="0"/>
          <w:szCs w:val="22"/>
        </w:rPr>
        <w:t>reverse complement artificial sequence</w:t>
      </w:r>
      <w:r w:rsidRPr="00C55C01">
        <w:rPr>
          <w:szCs w:val="22"/>
        </w:rPr>
        <w:t xml:space="preserve">. This </w:t>
      </w:r>
      <w:r>
        <w:rPr>
          <w:szCs w:val="22"/>
        </w:rPr>
        <w:t xml:space="preserve">Moderna </w:t>
      </w:r>
      <w:r w:rsidRPr="00C55C01">
        <w:rPr>
          <w:szCs w:val="22"/>
        </w:rPr>
        <w:t xml:space="preserve">patent covers oncology-related polypeptides </w:t>
      </w:r>
      <w:r>
        <w:rPr>
          <w:szCs w:val="22"/>
        </w:rPr>
        <w:t>containing</w:t>
      </w:r>
      <w:r w:rsidRPr="00C55C01">
        <w:rPr>
          <w:szCs w:val="22"/>
        </w:rPr>
        <w:t xml:space="preserve"> a</w:t>
      </w:r>
      <w:r>
        <w:rPr>
          <w:szCs w:val="22"/>
        </w:rPr>
        <w:t>n</w:t>
      </w:r>
      <w:r w:rsidRPr="00C55C01">
        <w:rPr>
          <w:szCs w:val="22"/>
        </w:rPr>
        <w:t xml:space="preserve"> </w:t>
      </w:r>
      <w:r>
        <w:rPr>
          <w:szCs w:val="22"/>
        </w:rPr>
        <w:t>FCS</w:t>
      </w:r>
      <w:r w:rsidRPr="00C55C01">
        <w:rPr>
          <w:szCs w:val="22"/>
        </w:rPr>
        <w:t xml:space="preserve"> and microRNA seed-complementary sites </w:t>
      </w:r>
      <w:r w:rsidRPr="00C55C01">
        <w:t>comprising 19-25 nucleotide non-coding RNAs containing a seed region</w:t>
      </w:r>
      <w:r w:rsidR="00497B61">
        <w:t xml:space="preserve">, which </w:t>
      </w:r>
      <w:r w:rsidRPr="00C55C01">
        <w:t>is</w:t>
      </w:r>
      <w:r w:rsidRPr="00A73961">
        <w:t xml:space="preserve"> </w:t>
      </w:r>
      <w:r w:rsidR="001525E0">
        <w:t xml:space="preserve">the </w:t>
      </w:r>
      <w:r w:rsidRPr="00A73961">
        <w:t xml:space="preserve">complement to a target sequence </w:t>
      </w:r>
      <w:r w:rsidR="00497B61">
        <w:t xml:space="preserve">that </w:t>
      </w:r>
      <w:r w:rsidRPr="00A73961">
        <w:t xml:space="preserve">can be used to </w:t>
      </w:r>
      <w:r w:rsidRPr="00A73961">
        <w:rPr>
          <w:b/>
          <w:bCs w:val="0"/>
        </w:rPr>
        <w:t>down-regulate gene expression</w:t>
      </w:r>
      <w:r w:rsidRPr="00A73961">
        <w:t xml:space="preserve"> </w:t>
      </w:r>
      <w:r w:rsidRPr="00A73961">
        <w:rPr>
          <w:szCs w:val="22"/>
        </w:rPr>
        <w:t>(</w:t>
      </w:r>
      <w:r>
        <w:rPr>
          <w:szCs w:val="22"/>
        </w:rPr>
        <w:t xml:space="preserve">cited in </w:t>
      </w:r>
      <w:r w:rsidRPr="00A73961">
        <w:rPr>
          <w:szCs w:val="22"/>
        </w:rPr>
        <w:t>section 2.2.1).</w:t>
      </w:r>
      <w:r>
        <w:rPr>
          <w:szCs w:val="22"/>
        </w:rPr>
        <w:t xml:space="preserve"> </w:t>
      </w:r>
      <w:r>
        <w:rPr>
          <w:rFonts w:cs="Times New Roman"/>
          <w:szCs w:val="22"/>
        </w:rPr>
        <w:t xml:space="preserve">Adding further concern to genotoxicity </w:t>
      </w:r>
      <w:r w:rsidR="007A6A1D">
        <w:rPr>
          <w:rFonts w:cs="Times New Roman"/>
          <w:szCs w:val="22"/>
        </w:rPr>
        <w:t xml:space="preserve">potential </w:t>
      </w:r>
      <w:r>
        <w:rPr>
          <w:rFonts w:cs="Times New Roman"/>
          <w:szCs w:val="22"/>
        </w:rPr>
        <w:t>are t</w:t>
      </w:r>
      <w:r w:rsidRPr="0017516E">
        <w:rPr>
          <w:rFonts w:cs="Times New Roman"/>
          <w:szCs w:val="22"/>
        </w:rPr>
        <w:t xml:space="preserve">wo recent </w:t>
      </w:r>
      <w:r w:rsidR="002414F7">
        <w:rPr>
          <w:rFonts w:cs="Times New Roman"/>
          <w:szCs w:val="22"/>
        </w:rPr>
        <w:t xml:space="preserve">controversial </w:t>
      </w:r>
      <w:r w:rsidRPr="0017516E">
        <w:rPr>
          <w:rFonts w:cs="Times New Roman"/>
          <w:szCs w:val="22"/>
        </w:rPr>
        <w:t xml:space="preserve">publications </w:t>
      </w:r>
      <w:r>
        <w:rPr>
          <w:rFonts w:cs="Times New Roman"/>
          <w:szCs w:val="22"/>
        </w:rPr>
        <w:t xml:space="preserve">that </w:t>
      </w:r>
      <w:r w:rsidRPr="0017516E">
        <w:rPr>
          <w:rFonts w:cs="Times New Roman"/>
          <w:szCs w:val="22"/>
        </w:rPr>
        <w:t>confirm Comirnaty’s modified mRNA and SARS-CoV-2</w:t>
      </w:r>
      <w:r w:rsidR="007A6A1D">
        <w:rPr>
          <w:rFonts w:cs="Times New Roman"/>
          <w:szCs w:val="22"/>
        </w:rPr>
        <w:t>’s</w:t>
      </w:r>
      <w:r w:rsidRPr="0017516E">
        <w:rPr>
          <w:rFonts w:cs="Times New Roman"/>
          <w:szCs w:val="22"/>
        </w:rPr>
        <w:t xml:space="preserve"> RNA are </w:t>
      </w:r>
      <w:r w:rsidRPr="00C55C01">
        <w:rPr>
          <w:rFonts w:cs="Times New Roman"/>
          <w:b/>
          <w:bCs w:val="0"/>
          <w:szCs w:val="22"/>
        </w:rPr>
        <w:t>reverse-transcribed into DNA</w:t>
      </w:r>
      <w:r w:rsidRPr="0017516E">
        <w:rPr>
          <w:rFonts w:cs="Times New Roman"/>
          <w:szCs w:val="22"/>
        </w:rPr>
        <w:t xml:space="preserve"> in human cells in-vitro</w:t>
      </w:r>
      <w:r>
        <w:rPr>
          <w:rFonts w:cs="Times New Roman"/>
          <w:szCs w:val="22"/>
        </w:rPr>
        <w:t>.</w:t>
      </w:r>
      <w:r w:rsidRPr="0017516E">
        <w:rPr>
          <w:rStyle w:val="EndnoteReference"/>
          <w:rFonts w:cs="Times New Roman"/>
          <w:szCs w:val="22"/>
        </w:rPr>
        <w:endnoteReference w:id="331"/>
      </w:r>
      <w:r w:rsidRPr="0017516E">
        <w:rPr>
          <w:rFonts w:cs="Times New Roman"/>
          <w:szCs w:val="22"/>
          <w:vertAlign w:val="superscript"/>
        </w:rPr>
        <w:t>,</w:t>
      </w:r>
      <w:r w:rsidRPr="0017516E">
        <w:rPr>
          <w:rStyle w:val="EndnoteReference"/>
        </w:rPr>
        <w:endnoteReference w:id="332"/>
      </w:r>
      <w:r w:rsidRPr="0017516E">
        <w:rPr>
          <w:rFonts w:cs="Times New Roman"/>
          <w:szCs w:val="22"/>
        </w:rPr>
        <w:t xml:space="preserve"> </w:t>
      </w:r>
    </w:p>
    <w:p w14:paraId="6154D924" w14:textId="49B3188E" w:rsidR="0017516E" w:rsidRDefault="007A6A1D" w:rsidP="0017516E">
      <w:pPr>
        <w:rPr>
          <w:rFonts w:cs="Times New Roman"/>
          <w:szCs w:val="22"/>
        </w:rPr>
      </w:pPr>
      <w:r>
        <w:rPr>
          <w:rFonts w:cs="Times New Roman"/>
          <w:szCs w:val="22"/>
        </w:rPr>
        <w:t xml:space="preserve">As a </w:t>
      </w:r>
      <w:r w:rsidRPr="002414F7">
        <w:rPr>
          <w:rFonts w:cs="Times New Roman"/>
          <w:b/>
          <w:bCs w:val="0"/>
          <w:szCs w:val="22"/>
        </w:rPr>
        <w:t>general comment</w:t>
      </w:r>
      <w:r>
        <w:rPr>
          <w:rFonts w:cs="Times New Roman"/>
          <w:szCs w:val="22"/>
        </w:rPr>
        <w:t>, while</w:t>
      </w:r>
      <w:r w:rsidR="00B103D5">
        <w:rPr>
          <w:rFonts w:cs="Times New Roman"/>
          <w:szCs w:val="22"/>
        </w:rPr>
        <w:t xml:space="preserve"> there may be no</w:t>
      </w:r>
      <w:r w:rsidR="004245BA">
        <w:rPr>
          <w:rFonts w:cs="Times New Roman"/>
          <w:szCs w:val="22"/>
        </w:rPr>
        <w:t>-</w:t>
      </w:r>
      <w:r w:rsidR="009B5F07">
        <w:rPr>
          <w:rFonts w:cs="Times New Roman"/>
          <w:szCs w:val="22"/>
        </w:rPr>
        <w:t xml:space="preserve">, </w:t>
      </w:r>
      <w:r w:rsidR="004245BA">
        <w:rPr>
          <w:rFonts w:cs="Times New Roman"/>
          <w:szCs w:val="22"/>
        </w:rPr>
        <w:t>little</w:t>
      </w:r>
      <w:r w:rsidR="0029424B">
        <w:rPr>
          <w:rFonts w:cs="Times New Roman"/>
          <w:szCs w:val="22"/>
        </w:rPr>
        <w:t>-</w:t>
      </w:r>
      <w:r w:rsidR="009B5F07">
        <w:rPr>
          <w:rFonts w:cs="Times New Roman"/>
          <w:szCs w:val="22"/>
        </w:rPr>
        <w:t>,</w:t>
      </w:r>
      <w:r w:rsidR="00B103D5">
        <w:rPr>
          <w:rFonts w:cs="Times New Roman"/>
          <w:szCs w:val="22"/>
        </w:rPr>
        <w:t xml:space="preserve"> </w:t>
      </w:r>
      <w:r w:rsidR="0029424B">
        <w:rPr>
          <w:rFonts w:cs="Times New Roman"/>
          <w:szCs w:val="22"/>
        </w:rPr>
        <w:t xml:space="preserve">or controversial- </w:t>
      </w:r>
      <w:r w:rsidR="00A96F5A">
        <w:rPr>
          <w:rFonts w:cs="Times New Roman"/>
          <w:szCs w:val="22"/>
        </w:rPr>
        <w:t>literature</w:t>
      </w:r>
      <w:r w:rsidR="00B103D5">
        <w:rPr>
          <w:rFonts w:cs="Times New Roman"/>
          <w:szCs w:val="22"/>
        </w:rPr>
        <w:t xml:space="preserve"> to </w:t>
      </w:r>
      <w:r w:rsidR="0029424B">
        <w:rPr>
          <w:rFonts w:cs="Times New Roman"/>
          <w:szCs w:val="22"/>
        </w:rPr>
        <w:t>support</w:t>
      </w:r>
      <w:r w:rsidR="00B103D5">
        <w:rPr>
          <w:rFonts w:cs="Times New Roman"/>
          <w:szCs w:val="22"/>
        </w:rPr>
        <w:t xml:space="preserve"> </w:t>
      </w:r>
      <w:r w:rsidR="009B5F07">
        <w:rPr>
          <w:rFonts w:cs="Times New Roman"/>
          <w:szCs w:val="22"/>
        </w:rPr>
        <w:t xml:space="preserve">or refute </w:t>
      </w:r>
      <w:r w:rsidR="00B103D5">
        <w:rPr>
          <w:rFonts w:cs="Times New Roman"/>
          <w:szCs w:val="22"/>
        </w:rPr>
        <w:t xml:space="preserve">spike protein mRNA reverse transcription </w:t>
      </w:r>
      <w:r w:rsidR="001525E0">
        <w:rPr>
          <w:rFonts w:cs="Times New Roman"/>
          <w:szCs w:val="22"/>
        </w:rPr>
        <w:t>and</w:t>
      </w:r>
      <w:r w:rsidR="00B103D5">
        <w:rPr>
          <w:rFonts w:cs="Times New Roman"/>
          <w:szCs w:val="22"/>
        </w:rPr>
        <w:t xml:space="preserve"> </w:t>
      </w:r>
      <w:r w:rsidR="00C55C01">
        <w:rPr>
          <w:rFonts w:cs="Times New Roman"/>
          <w:szCs w:val="22"/>
        </w:rPr>
        <w:t xml:space="preserve">even </w:t>
      </w:r>
      <w:r w:rsidR="009B5F07">
        <w:rPr>
          <w:rFonts w:cs="Times New Roman"/>
          <w:szCs w:val="22"/>
        </w:rPr>
        <w:t xml:space="preserve">its </w:t>
      </w:r>
      <w:r w:rsidR="00B103D5">
        <w:rPr>
          <w:rFonts w:cs="Times New Roman"/>
          <w:szCs w:val="22"/>
        </w:rPr>
        <w:t>gen</w:t>
      </w:r>
      <w:r w:rsidR="00C55C01">
        <w:rPr>
          <w:rFonts w:cs="Times New Roman"/>
          <w:szCs w:val="22"/>
        </w:rPr>
        <w:t xml:space="preserve">ome integration </w:t>
      </w:r>
      <w:r w:rsidR="001525E0">
        <w:rPr>
          <w:rFonts w:cs="Times New Roman"/>
          <w:szCs w:val="22"/>
        </w:rPr>
        <w:t>and</w:t>
      </w:r>
      <w:r w:rsidR="00C55C01">
        <w:rPr>
          <w:rFonts w:cs="Times New Roman"/>
          <w:szCs w:val="22"/>
        </w:rPr>
        <w:t xml:space="preserve"> gene</w:t>
      </w:r>
      <w:r w:rsidR="00B103D5">
        <w:rPr>
          <w:rFonts w:cs="Times New Roman"/>
          <w:szCs w:val="22"/>
        </w:rPr>
        <w:t xml:space="preserve"> transfer</w:t>
      </w:r>
      <w:r w:rsidR="0029424B">
        <w:rPr>
          <w:rFonts w:cs="Times New Roman"/>
          <w:szCs w:val="22"/>
        </w:rPr>
        <w:t xml:space="preserve"> potential</w:t>
      </w:r>
      <w:r w:rsidR="00B103D5">
        <w:rPr>
          <w:rFonts w:cs="Times New Roman"/>
          <w:szCs w:val="22"/>
        </w:rPr>
        <w:t>,</w:t>
      </w:r>
      <w:r w:rsidR="00C55C01" w:rsidRPr="007A6A1D">
        <w:rPr>
          <w:rStyle w:val="EndnoteReference"/>
          <w:rFonts w:cs="Times New Roman"/>
          <w:szCs w:val="22"/>
        </w:rPr>
        <w:endnoteReference w:id="333"/>
      </w:r>
      <w:r w:rsidR="00C55C01" w:rsidRPr="007A6A1D">
        <w:rPr>
          <w:rFonts w:cs="Times New Roman"/>
          <w:szCs w:val="22"/>
          <w:vertAlign w:val="superscript"/>
        </w:rPr>
        <w:t>,</w:t>
      </w:r>
      <w:r w:rsidR="00C55C01" w:rsidRPr="007A6A1D">
        <w:rPr>
          <w:rStyle w:val="EndnoteReference"/>
          <w:rFonts w:cs="Times New Roman"/>
          <w:szCs w:val="22"/>
        </w:rPr>
        <w:endnoteReference w:id="334"/>
      </w:r>
      <w:r w:rsidR="00C55C01">
        <w:rPr>
          <w:rFonts w:cs="Times New Roman"/>
          <w:szCs w:val="22"/>
        </w:rPr>
        <w:t xml:space="preserve"> </w:t>
      </w:r>
      <w:r w:rsidR="00B103D5">
        <w:rPr>
          <w:rFonts w:cs="Times New Roman"/>
          <w:szCs w:val="22"/>
        </w:rPr>
        <w:t xml:space="preserve"> </w:t>
      </w:r>
      <w:r w:rsidR="002414F7">
        <w:rPr>
          <w:rFonts w:cs="Times New Roman"/>
          <w:szCs w:val="22"/>
        </w:rPr>
        <w:t xml:space="preserve">or the confirmed biological role of </w:t>
      </w:r>
      <w:r w:rsidR="002414F7" w:rsidRPr="002414F7">
        <w:rPr>
          <w:rFonts w:cs="Times New Roman"/>
          <w:szCs w:val="22"/>
        </w:rPr>
        <w:t xml:space="preserve">nuclear localization signal </w:t>
      </w:r>
      <w:r w:rsidR="002414F7">
        <w:rPr>
          <w:rFonts w:cs="Times New Roman"/>
          <w:szCs w:val="22"/>
        </w:rPr>
        <w:t xml:space="preserve">and </w:t>
      </w:r>
      <w:r w:rsidR="002414F7" w:rsidRPr="00C55C01">
        <w:rPr>
          <w:szCs w:val="22"/>
        </w:rPr>
        <w:t>microRNA seed-complementary sites</w:t>
      </w:r>
      <w:r w:rsidR="002414F7">
        <w:rPr>
          <w:szCs w:val="22"/>
        </w:rPr>
        <w:t xml:space="preserve">, </w:t>
      </w:r>
      <w:r w:rsidR="00DD4755">
        <w:rPr>
          <w:rFonts w:cs="Times New Roman"/>
          <w:szCs w:val="22"/>
        </w:rPr>
        <w:t>this</w:t>
      </w:r>
      <w:r w:rsidR="00B103D5">
        <w:rPr>
          <w:rFonts w:cs="Times New Roman"/>
          <w:szCs w:val="22"/>
        </w:rPr>
        <w:t xml:space="preserve"> </w:t>
      </w:r>
      <w:r w:rsidR="00B103D5">
        <w:rPr>
          <w:rFonts w:cs="Times New Roman"/>
          <w:szCs w:val="22"/>
        </w:rPr>
        <w:lastRenderedPageBreak/>
        <w:t xml:space="preserve">may </w:t>
      </w:r>
      <w:r>
        <w:rPr>
          <w:rFonts w:cs="Times New Roman"/>
          <w:szCs w:val="22"/>
        </w:rPr>
        <w:t>reflect that</w:t>
      </w:r>
      <w:r w:rsidR="00B103D5">
        <w:rPr>
          <w:rFonts w:cs="Times New Roman"/>
          <w:szCs w:val="22"/>
        </w:rPr>
        <w:t xml:space="preserve"> research was not permitted to be conducted or </w:t>
      </w:r>
      <w:r w:rsidR="002414F7">
        <w:rPr>
          <w:rFonts w:cs="Times New Roman"/>
          <w:szCs w:val="22"/>
        </w:rPr>
        <w:t xml:space="preserve">be </w:t>
      </w:r>
      <w:r w:rsidR="00B103D5">
        <w:rPr>
          <w:rFonts w:cs="Times New Roman"/>
          <w:szCs w:val="22"/>
        </w:rPr>
        <w:t>published</w:t>
      </w:r>
      <w:r w:rsidR="002414F7">
        <w:rPr>
          <w:rFonts w:cs="Times New Roman"/>
          <w:szCs w:val="22"/>
        </w:rPr>
        <w:t>. This, in m</w:t>
      </w:r>
      <w:r w:rsidR="00DD4755">
        <w:rPr>
          <w:rFonts w:cs="Times New Roman"/>
          <w:szCs w:val="22"/>
        </w:rPr>
        <w:t>y</w:t>
      </w:r>
      <w:r w:rsidR="002414F7">
        <w:rPr>
          <w:rFonts w:cs="Times New Roman"/>
          <w:szCs w:val="22"/>
        </w:rPr>
        <w:t xml:space="preserve"> view</w:t>
      </w:r>
      <w:r w:rsidR="009B5F07">
        <w:rPr>
          <w:rFonts w:cs="Times New Roman"/>
          <w:szCs w:val="22"/>
        </w:rPr>
        <w:t xml:space="preserve">, </w:t>
      </w:r>
      <w:r w:rsidR="002414F7">
        <w:rPr>
          <w:rFonts w:cs="Times New Roman"/>
          <w:szCs w:val="22"/>
        </w:rPr>
        <w:t>would be</w:t>
      </w:r>
      <w:r w:rsidR="00C55C01">
        <w:rPr>
          <w:rFonts w:cs="Times New Roman"/>
          <w:szCs w:val="22"/>
        </w:rPr>
        <w:t xml:space="preserve"> typical of</w:t>
      </w:r>
      <w:r w:rsidR="009B5F07">
        <w:rPr>
          <w:rFonts w:cs="Times New Roman"/>
          <w:szCs w:val="22"/>
        </w:rPr>
        <w:t xml:space="preserve"> industry</w:t>
      </w:r>
      <w:r w:rsidR="00C55C01">
        <w:rPr>
          <w:rFonts w:cs="Times New Roman"/>
          <w:szCs w:val="22"/>
        </w:rPr>
        <w:t xml:space="preserve"> </w:t>
      </w:r>
      <w:r w:rsidR="002414F7">
        <w:rPr>
          <w:rFonts w:cs="Times New Roman"/>
          <w:szCs w:val="22"/>
        </w:rPr>
        <w:t>and</w:t>
      </w:r>
      <w:r w:rsidR="00C55C01">
        <w:rPr>
          <w:rFonts w:cs="Times New Roman"/>
          <w:szCs w:val="22"/>
        </w:rPr>
        <w:t xml:space="preserve"> </w:t>
      </w:r>
      <w:r w:rsidR="001525E0">
        <w:rPr>
          <w:rFonts w:cs="Times New Roman"/>
          <w:szCs w:val="22"/>
        </w:rPr>
        <w:t>science paradigms</w:t>
      </w:r>
      <w:r w:rsidR="00C55C01">
        <w:rPr>
          <w:rFonts w:cs="Times New Roman"/>
          <w:szCs w:val="22"/>
        </w:rPr>
        <w:t xml:space="preserve"> being centrally controlled (i.e., COVID-19, climate change, </w:t>
      </w:r>
      <w:r w:rsidR="00DD4755">
        <w:rPr>
          <w:rFonts w:cs="Times New Roman"/>
          <w:szCs w:val="22"/>
        </w:rPr>
        <w:t>geoengineering</w:t>
      </w:r>
      <w:r w:rsidR="001525E0">
        <w:rPr>
          <w:rFonts w:cs="Times New Roman"/>
          <w:szCs w:val="22"/>
        </w:rPr>
        <w:t xml:space="preserve"> climate change</w:t>
      </w:r>
      <w:r w:rsidR="00DD4755">
        <w:rPr>
          <w:rFonts w:cs="Times New Roman"/>
          <w:szCs w:val="22"/>
        </w:rPr>
        <w:t xml:space="preserve">, </w:t>
      </w:r>
      <w:r w:rsidR="00C55C01">
        <w:rPr>
          <w:rFonts w:cs="Times New Roman"/>
          <w:szCs w:val="22"/>
        </w:rPr>
        <w:t>fossil fuel reserves).</w:t>
      </w:r>
      <w:r w:rsidR="00B103D5">
        <w:rPr>
          <w:rFonts w:cs="Times New Roman"/>
          <w:szCs w:val="22"/>
        </w:rPr>
        <w:t xml:space="preserve"> That </w:t>
      </w:r>
      <w:r w:rsidR="00375F12">
        <w:rPr>
          <w:rFonts w:cs="Times New Roman"/>
          <w:szCs w:val="22"/>
        </w:rPr>
        <w:t>does not evidence</w:t>
      </w:r>
      <w:r w:rsidR="00B103D5" w:rsidRPr="00B103D5">
        <w:rPr>
          <w:rFonts w:cs="Times New Roman"/>
          <w:b/>
          <w:bCs w:val="0"/>
          <w:szCs w:val="22"/>
        </w:rPr>
        <w:t xml:space="preserve"> that </w:t>
      </w:r>
      <w:r w:rsidR="004245BA">
        <w:rPr>
          <w:rFonts w:cs="Times New Roman"/>
          <w:b/>
          <w:bCs w:val="0"/>
          <w:szCs w:val="22"/>
        </w:rPr>
        <w:t>such</w:t>
      </w:r>
      <w:r w:rsidR="00B103D5" w:rsidRPr="00B103D5">
        <w:rPr>
          <w:rFonts w:cs="Times New Roman"/>
          <w:b/>
          <w:bCs w:val="0"/>
          <w:szCs w:val="22"/>
        </w:rPr>
        <w:t xml:space="preserve"> things do</w:t>
      </w:r>
      <w:r w:rsidR="00B103D5">
        <w:rPr>
          <w:rFonts w:cs="Times New Roman"/>
          <w:b/>
          <w:bCs w:val="0"/>
          <w:szCs w:val="22"/>
        </w:rPr>
        <w:t>n’</w:t>
      </w:r>
      <w:r w:rsidR="00B103D5" w:rsidRPr="00B103D5">
        <w:rPr>
          <w:rFonts w:cs="Times New Roman"/>
          <w:b/>
          <w:bCs w:val="0"/>
          <w:szCs w:val="22"/>
        </w:rPr>
        <w:t>t occur</w:t>
      </w:r>
      <w:r w:rsidR="00B103D5">
        <w:rPr>
          <w:rFonts w:cs="Times New Roman"/>
          <w:szCs w:val="22"/>
        </w:rPr>
        <w:t>.</w:t>
      </w:r>
    </w:p>
    <w:p w14:paraId="143DCCBF" w14:textId="477503D9" w:rsidR="00D517A0" w:rsidRPr="007D0D8F" w:rsidRDefault="00D83DB3" w:rsidP="00660BB8">
      <w:pPr>
        <w:pStyle w:val="Heading2"/>
      </w:pPr>
      <w:bookmarkStart w:id="134" w:name="_Toc509513499"/>
      <w:bookmarkStart w:id="135" w:name="_Toc510678516"/>
      <w:bookmarkStart w:id="136" w:name="_Toc510880020"/>
      <w:bookmarkStart w:id="137" w:name="_Toc512275149"/>
      <w:bookmarkStart w:id="138" w:name="_Toc516645053"/>
      <w:bookmarkStart w:id="139" w:name="_Toc512360366"/>
      <w:bookmarkStart w:id="140" w:name="_Toc111368010"/>
      <w:bookmarkStart w:id="141" w:name="_Toc121035139"/>
      <w:r>
        <w:t xml:space="preserve">The </w:t>
      </w:r>
      <w:r w:rsidR="000844E6">
        <w:t xml:space="preserve">Clinical </w:t>
      </w:r>
      <w:r w:rsidR="00830255">
        <w:t xml:space="preserve">Efficacy </w:t>
      </w:r>
      <w:r>
        <w:t>and</w:t>
      </w:r>
      <w:r w:rsidR="00830255">
        <w:t xml:space="preserve"> Safety</w:t>
      </w:r>
      <w:r w:rsidR="008D3C6B" w:rsidRPr="007D0D8F">
        <w:t xml:space="preserve"> </w:t>
      </w:r>
      <w:r w:rsidR="00495E23">
        <w:t xml:space="preserve">Claims </w:t>
      </w:r>
      <w:bookmarkEnd w:id="134"/>
      <w:bookmarkEnd w:id="135"/>
      <w:bookmarkEnd w:id="136"/>
      <w:bookmarkEnd w:id="137"/>
      <w:bookmarkEnd w:id="138"/>
      <w:bookmarkEnd w:id="139"/>
      <w:bookmarkEnd w:id="140"/>
      <w:r>
        <w:t>for Comirnaty</w:t>
      </w:r>
      <w:r w:rsidRPr="007D0D8F">
        <w:t xml:space="preserve"> </w:t>
      </w:r>
      <w:r w:rsidR="00427E2A">
        <w:t>at</w:t>
      </w:r>
      <w:r w:rsidR="00D317E7">
        <w:t xml:space="preserve"> EUA </w:t>
      </w:r>
      <w:r>
        <w:t xml:space="preserve">Approval </w:t>
      </w:r>
      <w:r w:rsidR="003B0B8A">
        <w:t>Were Falsifiable</w:t>
      </w:r>
      <w:bookmarkEnd w:id="141"/>
    </w:p>
    <w:p w14:paraId="2C3AC6B7" w14:textId="53103D0C" w:rsidR="004D5D48" w:rsidRPr="00170FFF" w:rsidRDefault="009A230B" w:rsidP="008C76FE">
      <w:pPr>
        <w:rPr>
          <w:szCs w:val="22"/>
        </w:rPr>
      </w:pPr>
      <w:r w:rsidRPr="00170FFF">
        <w:rPr>
          <w:szCs w:val="22"/>
        </w:rPr>
        <w:t>Reviewing the overseas population-level vaccine effectiveness and safety-mortality data in 2022</w:t>
      </w:r>
      <w:r w:rsidR="00926F81" w:rsidRPr="00170FFF">
        <w:rPr>
          <w:szCs w:val="22"/>
        </w:rPr>
        <w:t xml:space="preserve"> behooves us</w:t>
      </w:r>
      <w:r w:rsidR="00BD53B9" w:rsidRPr="00170FFF">
        <w:rPr>
          <w:szCs w:val="22"/>
        </w:rPr>
        <w:t xml:space="preserve"> </w:t>
      </w:r>
      <w:r w:rsidR="00926F81" w:rsidRPr="00170FFF">
        <w:rPr>
          <w:szCs w:val="22"/>
        </w:rPr>
        <w:t>to</w:t>
      </w:r>
      <w:r w:rsidR="00BD53B9" w:rsidRPr="00170FFF">
        <w:rPr>
          <w:szCs w:val="22"/>
        </w:rPr>
        <w:t xml:space="preserve"> explain the </w:t>
      </w:r>
      <w:r w:rsidR="00DD4755" w:rsidRPr="00170FFF">
        <w:rPr>
          <w:b/>
          <w:bCs w:val="0"/>
          <w:szCs w:val="22"/>
        </w:rPr>
        <w:t>vast c</w:t>
      </w:r>
      <w:r w:rsidR="00F517E4" w:rsidRPr="00170FFF">
        <w:rPr>
          <w:b/>
          <w:bCs w:val="0"/>
          <w:szCs w:val="22"/>
        </w:rPr>
        <w:t xml:space="preserve">hasm </w:t>
      </w:r>
      <w:r w:rsidR="00BD53B9" w:rsidRPr="00170FFF">
        <w:rPr>
          <w:szCs w:val="22"/>
        </w:rPr>
        <w:t xml:space="preserve">between what has arisen </w:t>
      </w:r>
      <w:r w:rsidR="00DD1626" w:rsidRPr="00170FFF">
        <w:rPr>
          <w:szCs w:val="22"/>
        </w:rPr>
        <w:t xml:space="preserve">in </w:t>
      </w:r>
      <w:r w:rsidR="00057AED" w:rsidRPr="00170FFF">
        <w:rPr>
          <w:szCs w:val="22"/>
        </w:rPr>
        <w:t xml:space="preserve">2022 </w:t>
      </w:r>
      <w:r w:rsidR="00926F81" w:rsidRPr="00170FFF">
        <w:rPr>
          <w:szCs w:val="22"/>
        </w:rPr>
        <w:t>versus</w:t>
      </w:r>
      <w:r w:rsidR="00BD53B9" w:rsidRPr="00170FFF">
        <w:rPr>
          <w:szCs w:val="22"/>
        </w:rPr>
        <w:t xml:space="preserve"> the </w:t>
      </w:r>
      <w:r w:rsidR="00751AA3" w:rsidRPr="00170FFF">
        <w:rPr>
          <w:szCs w:val="22"/>
        </w:rPr>
        <w:t xml:space="preserve">claimed </w:t>
      </w:r>
      <w:r w:rsidR="00803CBC" w:rsidRPr="00170FFF">
        <w:rPr>
          <w:szCs w:val="22"/>
        </w:rPr>
        <w:t xml:space="preserve">95% efficacy and safety </w:t>
      </w:r>
      <w:r w:rsidR="00BD53B9" w:rsidRPr="00170FFF">
        <w:rPr>
          <w:szCs w:val="22"/>
        </w:rPr>
        <w:t xml:space="preserve">narrative </w:t>
      </w:r>
      <w:r w:rsidR="003264ED" w:rsidRPr="00170FFF">
        <w:rPr>
          <w:szCs w:val="22"/>
        </w:rPr>
        <w:t>touted with</w:t>
      </w:r>
      <w:r w:rsidR="00803CBC" w:rsidRPr="00170FFF">
        <w:rPr>
          <w:szCs w:val="22"/>
        </w:rPr>
        <w:t xml:space="preserve"> </w:t>
      </w:r>
      <w:r w:rsidR="0010408B" w:rsidRPr="00170FFF">
        <w:rPr>
          <w:szCs w:val="22"/>
        </w:rPr>
        <w:t xml:space="preserve">the </w:t>
      </w:r>
      <w:r w:rsidR="00E01D37" w:rsidRPr="00170FFF">
        <w:rPr>
          <w:szCs w:val="22"/>
        </w:rPr>
        <w:t xml:space="preserve">first </w:t>
      </w:r>
      <w:r w:rsidR="00803CBC" w:rsidRPr="00170FFF">
        <w:rPr>
          <w:szCs w:val="22"/>
        </w:rPr>
        <w:t>Emergency Use Authorization (EUA)</w:t>
      </w:r>
      <w:r w:rsidR="00FE1E0E" w:rsidRPr="00170FFF">
        <w:rPr>
          <w:szCs w:val="22"/>
        </w:rPr>
        <w:t xml:space="preserve"> </w:t>
      </w:r>
      <w:r w:rsidR="00E01D37" w:rsidRPr="00170FFF">
        <w:rPr>
          <w:szCs w:val="22"/>
        </w:rPr>
        <w:t xml:space="preserve">of </w:t>
      </w:r>
      <w:r w:rsidR="00572563" w:rsidRPr="00170FFF">
        <w:rPr>
          <w:szCs w:val="22"/>
        </w:rPr>
        <w:t>COVID-19</w:t>
      </w:r>
      <w:r w:rsidR="00E01D37" w:rsidRPr="00170FFF">
        <w:rPr>
          <w:szCs w:val="22"/>
        </w:rPr>
        <w:t xml:space="preserve"> vaccines. </w:t>
      </w:r>
      <w:r w:rsidR="004D5D48" w:rsidRPr="00170FFF">
        <w:rPr>
          <w:szCs w:val="22"/>
        </w:rPr>
        <w:t xml:space="preserve">In </w:t>
      </w:r>
      <w:r w:rsidR="00630474" w:rsidRPr="00170FFF">
        <w:rPr>
          <w:szCs w:val="22"/>
        </w:rPr>
        <w:t>my opinion</w:t>
      </w:r>
      <w:r w:rsidR="004D5D48" w:rsidRPr="00170FFF">
        <w:rPr>
          <w:szCs w:val="22"/>
        </w:rPr>
        <w:t xml:space="preserve">, </w:t>
      </w:r>
      <w:r w:rsidR="00E01D37" w:rsidRPr="00170FFF">
        <w:rPr>
          <w:szCs w:val="22"/>
        </w:rPr>
        <w:t xml:space="preserve">on </w:t>
      </w:r>
      <w:r w:rsidR="00FE1E0E" w:rsidRPr="00170FFF">
        <w:rPr>
          <w:szCs w:val="22"/>
        </w:rPr>
        <w:t xml:space="preserve">the </w:t>
      </w:r>
      <w:r w:rsidR="00D03D27" w:rsidRPr="00170FFF">
        <w:rPr>
          <w:szCs w:val="22"/>
        </w:rPr>
        <w:t>2020</w:t>
      </w:r>
      <w:r w:rsidR="00FE1E0E" w:rsidRPr="00170FFF">
        <w:rPr>
          <w:szCs w:val="22"/>
        </w:rPr>
        <w:t xml:space="preserve"> side of </w:t>
      </w:r>
      <w:r w:rsidR="00DD1626" w:rsidRPr="00170FFF">
        <w:rPr>
          <w:szCs w:val="22"/>
        </w:rPr>
        <w:t xml:space="preserve">this </w:t>
      </w:r>
      <w:r w:rsidR="00F517E4" w:rsidRPr="00170FFF">
        <w:rPr>
          <w:szCs w:val="22"/>
        </w:rPr>
        <w:t xml:space="preserve">chasm </w:t>
      </w:r>
      <w:r w:rsidR="00E01D37" w:rsidRPr="00170FFF">
        <w:rPr>
          <w:szCs w:val="22"/>
        </w:rPr>
        <w:t>of</w:t>
      </w:r>
      <w:r w:rsidR="00803CBC" w:rsidRPr="00170FFF">
        <w:rPr>
          <w:szCs w:val="22"/>
        </w:rPr>
        <w:t xml:space="preserve"> </w:t>
      </w:r>
      <w:r w:rsidR="00F517E4" w:rsidRPr="00170FFF">
        <w:rPr>
          <w:szCs w:val="22"/>
        </w:rPr>
        <w:t>diffe</w:t>
      </w:r>
      <w:r w:rsidR="00803CBC" w:rsidRPr="00170FFF">
        <w:rPr>
          <w:szCs w:val="22"/>
        </w:rPr>
        <w:t xml:space="preserve">rence </w:t>
      </w:r>
      <w:r w:rsidR="00E01D37" w:rsidRPr="00170FFF">
        <w:rPr>
          <w:szCs w:val="22"/>
        </w:rPr>
        <w:t xml:space="preserve">for Comirnaty </w:t>
      </w:r>
      <w:r w:rsidR="005F0E26" w:rsidRPr="00170FFF">
        <w:rPr>
          <w:szCs w:val="22"/>
        </w:rPr>
        <w:t>(</w:t>
      </w:r>
      <w:r w:rsidR="009B5F07" w:rsidRPr="00170FFF">
        <w:rPr>
          <w:szCs w:val="22"/>
        </w:rPr>
        <w:t xml:space="preserve">i.e., </w:t>
      </w:r>
      <w:r w:rsidR="009B5F07" w:rsidRPr="00170FFF">
        <w:rPr>
          <w:i/>
          <w:iCs/>
          <w:szCs w:val="22"/>
        </w:rPr>
        <w:t xml:space="preserve">my primary focus </w:t>
      </w:r>
      <w:r w:rsidR="005F0E26" w:rsidRPr="00170FFF">
        <w:rPr>
          <w:i/>
          <w:iCs/>
          <w:szCs w:val="22"/>
        </w:rPr>
        <w:t xml:space="preserve">for </w:t>
      </w:r>
      <w:r w:rsidR="006D51D5" w:rsidRPr="00170FFF">
        <w:rPr>
          <w:i/>
          <w:iCs/>
          <w:szCs w:val="22"/>
        </w:rPr>
        <w:t>reasons detailed in the Section 1 introduction</w:t>
      </w:r>
      <w:r w:rsidR="005F0E26" w:rsidRPr="00170FFF">
        <w:rPr>
          <w:szCs w:val="22"/>
        </w:rPr>
        <w:t xml:space="preserve">) </w:t>
      </w:r>
      <w:r w:rsidR="005B52BC" w:rsidRPr="00170FFF">
        <w:rPr>
          <w:szCs w:val="22"/>
        </w:rPr>
        <w:t>lays a</w:t>
      </w:r>
      <w:r w:rsidR="00953C1F" w:rsidRPr="00170FFF">
        <w:rPr>
          <w:szCs w:val="22"/>
        </w:rPr>
        <w:t xml:space="preserve"> </w:t>
      </w:r>
      <w:r w:rsidR="005B52BC" w:rsidRPr="00170FFF">
        <w:rPr>
          <w:szCs w:val="22"/>
        </w:rPr>
        <w:t>claim</w:t>
      </w:r>
      <w:r w:rsidR="00953C1F" w:rsidRPr="00170FFF">
        <w:rPr>
          <w:szCs w:val="22"/>
        </w:rPr>
        <w:t xml:space="preserve"> </w:t>
      </w:r>
      <w:r w:rsidR="005B52BC" w:rsidRPr="00170FFF">
        <w:rPr>
          <w:szCs w:val="22"/>
        </w:rPr>
        <w:t xml:space="preserve">of 95% vaccine efficacy and vaccine safety that </w:t>
      </w:r>
      <w:r w:rsidR="009B5F07" w:rsidRPr="00170FFF">
        <w:rPr>
          <w:szCs w:val="22"/>
        </w:rPr>
        <w:t>wa</w:t>
      </w:r>
      <w:r w:rsidR="005B52BC" w:rsidRPr="00170FFF">
        <w:rPr>
          <w:szCs w:val="22"/>
        </w:rPr>
        <w:t xml:space="preserve">s </w:t>
      </w:r>
      <w:r w:rsidR="00C45D5E" w:rsidRPr="00170FFF">
        <w:rPr>
          <w:b/>
          <w:bCs w:val="0"/>
          <w:szCs w:val="22"/>
        </w:rPr>
        <w:t>falsifiable-refutable</w:t>
      </w:r>
      <w:r w:rsidR="009B5F07" w:rsidRPr="00170FFF">
        <w:rPr>
          <w:szCs w:val="22"/>
        </w:rPr>
        <w:t xml:space="preserve"> from the outset</w:t>
      </w:r>
      <w:r w:rsidR="005B52BC" w:rsidRPr="00170FFF">
        <w:rPr>
          <w:szCs w:val="22"/>
        </w:rPr>
        <w:t>, based on</w:t>
      </w:r>
      <w:r w:rsidR="00173FB3" w:rsidRPr="00170FFF">
        <w:rPr>
          <w:szCs w:val="22"/>
        </w:rPr>
        <w:t xml:space="preserve">: </w:t>
      </w:r>
      <w:r w:rsidR="00173FB3" w:rsidRPr="00170FFF">
        <w:rPr>
          <w:b/>
          <w:bCs w:val="0"/>
          <w:szCs w:val="22"/>
        </w:rPr>
        <w:t>(1)</w:t>
      </w:r>
      <w:r w:rsidR="00803CBC" w:rsidRPr="00170FFF">
        <w:rPr>
          <w:szCs w:val="22"/>
        </w:rPr>
        <w:t xml:space="preserve"> </w:t>
      </w:r>
      <w:r w:rsidR="00E01D37" w:rsidRPr="00170FFF">
        <w:rPr>
          <w:szCs w:val="22"/>
        </w:rPr>
        <w:t xml:space="preserve">the use of </w:t>
      </w:r>
      <w:r w:rsidR="00275789" w:rsidRPr="00170FFF">
        <w:rPr>
          <w:szCs w:val="22"/>
        </w:rPr>
        <w:t>high false-</w:t>
      </w:r>
      <w:r w:rsidR="00E8406F" w:rsidRPr="00170FFF">
        <w:rPr>
          <w:szCs w:val="22"/>
        </w:rPr>
        <w:t xml:space="preserve">positive </w:t>
      </w:r>
      <w:r w:rsidR="006D51D5" w:rsidRPr="00170FFF">
        <w:rPr>
          <w:szCs w:val="22"/>
        </w:rPr>
        <w:t>diagnostic methods to</w:t>
      </w:r>
      <w:r w:rsidR="00E8406F" w:rsidRPr="00170FFF">
        <w:rPr>
          <w:szCs w:val="22"/>
        </w:rPr>
        <w:t xml:space="preserve"> diagnose </w:t>
      </w:r>
      <w:r w:rsidR="00701B20" w:rsidRPr="00170FFF">
        <w:rPr>
          <w:szCs w:val="22"/>
        </w:rPr>
        <w:t xml:space="preserve">clinical study </w:t>
      </w:r>
      <w:r w:rsidR="00E8406F" w:rsidRPr="00170FFF">
        <w:rPr>
          <w:szCs w:val="22"/>
        </w:rPr>
        <w:t>cases</w:t>
      </w:r>
      <w:r w:rsidR="00FE1E0E" w:rsidRPr="00170FFF">
        <w:rPr>
          <w:szCs w:val="22"/>
        </w:rPr>
        <w:t xml:space="preserve"> without whole </w:t>
      </w:r>
      <w:r w:rsidR="006D51D5" w:rsidRPr="00170FFF">
        <w:rPr>
          <w:szCs w:val="22"/>
        </w:rPr>
        <w:t xml:space="preserve">viral </w:t>
      </w:r>
      <w:r w:rsidR="00FE1E0E" w:rsidRPr="00170FFF">
        <w:rPr>
          <w:szCs w:val="22"/>
        </w:rPr>
        <w:t>genome sequencing or viral culture</w:t>
      </w:r>
      <w:r w:rsidR="00261451" w:rsidRPr="00170FFF">
        <w:rPr>
          <w:szCs w:val="22"/>
        </w:rPr>
        <w:t xml:space="preserve"> to confirm </w:t>
      </w:r>
      <w:r w:rsidR="00530E0A" w:rsidRPr="00170FFF">
        <w:rPr>
          <w:szCs w:val="22"/>
        </w:rPr>
        <w:t xml:space="preserve">the presence of </w:t>
      </w:r>
      <w:r w:rsidR="00C658E5" w:rsidRPr="00170FFF">
        <w:rPr>
          <w:szCs w:val="22"/>
        </w:rPr>
        <w:t xml:space="preserve">a </w:t>
      </w:r>
      <w:r w:rsidR="005D4014" w:rsidRPr="00170FFF">
        <w:rPr>
          <w:szCs w:val="22"/>
        </w:rPr>
        <w:t>live-whole virus</w:t>
      </w:r>
      <w:r w:rsidR="00751AA3" w:rsidRPr="00170FFF">
        <w:rPr>
          <w:szCs w:val="22"/>
        </w:rPr>
        <w:t xml:space="preserve">, </w:t>
      </w:r>
      <w:r w:rsidR="00173FB3" w:rsidRPr="00170FFF">
        <w:rPr>
          <w:b/>
          <w:bCs w:val="0"/>
          <w:szCs w:val="22"/>
        </w:rPr>
        <w:t>(2)</w:t>
      </w:r>
      <w:r w:rsidR="00173FB3" w:rsidRPr="00170FFF">
        <w:rPr>
          <w:szCs w:val="22"/>
        </w:rPr>
        <w:t xml:space="preserve"> investigator discretion to </w:t>
      </w:r>
      <w:r w:rsidR="00B30A09" w:rsidRPr="00170FFF">
        <w:rPr>
          <w:szCs w:val="22"/>
        </w:rPr>
        <w:t xml:space="preserve">exclude significant amounts of </w:t>
      </w:r>
      <w:r w:rsidR="00274314" w:rsidRPr="00170FFF">
        <w:rPr>
          <w:szCs w:val="22"/>
        </w:rPr>
        <w:t>uncertain efficacy</w:t>
      </w:r>
      <w:r w:rsidR="00701B20" w:rsidRPr="00170FFF">
        <w:rPr>
          <w:szCs w:val="22"/>
        </w:rPr>
        <w:t xml:space="preserve"> </w:t>
      </w:r>
      <w:r w:rsidR="00173FB3" w:rsidRPr="00170FFF">
        <w:rPr>
          <w:szCs w:val="22"/>
        </w:rPr>
        <w:t>data</w:t>
      </w:r>
      <w:r w:rsidR="00FA6F43" w:rsidRPr="00170FFF">
        <w:rPr>
          <w:szCs w:val="22"/>
        </w:rPr>
        <w:t xml:space="preserve"> from the efficacy calculation</w:t>
      </w:r>
      <w:r w:rsidR="005F0E26" w:rsidRPr="00170FFF">
        <w:rPr>
          <w:szCs w:val="22"/>
        </w:rPr>
        <w:t xml:space="preserve"> without </w:t>
      </w:r>
      <w:r w:rsidR="00C658E5" w:rsidRPr="00170FFF">
        <w:rPr>
          <w:szCs w:val="22"/>
        </w:rPr>
        <w:t xml:space="preserve">apparent </w:t>
      </w:r>
      <w:r w:rsidR="005F0E26" w:rsidRPr="00170FFF">
        <w:rPr>
          <w:szCs w:val="22"/>
        </w:rPr>
        <w:t>remediation</w:t>
      </w:r>
      <w:r w:rsidR="006D51D5" w:rsidRPr="00170FFF">
        <w:rPr>
          <w:szCs w:val="22"/>
        </w:rPr>
        <w:t xml:space="preserve"> or explanation</w:t>
      </w:r>
      <w:r w:rsidR="00751AA3" w:rsidRPr="00170FFF">
        <w:rPr>
          <w:szCs w:val="22"/>
        </w:rPr>
        <w:t xml:space="preserve">, </w:t>
      </w:r>
      <w:r w:rsidR="00173FB3" w:rsidRPr="00170FFF">
        <w:rPr>
          <w:b/>
          <w:bCs w:val="0"/>
          <w:szCs w:val="22"/>
        </w:rPr>
        <w:t>(</w:t>
      </w:r>
      <w:r w:rsidR="00DB1055" w:rsidRPr="00170FFF">
        <w:rPr>
          <w:b/>
          <w:bCs w:val="0"/>
          <w:szCs w:val="22"/>
        </w:rPr>
        <w:t>3</w:t>
      </w:r>
      <w:r w:rsidR="00173FB3" w:rsidRPr="00170FFF">
        <w:rPr>
          <w:b/>
          <w:bCs w:val="0"/>
          <w:szCs w:val="22"/>
        </w:rPr>
        <w:t>)</w:t>
      </w:r>
      <w:r w:rsidR="00173FB3" w:rsidRPr="00170FFF">
        <w:rPr>
          <w:szCs w:val="22"/>
        </w:rPr>
        <w:t xml:space="preserve"> </w:t>
      </w:r>
      <w:r w:rsidR="00803CBC" w:rsidRPr="00170FFF">
        <w:rPr>
          <w:szCs w:val="22"/>
        </w:rPr>
        <w:t xml:space="preserve">a clinical study </w:t>
      </w:r>
      <w:r w:rsidR="005B7626" w:rsidRPr="00170FFF">
        <w:rPr>
          <w:szCs w:val="22"/>
        </w:rPr>
        <w:t xml:space="preserve">that did not </w:t>
      </w:r>
      <w:r w:rsidR="00FA3BA3" w:rsidRPr="00170FFF">
        <w:rPr>
          <w:szCs w:val="22"/>
        </w:rPr>
        <w:t xml:space="preserve">provide evidence of </w:t>
      </w:r>
      <w:r w:rsidR="005B7626" w:rsidRPr="00170FFF">
        <w:rPr>
          <w:szCs w:val="22"/>
        </w:rPr>
        <w:t xml:space="preserve">biomarker </w:t>
      </w:r>
      <w:r w:rsidR="00FA3BA3" w:rsidRPr="00170FFF">
        <w:rPr>
          <w:szCs w:val="22"/>
        </w:rPr>
        <w:t xml:space="preserve">monitoring </w:t>
      </w:r>
      <w:r w:rsidR="00C07FAC" w:rsidRPr="00170FFF">
        <w:rPr>
          <w:szCs w:val="22"/>
        </w:rPr>
        <w:t>to assess</w:t>
      </w:r>
      <w:r w:rsidR="005B7626" w:rsidRPr="00170FFF">
        <w:rPr>
          <w:szCs w:val="22"/>
        </w:rPr>
        <w:t xml:space="preserve"> </w:t>
      </w:r>
      <w:r w:rsidR="006D51D5" w:rsidRPr="00170FFF">
        <w:rPr>
          <w:szCs w:val="22"/>
        </w:rPr>
        <w:t>predictable</w:t>
      </w:r>
      <w:r w:rsidR="005B7626" w:rsidRPr="00170FFF">
        <w:rPr>
          <w:szCs w:val="22"/>
        </w:rPr>
        <w:t xml:space="preserve"> pathology mechanisms</w:t>
      </w:r>
      <w:r w:rsidR="00900C0F" w:rsidRPr="00170FFF">
        <w:rPr>
          <w:szCs w:val="22"/>
        </w:rPr>
        <w:t xml:space="preserve">, </w:t>
      </w:r>
      <w:r w:rsidR="00900C0F" w:rsidRPr="00170FFF">
        <w:rPr>
          <w:b/>
          <w:bCs w:val="0"/>
          <w:szCs w:val="22"/>
        </w:rPr>
        <w:t>(4)</w:t>
      </w:r>
      <w:r w:rsidR="00900C0F" w:rsidRPr="00170FFF">
        <w:rPr>
          <w:szCs w:val="22"/>
        </w:rPr>
        <w:t xml:space="preserve"> </w:t>
      </w:r>
      <w:r w:rsidR="002B784F" w:rsidRPr="00170FFF">
        <w:rPr>
          <w:szCs w:val="22"/>
        </w:rPr>
        <w:t xml:space="preserve">clinical study </w:t>
      </w:r>
      <w:r w:rsidR="006D51D5" w:rsidRPr="00170FFF">
        <w:rPr>
          <w:szCs w:val="22"/>
        </w:rPr>
        <w:t xml:space="preserve">inclusion criteria </w:t>
      </w:r>
      <w:r w:rsidR="00DD1626" w:rsidRPr="00170FFF">
        <w:rPr>
          <w:szCs w:val="22"/>
        </w:rPr>
        <w:t xml:space="preserve">that </w:t>
      </w:r>
      <w:r w:rsidR="002B784F" w:rsidRPr="00170FFF">
        <w:rPr>
          <w:szCs w:val="22"/>
        </w:rPr>
        <w:t xml:space="preserve">did not prioritize the most appropriate at-risk population </w:t>
      </w:r>
      <w:r w:rsidR="006D51D5" w:rsidRPr="00170FFF">
        <w:rPr>
          <w:szCs w:val="22"/>
        </w:rPr>
        <w:t xml:space="preserve">suffering comorbidities </w:t>
      </w:r>
      <w:r w:rsidR="00E61508" w:rsidRPr="00170FFF">
        <w:rPr>
          <w:szCs w:val="22"/>
        </w:rPr>
        <w:t>involving ACE2</w:t>
      </w:r>
      <w:r w:rsidR="00DD4755" w:rsidRPr="00170FFF">
        <w:rPr>
          <w:szCs w:val="22"/>
        </w:rPr>
        <w:t>/furin</w:t>
      </w:r>
      <w:r w:rsidR="00E61508" w:rsidRPr="00170FFF">
        <w:rPr>
          <w:szCs w:val="22"/>
        </w:rPr>
        <w:t xml:space="preserve"> rich tissues-organs </w:t>
      </w:r>
      <w:r w:rsidR="006D51D5" w:rsidRPr="00170FFF">
        <w:rPr>
          <w:szCs w:val="22"/>
        </w:rPr>
        <w:t>associated with severe COVID-19 outcomes</w:t>
      </w:r>
      <w:r w:rsidR="00C72C61" w:rsidRPr="00170FFF">
        <w:rPr>
          <w:szCs w:val="22"/>
        </w:rPr>
        <w:t xml:space="preserve">. </w:t>
      </w:r>
    </w:p>
    <w:p w14:paraId="632F1173" w14:textId="38A84F3A" w:rsidR="00A84C4F" w:rsidRPr="00AC1FE5" w:rsidRDefault="003329C0" w:rsidP="008C76FE">
      <w:pPr>
        <w:rPr>
          <w:szCs w:val="22"/>
        </w:rPr>
      </w:pPr>
      <w:r w:rsidRPr="00AC1FE5">
        <w:rPr>
          <w:szCs w:val="22"/>
        </w:rPr>
        <w:t xml:space="preserve">The </w:t>
      </w:r>
      <w:r w:rsidRPr="00AC1FE5">
        <w:rPr>
          <w:b/>
          <w:bCs w:val="0"/>
          <w:szCs w:val="22"/>
        </w:rPr>
        <w:t>FDA</w:t>
      </w:r>
      <w:r w:rsidR="00AC1FE5" w:rsidRPr="00AC1FE5">
        <w:rPr>
          <w:b/>
          <w:bCs w:val="0"/>
          <w:szCs w:val="22"/>
        </w:rPr>
        <w:t>, and other drug regulators,</w:t>
      </w:r>
      <w:r w:rsidR="00057AED" w:rsidRPr="00AC1FE5">
        <w:rPr>
          <w:b/>
          <w:bCs w:val="0"/>
          <w:szCs w:val="22"/>
        </w:rPr>
        <w:t xml:space="preserve"> held overall responsibility</w:t>
      </w:r>
      <w:r w:rsidR="00057AED" w:rsidRPr="00AC1FE5">
        <w:rPr>
          <w:szCs w:val="22"/>
        </w:rPr>
        <w:t xml:space="preserve"> for </w:t>
      </w:r>
      <w:r w:rsidR="00274314" w:rsidRPr="00AC1FE5">
        <w:rPr>
          <w:szCs w:val="22"/>
        </w:rPr>
        <w:t xml:space="preserve">accepting the Phase 3 study design and </w:t>
      </w:r>
      <w:r w:rsidRPr="00AC1FE5">
        <w:rPr>
          <w:szCs w:val="22"/>
        </w:rPr>
        <w:t xml:space="preserve">confirming </w:t>
      </w:r>
      <w:r w:rsidR="00D6536F" w:rsidRPr="00AC1FE5">
        <w:rPr>
          <w:szCs w:val="22"/>
        </w:rPr>
        <w:t xml:space="preserve">that </w:t>
      </w:r>
      <w:r w:rsidR="00057AED" w:rsidRPr="00AC1FE5">
        <w:rPr>
          <w:szCs w:val="22"/>
        </w:rPr>
        <w:t xml:space="preserve">Comirnaty was safe and </w:t>
      </w:r>
      <w:r w:rsidRPr="00AC1FE5">
        <w:rPr>
          <w:szCs w:val="22"/>
        </w:rPr>
        <w:t>efficacious</w:t>
      </w:r>
      <w:r w:rsidR="00057AED" w:rsidRPr="00AC1FE5">
        <w:rPr>
          <w:szCs w:val="22"/>
        </w:rPr>
        <w:t xml:space="preserve"> before EUA approval. </w:t>
      </w:r>
      <w:r w:rsidR="00953C1F" w:rsidRPr="00AC1FE5">
        <w:rPr>
          <w:szCs w:val="22"/>
        </w:rPr>
        <w:t xml:space="preserve">I </w:t>
      </w:r>
      <w:r w:rsidR="00A84C4F" w:rsidRPr="00AC1FE5">
        <w:rPr>
          <w:szCs w:val="22"/>
        </w:rPr>
        <w:t>had</w:t>
      </w:r>
      <w:r w:rsidR="00953C1F" w:rsidRPr="00AC1FE5">
        <w:rPr>
          <w:szCs w:val="22"/>
        </w:rPr>
        <w:t xml:space="preserve"> </w:t>
      </w:r>
      <w:r w:rsidR="004E4DFA">
        <w:rPr>
          <w:b/>
          <w:bCs w:val="0"/>
          <w:szCs w:val="22"/>
        </w:rPr>
        <w:t>ZERO</w:t>
      </w:r>
      <w:r w:rsidR="00953C1F" w:rsidRPr="00FA3BA3">
        <w:rPr>
          <w:b/>
          <w:bCs w:val="0"/>
          <w:szCs w:val="22"/>
        </w:rPr>
        <w:t xml:space="preserve"> confidence</w:t>
      </w:r>
      <w:r w:rsidR="00953C1F" w:rsidRPr="00AC1FE5">
        <w:rPr>
          <w:szCs w:val="22"/>
        </w:rPr>
        <w:t xml:space="preserve"> in the </w:t>
      </w:r>
      <w:r w:rsidR="009A230B">
        <w:rPr>
          <w:szCs w:val="22"/>
        </w:rPr>
        <w:t>assured 95% vaccine efficacy and safety conclusion</w:t>
      </w:r>
      <w:r w:rsidR="00FA3BA3">
        <w:rPr>
          <w:szCs w:val="22"/>
        </w:rPr>
        <w:t>.</w:t>
      </w:r>
      <w:r w:rsidR="00B05B69">
        <w:rPr>
          <w:szCs w:val="22"/>
        </w:rPr>
        <w:t xml:space="preserve"> </w:t>
      </w:r>
    </w:p>
    <w:p w14:paraId="15662752" w14:textId="21906393" w:rsidR="0001742E" w:rsidRDefault="00830255" w:rsidP="004C5C79">
      <w:pPr>
        <w:pStyle w:val="Heading3"/>
      </w:pPr>
      <w:bookmarkStart w:id="142" w:name="_Toc111368011"/>
      <w:bookmarkStart w:id="143" w:name="_Toc121035140"/>
      <w:bookmarkStart w:id="144" w:name="_Toc509513500"/>
      <w:bookmarkStart w:id="145" w:name="_Toc510678517"/>
      <w:bookmarkStart w:id="146" w:name="_Toc510880021"/>
      <w:bookmarkStart w:id="147" w:name="_Toc512275150"/>
      <w:bookmarkStart w:id="148" w:name="_Toc512360367"/>
      <w:bookmarkStart w:id="149" w:name="_Toc516645054"/>
      <w:r>
        <w:t>How</w:t>
      </w:r>
      <w:r w:rsidR="0001742E">
        <w:t xml:space="preserve"> </w:t>
      </w:r>
      <w:r>
        <w:t xml:space="preserve">Comirnaty’s </w:t>
      </w:r>
      <w:r w:rsidR="006030AA">
        <w:t xml:space="preserve">Falsifiable </w:t>
      </w:r>
      <w:r w:rsidR="0001742E">
        <w:t xml:space="preserve">95% </w:t>
      </w:r>
      <w:r>
        <w:t>Vaccine Efficacy Was Determined</w:t>
      </w:r>
      <w:bookmarkEnd w:id="142"/>
      <w:bookmarkEnd w:id="143"/>
      <w:r w:rsidR="00DC4962">
        <w:t xml:space="preserve"> </w:t>
      </w:r>
      <w:bookmarkEnd w:id="144"/>
      <w:bookmarkEnd w:id="145"/>
      <w:bookmarkEnd w:id="146"/>
      <w:bookmarkEnd w:id="147"/>
      <w:bookmarkEnd w:id="148"/>
      <w:bookmarkEnd w:id="149"/>
    </w:p>
    <w:p w14:paraId="4460A3CA" w14:textId="521FA7A6" w:rsidR="0005229C" w:rsidRDefault="00B10D29" w:rsidP="00117701">
      <w:r w:rsidRPr="005406F6">
        <w:t xml:space="preserve">Based on </w:t>
      </w:r>
      <w:r w:rsidR="006B1FD1">
        <w:t xml:space="preserve">Comirnaty’s </w:t>
      </w:r>
      <w:r w:rsidR="00737B77">
        <w:t xml:space="preserve">interim </w:t>
      </w:r>
      <w:r w:rsidR="00C16685" w:rsidRPr="005406F6">
        <w:t xml:space="preserve">safety </w:t>
      </w:r>
      <w:r w:rsidR="005A05F6">
        <w:t>(</w:t>
      </w:r>
      <w:r w:rsidR="00254869">
        <w:t xml:space="preserve">i.e., a </w:t>
      </w:r>
      <w:r w:rsidR="005A05F6">
        <w:t xml:space="preserve">median </w:t>
      </w:r>
      <w:r w:rsidR="00254869">
        <w:t xml:space="preserve">of </w:t>
      </w:r>
      <w:r w:rsidR="00C07FAC">
        <w:t>two months</w:t>
      </w:r>
      <w:r w:rsidR="005A05F6">
        <w:t xml:space="preserve">) </w:t>
      </w:r>
      <w:r w:rsidR="009D3778">
        <w:t>and</w:t>
      </w:r>
      <w:r w:rsidR="00C16685" w:rsidRPr="005406F6">
        <w:t xml:space="preserve"> efficacy </w:t>
      </w:r>
      <w:r w:rsidR="00C76F40" w:rsidRPr="005406F6">
        <w:t xml:space="preserve">data </w:t>
      </w:r>
      <w:r w:rsidR="00C76F40">
        <w:t>underpinning</w:t>
      </w:r>
      <w:r w:rsidR="006B1FD1">
        <w:t xml:space="preserve"> its </w:t>
      </w:r>
      <w:r w:rsidR="00EF1047">
        <w:t>EUA approval</w:t>
      </w:r>
      <w:r w:rsidR="009D3778">
        <w:t>,</w:t>
      </w:r>
      <w:r w:rsidR="00EF1047">
        <w:t xml:space="preserve"> </w:t>
      </w:r>
      <w:r w:rsidR="0089530A" w:rsidRPr="005406F6">
        <w:t xml:space="preserve">Pfizer </w:t>
      </w:r>
      <w:r w:rsidR="004572A4">
        <w:t>published data indicated</w:t>
      </w:r>
      <w:r w:rsidR="0089530A">
        <w:t xml:space="preserve"> </w:t>
      </w:r>
      <w:r w:rsidR="009D3778">
        <w:t>Comirnaty</w:t>
      </w:r>
      <w:r w:rsidR="009D3778" w:rsidRPr="005406F6">
        <w:t xml:space="preserve"> </w:t>
      </w:r>
      <w:r w:rsidR="00C16685" w:rsidRPr="005406F6">
        <w:t xml:space="preserve">was safe and 95% efficacious </w:t>
      </w:r>
      <w:r w:rsidR="009D3778">
        <w:t xml:space="preserve">at preventing </w:t>
      </w:r>
      <w:r w:rsidR="00386038">
        <w:t>laboratory-diagnosed</w:t>
      </w:r>
      <w:r w:rsidR="009D3778">
        <w:t xml:space="preserve"> </w:t>
      </w:r>
      <w:r w:rsidR="00FA3BA3">
        <w:t xml:space="preserve">symptomatic </w:t>
      </w:r>
      <w:r w:rsidR="00572563">
        <w:t>COVID-19</w:t>
      </w:r>
      <w:r w:rsidR="009D3778">
        <w:t xml:space="preserve"> disease </w:t>
      </w:r>
      <w:r w:rsidR="009636C3">
        <w:t>f</w:t>
      </w:r>
      <w:r w:rsidR="009636C3" w:rsidRPr="009636C3">
        <w:t xml:space="preserve">rom 7 days after </w:t>
      </w:r>
      <w:r w:rsidR="009636C3">
        <w:t>d</w:t>
      </w:r>
      <w:r w:rsidR="009636C3" w:rsidRPr="009636C3">
        <w:t>ose 2 to the end of the surveillance period</w:t>
      </w:r>
      <w:r w:rsidR="005B52BC">
        <w:t xml:space="preserve"> (</w:t>
      </w:r>
      <w:r w:rsidR="006D51D5">
        <w:t xml:space="preserve">i.e., a </w:t>
      </w:r>
      <w:r w:rsidR="005B52BC">
        <w:t xml:space="preserve">mean </w:t>
      </w:r>
      <w:r w:rsidR="006D51D5">
        <w:t xml:space="preserve">of </w:t>
      </w:r>
      <w:r w:rsidR="005B52BC">
        <w:t>46 days surveillance)</w:t>
      </w:r>
      <w:r w:rsidR="0019232F">
        <w:t>.</w:t>
      </w:r>
      <w:r w:rsidR="00E819B8">
        <w:t xml:space="preserve"> </w:t>
      </w:r>
      <w:r w:rsidR="00D02127">
        <w:t>This claimed</w:t>
      </w:r>
      <w:r w:rsidR="008B45E8" w:rsidRPr="005406F6">
        <w:t xml:space="preserve"> </w:t>
      </w:r>
      <w:r w:rsidR="00C16685" w:rsidRPr="005406F6">
        <w:t xml:space="preserve">95% relative vaccine efficacy </w:t>
      </w:r>
      <w:r w:rsidR="00386038">
        <w:t>(</w:t>
      </w:r>
      <w:r w:rsidR="00CB3820">
        <w:t xml:space="preserve">i.e., </w:t>
      </w:r>
      <w:r w:rsidR="009B03A2" w:rsidRPr="00CB3820">
        <w:rPr>
          <w:i/>
          <w:iCs/>
        </w:rPr>
        <w:t xml:space="preserve">RVE = 1 - </w:t>
      </w:r>
      <w:r w:rsidR="00EC39ED" w:rsidRPr="00CB3820">
        <w:rPr>
          <w:i/>
          <w:iCs/>
        </w:rPr>
        <w:t>vaccinated</w:t>
      </w:r>
      <w:r w:rsidR="009B03A2" w:rsidRPr="00CB3820">
        <w:rPr>
          <w:i/>
          <w:iCs/>
        </w:rPr>
        <w:t xml:space="preserve"> risk / </w:t>
      </w:r>
      <w:r w:rsidR="00EC39ED" w:rsidRPr="00CB3820">
        <w:rPr>
          <w:i/>
          <w:iCs/>
        </w:rPr>
        <w:t>u</w:t>
      </w:r>
      <w:r w:rsidR="009B03A2" w:rsidRPr="00CB3820">
        <w:rPr>
          <w:i/>
          <w:iCs/>
        </w:rPr>
        <w:t>nva</w:t>
      </w:r>
      <w:r w:rsidR="00EC39ED" w:rsidRPr="00CB3820">
        <w:rPr>
          <w:i/>
          <w:iCs/>
        </w:rPr>
        <w:t>ccinat</w:t>
      </w:r>
      <w:r w:rsidR="009B03A2" w:rsidRPr="00CB3820">
        <w:rPr>
          <w:i/>
          <w:iCs/>
        </w:rPr>
        <w:t>ed risk</w:t>
      </w:r>
      <w:r w:rsidR="00EC39ED" w:rsidRPr="00CB3820">
        <w:rPr>
          <w:i/>
          <w:iCs/>
        </w:rPr>
        <w:t xml:space="preserve">, </w:t>
      </w:r>
      <w:r w:rsidR="00386038" w:rsidRPr="00CB3820">
        <w:rPr>
          <w:i/>
          <w:iCs/>
        </w:rPr>
        <w:t>vaccinated</w:t>
      </w:r>
      <w:r w:rsidR="00EC39ED" w:rsidRPr="00CB3820">
        <w:rPr>
          <w:i/>
          <w:iCs/>
        </w:rPr>
        <w:t xml:space="preserve"> risk =</w:t>
      </w:r>
      <w:r w:rsidR="00386038" w:rsidRPr="00CB3820">
        <w:rPr>
          <w:i/>
          <w:iCs/>
        </w:rPr>
        <w:t xml:space="preserve"> 8 cases</w:t>
      </w:r>
      <w:r w:rsidR="00EC39ED" w:rsidRPr="00CB3820">
        <w:rPr>
          <w:i/>
          <w:iCs/>
        </w:rPr>
        <w:t xml:space="preserve"> / </w:t>
      </w:r>
      <w:r w:rsidR="00FA1CC9" w:rsidRPr="00CB3820">
        <w:rPr>
          <w:i/>
          <w:iCs/>
        </w:rPr>
        <w:t xml:space="preserve">18,198 </w:t>
      </w:r>
      <w:r w:rsidR="00EC39ED" w:rsidRPr="00CB3820">
        <w:rPr>
          <w:i/>
          <w:iCs/>
        </w:rPr>
        <w:t>vaccinated</w:t>
      </w:r>
      <w:r w:rsidR="00386038" w:rsidRPr="00CB3820">
        <w:rPr>
          <w:i/>
          <w:iCs/>
        </w:rPr>
        <w:t xml:space="preserve">, unvaccinated </w:t>
      </w:r>
      <w:r w:rsidR="00EC39ED" w:rsidRPr="00CB3820">
        <w:rPr>
          <w:i/>
          <w:iCs/>
        </w:rPr>
        <w:t xml:space="preserve">risk = </w:t>
      </w:r>
      <w:r w:rsidR="00386038" w:rsidRPr="00CB3820">
        <w:rPr>
          <w:i/>
          <w:iCs/>
        </w:rPr>
        <w:t>162</w:t>
      </w:r>
      <w:r w:rsidR="00EC39ED" w:rsidRPr="00CB3820">
        <w:rPr>
          <w:i/>
          <w:iCs/>
        </w:rPr>
        <w:t xml:space="preserve"> cases / </w:t>
      </w:r>
      <w:r w:rsidR="00FE0121" w:rsidRPr="00CB3820">
        <w:rPr>
          <w:i/>
          <w:iCs/>
        </w:rPr>
        <w:t xml:space="preserve">18,325 </w:t>
      </w:r>
      <w:r w:rsidR="00EC39ED" w:rsidRPr="00CB3820">
        <w:rPr>
          <w:i/>
          <w:iCs/>
        </w:rPr>
        <w:t>placebo</w:t>
      </w:r>
      <w:r w:rsidR="009A230B">
        <w:rPr>
          <w:i/>
          <w:iCs/>
        </w:rPr>
        <w:t xml:space="preserve"> group</w:t>
      </w:r>
      <w:r w:rsidR="00386038">
        <w:t xml:space="preserve">) </w:t>
      </w:r>
      <w:r w:rsidR="00C16685" w:rsidRPr="005406F6">
        <w:t xml:space="preserve">corresponded </w:t>
      </w:r>
      <w:r w:rsidR="00CB3820">
        <w:t>with</w:t>
      </w:r>
      <w:r w:rsidR="00C16685" w:rsidRPr="005406F6">
        <w:t xml:space="preserve"> an absolute risk reduction of 0.84%</w:t>
      </w:r>
      <w:r w:rsidR="00B93A69">
        <w:t xml:space="preserve"> (</w:t>
      </w:r>
      <w:r w:rsidR="00CB3820">
        <w:t xml:space="preserve">i.e., </w:t>
      </w:r>
      <w:r w:rsidR="00EC39ED" w:rsidRPr="00CB3820">
        <w:rPr>
          <w:i/>
          <w:iCs/>
        </w:rPr>
        <w:t>ARR</w:t>
      </w:r>
      <w:r w:rsidR="00FE0121" w:rsidRPr="00CB3820">
        <w:rPr>
          <w:i/>
          <w:iCs/>
        </w:rPr>
        <w:t>%</w:t>
      </w:r>
      <w:r w:rsidR="00EC39ED" w:rsidRPr="00CB3820">
        <w:rPr>
          <w:i/>
          <w:iCs/>
        </w:rPr>
        <w:t xml:space="preserve"> = unvaccinated risk - vaccinated risk</w:t>
      </w:r>
      <w:r w:rsidR="00FE0121">
        <w:t>) or</w:t>
      </w:r>
      <w:r w:rsidR="00B93A69">
        <w:t xml:space="preserve"> 840 </w:t>
      </w:r>
      <w:r w:rsidR="00950FA6">
        <w:t xml:space="preserve">fewer </w:t>
      </w:r>
      <w:r w:rsidR="00B93A69">
        <w:t>cases per 100,000 population</w:t>
      </w:r>
      <w:r w:rsidR="0039766C">
        <w:t>. This d</w:t>
      </w:r>
      <w:r w:rsidR="0019232F">
        <w:t xml:space="preserve">ata </w:t>
      </w:r>
      <w:r w:rsidR="0039766C">
        <w:t>and calculations were</w:t>
      </w:r>
      <w:r w:rsidR="0019232F">
        <w:t xml:space="preserve"> derived from Table 2</w:t>
      </w:r>
      <w:r w:rsidR="0039766C">
        <w:t xml:space="preserve"> in Pfizer’s published results</w:t>
      </w:r>
      <w:r w:rsidR="0019232F">
        <w:t>.</w:t>
      </w:r>
      <w:r w:rsidR="0019232F" w:rsidRPr="005406F6">
        <w:rPr>
          <w:rStyle w:val="EndnoteReference"/>
        </w:rPr>
        <w:endnoteReference w:id="335"/>
      </w:r>
      <w:r w:rsidR="0019232F">
        <w:t xml:space="preserve"> </w:t>
      </w:r>
    </w:p>
    <w:p w14:paraId="19AE55A6" w14:textId="236F75DB" w:rsidR="005B403D" w:rsidRPr="00117701" w:rsidRDefault="009A230B" w:rsidP="00117701">
      <w:r>
        <w:t>I believe</w:t>
      </w:r>
      <w:r w:rsidR="00F57F43">
        <w:t xml:space="preserve"> the claimed 95% vaccine efficacy </w:t>
      </w:r>
      <w:r w:rsidR="00117701">
        <w:t xml:space="preserve">always </w:t>
      </w:r>
      <w:r w:rsidR="00F57F43">
        <w:t>need</w:t>
      </w:r>
      <w:r w:rsidR="00EB1E3A">
        <w:t>ed</w:t>
      </w:r>
      <w:r w:rsidR="00F57F43">
        <w:t xml:space="preserve"> to be</w:t>
      </w:r>
      <w:r w:rsidR="006D51D5">
        <w:t xml:space="preserve"> scrutinized and treated</w:t>
      </w:r>
      <w:r w:rsidR="00F57F43" w:rsidRPr="003D771B">
        <w:rPr>
          <w:b/>
          <w:bCs w:val="0"/>
        </w:rPr>
        <w:t xml:space="preserve"> with caution</w:t>
      </w:r>
      <w:r w:rsidR="006D51D5">
        <w:t xml:space="preserve">. </w:t>
      </w:r>
      <w:r w:rsidR="00FA3BA3">
        <w:t>T</w:t>
      </w:r>
      <w:r w:rsidR="006D51D5">
        <w:t>his caution was merited be</w:t>
      </w:r>
      <w:r w:rsidR="00F57F43">
        <w:t>cause the mean surveillance period was only 46 days</w:t>
      </w:r>
      <w:r w:rsidR="008C4A18">
        <w:t xml:space="preserve"> (i.e., </w:t>
      </w:r>
      <w:r w:rsidR="005438F0">
        <w:t xml:space="preserve">during </w:t>
      </w:r>
      <w:r w:rsidR="008C4A18">
        <w:t>peak immunity)</w:t>
      </w:r>
      <w:r w:rsidR="00553F3B">
        <w:t>,</w:t>
      </w:r>
      <w:r w:rsidR="00117701">
        <w:t xml:space="preserve"> </w:t>
      </w:r>
      <w:r w:rsidR="00117701">
        <w:lastRenderedPageBreak/>
        <w:t xml:space="preserve">and the risk of </w:t>
      </w:r>
      <w:r w:rsidR="006D51D5">
        <w:t xml:space="preserve">predictable </w:t>
      </w:r>
      <w:r w:rsidR="0005229C">
        <w:t xml:space="preserve">negative vaccine efficacy via </w:t>
      </w:r>
      <w:r w:rsidR="005B403D">
        <w:t>antibody-dependent enhancement of viral infection</w:t>
      </w:r>
      <w:r w:rsidR="00117701">
        <w:t xml:space="preserve"> </w:t>
      </w:r>
      <w:r w:rsidR="00FA3BA3">
        <w:t xml:space="preserve">and vaccine failure via antigenic imprinting </w:t>
      </w:r>
      <w:r w:rsidR="005438F0">
        <w:t xml:space="preserve">was always going to </w:t>
      </w:r>
      <w:r w:rsidR="00F65197">
        <w:t xml:space="preserve">increase </w:t>
      </w:r>
      <w:r w:rsidR="00117701">
        <w:t xml:space="preserve">as </w:t>
      </w:r>
      <w:r w:rsidR="00117701" w:rsidRPr="004E4DFA">
        <w:rPr>
          <w:b/>
          <w:bCs w:val="0"/>
        </w:rPr>
        <w:t>immunity waned</w:t>
      </w:r>
      <w:r w:rsidR="00117701">
        <w:t xml:space="preserve"> </w:t>
      </w:r>
      <w:r>
        <w:t>and</w:t>
      </w:r>
      <w:r w:rsidR="006D51D5">
        <w:t xml:space="preserve"> with the </w:t>
      </w:r>
      <w:r w:rsidR="004572A4">
        <w:t xml:space="preserve">later </w:t>
      </w:r>
      <w:r w:rsidR="006D51D5" w:rsidRPr="004E4DFA">
        <w:t>emergence of antigenically distinct strains</w:t>
      </w:r>
      <w:r w:rsidR="006D51D5">
        <w:t xml:space="preserve"> like Delta and Omicron</w:t>
      </w:r>
      <w:r w:rsidR="00117701">
        <w:t>.</w:t>
      </w:r>
      <w:r w:rsidR="00C72C61">
        <w:t xml:space="preserve"> </w:t>
      </w:r>
      <w:r w:rsidR="0005229C">
        <w:t>This caution</w:t>
      </w:r>
      <w:r w:rsidR="00FA3BA3">
        <w:t xml:space="preserve"> </w:t>
      </w:r>
      <w:r w:rsidR="0005229C">
        <w:t xml:space="preserve">on vaccine efficacy </w:t>
      </w:r>
      <w:r w:rsidR="00F45406">
        <w:t xml:space="preserve">also </w:t>
      </w:r>
      <w:r w:rsidR="0005229C">
        <w:t>applied a</w:t>
      </w:r>
      <w:r w:rsidR="00F45406">
        <w:t xml:space="preserve">n </w:t>
      </w:r>
      <w:r w:rsidR="0005229C">
        <w:t xml:space="preserve">understanding of </w:t>
      </w:r>
      <w:r w:rsidR="0005229C" w:rsidRPr="004E4DFA">
        <w:rPr>
          <w:b/>
          <w:bCs w:val="0"/>
        </w:rPr>
        <w:t>coronavirus</w:t>
      </w:r>
      <w:r w:rsidR="00FA3BA3" w:rsidRPr="004E4DFA">
        <w:rPr>
          <w:b/>
          <w:bCs w:val="0"/>
        </w:rPr>
        <w:t xml:space="preserve"> (i.e., ADE</w:t>
      </w:r>
      <w:r w:rsidR="00F45406" w:rsidRPr="004E4DFA">
        <w:rPr>
          <w:b/>
          <w:bCs w:val="0"/>
        </w:rPr>
        <w:t>/VAED</w:t>
      </w:r>
      <w:r w:rsidR="00FA3BA3">
        <w:t xml:space="preserve">) and </w:t>
      </w:r>
      <w:r w:rsidR="0005229C">
        <w:t xml:space="preserve">general vaccine biology </w:t>
      </w:r>
      <w:r w:rsidR="00FA3BA3">
        <w:t xml:space="preserve">(i.e., </w:t>
      </w:r>
      <w:r w:rsidR="00FA3BA3" w:rsidRPr="004E4DFA">
        <w:rPr>
          <w:b/>
          <w:bCs w:val="0"/>
        </w:rPr>
        <w:t>antigenic imprinting</w:t>
      </w:r>
      <w:r w:rsidR="00FA3BA3">
        <w:t xml:space="preserve">), and </w:t>
      </w:r>
      <w:r w:rsidR="00FA3BA3" w:rsidRPr="004E4DFA">
        <w:rPr>
          <w:b/>
          <w:bCs w:val="0"/>
        </w:rPr>
        <w:t>viral mutation</w:t>
      </w:r>
      <w:r w:rsidR="00FA3BA3">
        <w:t xml:space="preserve"> (i.e., </w:t>
      </w:r>
      <w:r w:rsidR="00F45406">
        <w:t xml:space="preserve">associated with </w:t>
      </w:r>
      <w:r w:rsidR="00FA3BA3">
        <w:t xml:space="preserve">pandemic waves), or knowledge </w:t>
      </w:r>
      <w:r w:rsidR="0005229C">
        <w:t xml:space="preserve">that has been in existence for </w:t>
      </w:r>
      <w:r w:rsidR="00FA3BA3">
        <w:t xml:space="preserve">decades in industry and academia. This </w:t>
      </w:r>
      <w:r w:rsidR="00FA3BA3" w:rsidRPr="00FA3BA3">
        <w:rPr>
          <w:b/>
          <w:bCs w:val="0"/>
        </w:rPr>
        <w:t>would/should</w:t>
      </w:r>
      <w:r w:rsidR="00FA3BA3">
        <w:t xml:space="preserve"> have been known by anyone claiming or relying on coronavirus vaccine expertise (i.e., </w:t>
      </w:r>
      <w:r w:rsidR="00FA3BA3" w:rsidRPr="009D60D1">
        <w:rPr>
          <w:i/>
          <w:iCs/>
        </w:rPr>
        <w:t>R&amp;D program leaders, regulatory specialists, national and international vaccine advisory board experts, government vaccine advisors</w:t>
      </w:r>
      <w:r w:rsidR="004572A4">
        <w:rPr>
          <w:i/>
          <w:iCs/>
        </w:rPr>
        <w:t>,</w:t>
      </w:r>
      <w:r w:rsidR="00FA3BA3" w:rsidRPr="009D60D1">
        <w:rPr>
          <w:i/>
          <w:iCs/>
        </w:rPr>
        <w:t xml:space="preserve"> etc</w:t>
      </w:r>
      <w:r w:rsidR="00FA3BA3">
        <w:t>.)</w:t>
      </w:r>
      <w:r w:rsidR="0005229C">
        <w:t xml:space="preserve">. </w:t>
      </w:r>
    </w:p>
    <w:p w14:paraId="7F35ED75" w14:textId="2CE3B2DA" w:rsidR="00AE5D7D" w:rsidRDefault="00CD18B1" w:rsidP="006E77EB">
      <w:r>
        <w:t xml:space="preserve">Peter Doshi, </w:t>
      </w:r>
      <w:r w:rsidRPr="00CD18B1">
        <w:t xml:space="preserve">assistant professor of pharmaceutical health services at the University of Maryland </w:t>
      </w:r>
      <w:r>
        <w:t>and s</w:t>
      </w:r>
      <w:r w:rsidRPr="00CD18B1">
        <w:t xml:space="preserve">enior </w:t>
      </w:r>
      <w:r>
        <w:t>e</w:t>
      </w:r>
      <w:r w:rsidRPr="00CD18B1">
        <w:t>ditor</w:t>
      </w:r>
      <w:r>
        <w:t xml:space="preserve"> for the British Medical Journal</w:t>
      </w:r>
      <w:r w:rsidR="009A230B">
        <w:t>, critiqued</w:t>
      </w:r>
      <w:r>
        <w:t xml:space="preserve"> the 95% Comirnaty efficacy calculation.</w:t>
      </w:r>
      <w:r w:rsidRPr="005406F6">
        <w:rPr>
          <w:rStyle w:val="EndnoteReference"/>
        </w:rPr>
        <w:endnoteReference w:id="336"/>
      </w:r>
      <w:r w:rsidRPr="005406F6">
        <w:t xml:space="preserve"> </w:t>
      </w:r>
      <w:r w:rsidR="00646FA0">
        <w:t>Accordingly, t</w:t>
      </w:r>
      <w:r>
        <w:t>here were</w:t>
      </w:r>
      <w:r w:rsidR="009D3778">
        <w:t xml:space="preserve"> </w:t>
      </w:r>
      <w:r w:rsidR="00C16685" w:rsidRPr="005406F6">
        <w:t xml:space="preserve">3,410 “suspected but unconfirmed </w:t>
      </w:r>
      <w:r w:rsidR="00572563">
        <w:t>COVID-19</w:t>
      </w:r>
      <w:r w:rsidR="00C16685" w:rsidRPr="005406F6">
        <w:t xml:space="preserve"> cases”</w:t>
      </w:r>
      <w:r w:rsidR="00E45D21">
        <w:t xml:space="preserve"> </w:t>
      </w:r>
      <w:r w:rsidR="00E82DFF">
        <w:t xml:space="preserve">(i.e., </w:t>
      </w:r>
      <w:r w:rsidR="00E23575">
        <w:t>“</w:t>
      </w:r>
      <w:r w:rsidR="00E82DFF" w:rsidRPr="004B6DFF">
        <w:rPr>
          <w:i/>
        </w:rPr>
        <w:t xml:space="preserve">symptomatic </w:t>
      </w:r>
      <w:r w:rsidR="00572563">
        <w:rPr>
          <w:i/>
        </w:rPr>
        <w:t>COVID-19</w:t>
      </w:r>
      <w:r w:rsidR="00E82DFF" w:rsidRPr="004B6DFF">
        <w:rPr>
          <w:i/>
        </w:rPr>
        <w:t xml:space="preserve"> that were not PCR confirmed</w:t>
      </w:r>
      <w:r w:rsidR="00E23575">
        <w:t>”</w:t>
      </w:r>
      <w:r w:rsidR="00E82DFF">
        <w:t xml:space="preserve">) </w:t>
      </w:r>
      <w:r w:rsidR="005E201E">
        <w:t>that were not included in</w:t>
      </w:r>
      <w:r w:rsidR="005E201E" w:rsidRPr="00A40C8A">
        <w:t xml:space="preserve"> the efficacy calculation</w:t>
      </w:r>
      <w:r w:rsidR="00C16685" w:rsidRPr="005406F6">
        <w:t xml:space="preserve">. </w:t>
      </w:r>
      <w:r w:rsidR="00AE5D7D" w:rsidRPr="00A40C8A">
        <w:t xml:space="preserve">In </w:t>
      </w:r>
      <w:r w:rsidR="00AE5D7D">
        <w:t>justify</w:t>
      </w:r>
      <w:r w:rsidR="00982CFD">
        <w:t>ing</w:t>
      </w:r>
      <w:r w:rsidR="00AE5D7D" w:rsidRPr="00A40C8A">
        <w:t xml:space="preserve"> the 3,410 suspected but unconfirmed </w:t>
      </w:r>
      <w:r w:rsidR="00572563">
        <w:t>COVID-19</w:t>
      </w:r>
      <w:r w:rsidR="00AE5D7D" w:rsidRPr="00A40C8A">
        <w:t xml:space="preserve"> cases</w:t>
      </w:r>
      <w:r w:rsidR="009A230B">
        <w:t>,</w:t>
      </w:r>
      <w:r w:rsidR="00AE5D7D" w:rsidRPr="00A40C8A">
        <w:t xml:space="preserve"> the FDA states, “</w:t>
      </w:r>
      <w:r w:rsidR="00AE5D7D" w:rsidRPr="00A40C8A">
        <w:rPr>
          <w:i/>
        </w:rPr>
        <w:t xml:space="preserve">It is possible that the imbalance in suspected </w:t>
      </w:r>
      <w:r w:rsidR="00572563">
        <w:rPr>
          <w:i/>
        </w:rPr>
        <w:t>COVID-19</w:t>
      </w:r>
      <w:r w:rsidR="00AE5D7D" w:rsidRPr="00A40C8A">
        <w:rPr>
          <w:i/>
        </w:rPr>
        <w:t xml:space="preserve"> cases occurring in the 7 days post-vaccination represents vaccine reactogenicity with symptoms that overlap with those of </w:t>
      </w:r>
      <w:r w:rsidR="00572563">
        <w:rPr>
          <w:i/>
        </w:rPr>
        <w:t>COVID-19</w:t>
      </w:r>
      <w:r w:rsidR="00AE5D7D" w:rsidRPr="00A40C8A">
        <w:t>”</w:t>
      </w:r>
      <w:r w:rsidR="00AE5D7D">
        <w:t xml:space="preserve"> (pg.42</w:t>
      </w:r>
      <w:r w:rsidR="005C4AA6">
        <w:t>, FDA review</w:t>
      </w:r>
      <w:r w:rsidR="00AE5D7D">
        <w:t>).</w:t>
      </w:r>
      <w:r w:rsidR="004C316F">
        <w:rPr>
          <w:rStyle w:val="EndnoteReference"/>
        </w:rPr>
        <w:endnoteReference w:id="337"/>
      </w:r>
      <w:r w:rsidR="003C61AD">
        <w:t xml:space="preserve"> </w:t>
      </w:r>
      <w:r w:rsidR="0038290E">
        <w:t>In my opinion</w:t>
      </w:r>
      <w:r w:rsidR="003C61AD">
        <w:t xml:space="preserve">, that </w:t>
      </w:r>
      <w:r w:rsidR="009924EA" w:rsidRPr="000D5C76">
        <w:rPr>
          <w:i/>
          <w:iCs/>
        </w:rPr>
        <w:t>excusatory</w:t>
      </w:r>
      <w:r w:rsidR="009924EA">
        <w:t xml:space="preserve"> </w:t>
      </w:r>
      <w:r w:rsidR="0038290E">
        <w:t xml:space="preserve">FDA </w:t>
      </w:r>
      <w:r w:rsidR="003C61AD">
        <w:t xml:space="preserve">rationale </w:t>
      </w:r>
      <w:r w:rsidR="0038290E">
        <w:t>did</w:t>
      </w:r>
      <w:r w:rsidR="003C61AD">
        <w:t xml:space="preserve"> not reflect the fact </w:t>
      </w:r>
      <w:r w:rsidR="009A230B">
        <w:t xml:space="preserve">that </w:t>
      </w:r>
      <w:r w:rsidR="003C61AD">
        <w:t xml:space="preserve">there were </w:t>
      </w:r>
      <w:r w:rsidR="003C61AD" w:rsidRPr="003C61AD">
        <w:t>1</w:t>
      </w:r>
      <w:r w:rsidR="0038290E">
        <w:t>,</w:t>
      </w:r>
      <w:r w:rsidR="003C61AD" w:rsidRPr="003C61AD">
        <w:t xml:space="preserve">594 </w:t>
      </w:r>
      <w:r w:rsidR="0038290E" w:rsidRPr="005406F6">
        <w:t xml:space="preserve">suspected but unconfirmed </w:t>
      </w:r>
      <w:r w:rsidR="00572563">
        <w:t>COVID-19</w:t>
      </w:r>
      <w:r w:rsidR="0038290E" w:rsidRPr="005406F6">
        <w:t xml:space="preserve"> cases</w:t>
      </w:r>
      <w:r w:rsidR="0038290E" w:rsidRPr="003C61AD">
        <w:t xml:space="preserve"> </w:t>
      </w:r>
      <w:r w:rsidR="003C61AD" w:rsidRPr="003C61AD">
        <w:t>in the vacc</w:t>
      </w:r>
      <w:r w:rsidR="0038290E">
        <w:t>inated</w:t>
      </w:r>
      <w:r w:rsidR="003C61AD" w:rsidRPr="003C61AD">
        <w:t xml:space="preserve"> group </w:t>
      </w:r>
      <w:r w:rsidR="0038290E" w:rsidRPr="003D771B">
        <w:t>and</w:t>
      </w:r>
      <w:r w:rsidR="003C61AD" w:rsidRPr="003C61AD">
        <w:t xml:space="preserve"> 1</w:t>
      </w:r>
      <w:r w:rsidR="0038290E">
        <w:t>,</w:t>
      </w:r>
      <w:r w:rsidR="003C61AD" w:rsidRPr="003C61AD">
        <w:t xml:space="preserve">816 in the </w:t>
      </w:r>
      <w:r w:rsidR="003C61AD" w:rsidRPr="000D5C76">
        <w:rPr>
          <w:i/>
          <w:iCs/>
        </w:rPr>
        <w:t>placebo group</w:t>
      </w:r>
      <w:r w:rsidR="0038290E">
        <w:t>.</w:t>
      </w:r>
    </w:p>
    <w:p w14:paraId="4EF7D4DF" w14:textId="26736A18" w:rsidR="00AE5D7D" w:rsidRDefault="00CD18B1" w:rsidP="00AE5D7D">
      <w:r>
        <w:t>W</w:t>
      </w:r>
      <w:r w:rsidR="00E82DFF">
        <w:t xml:space="preserve">hy were 170 cases confirmed </w:t>
      </w:r>
      <w:r w:rsidR="008869DD">
        <w:t xml:space="preserve">by PCR </w:t>
      </w:r>
      <w:r w:rsidR="00E82DFF">
        <w:t>(</w:t>
      </w:r>
      <w:r w:rsidR="00C360C0">
        <w:t xml:space="preserve">i.e., </w:t>
      </w:r>
      <w:r w:rsidR="00E82DFF">
        <w:t>8 Comirnaty + 162 placebo</w:t>
      </w:r>
      <w:r w:rsidR="00C360C0">
        <w:t xml:space="preserve">, </w:t>
      </w:r>
      <w:r w:rsidR="008869DD">
        <w:t xml:space="preserve">or </w:t>
      </w:r>
      <w:r w:rsidR="00C360C0">
        <w:t>4.7%</w:t>
      </w:r>
      <w:r w:rsidR="00E82DFF">
        <w:t>)</w:t>
      </w:r>
      <w:r w:rsidR="009A230B">
        <w:t>,</w:t>
      </w:r>
      <w:r w:rsidR="00E82DFF">
        <w:t xml:space="preserve"> </w:t>
      </w:r>
      <w:r>
        <w:t xml:space="preserve">and </w:t>
      </w:r>
      <w:r w:rsidR="00E82DFF">
        <w:t xml:space="preserve">yet 3,410 </w:t>
      </w:r>
      <w:r w:rsidR="008869DD" w:rsidRPr="005406F6">
        <w:t xml:space="preserve">suspected </w:t>
      </w:r>
      <w:r w:rsidR="00572563">
        <w:t>COVID-19</w:t>
      </w:r>
      <w:r w:rsidR="008869DD" w:rsidRPr="005406F6">
        <w:t xml:space="preserve"> </w:t>
      </w:r>
      <w:r w:rsidR="00E82DFF">
        <w:t xml:space="preserve">cases </w:t>
      </w:r>
      <w:r w:rsidR="00FA1BE9">
        <w:t xml:space="preserve">were </w:t>
      </w:r>
      <w:r>
        <w:t>not confirmed by PCR</w:t>
      </w:r>
      <w:r w:rsidR="008869DD">
        <w:t xml:space="preserve"> or an alternative diagnostic method</w:t>
      </w:r>
      <w:r>
        <w:t xml:space="preserve"> </w:t>
      </w:r>
      <w:r w:rsidR="00C360C0">
        <w:t>(i.e., 95.3%)</w:t>
      </w:r>
      <w:r w:rsidR="00E82DFF">
        <w:t xml:space="preserve">? </w:t>
      </w:r>
      <w:r w:rsidR="00907D3E">
        <w:t xml:space="preserve">Why did study investigators have </w:t>
      </w:r>
      <w:r w:rsidR="000D5C76">
        <w:t xml:space="preserve">the </w:t>
      </w:r>
      <w:r w:rsidR="00907D3E">
        <w:t xml:space="preserve">discretion </w:t>
      </w:r>
      <w:r w:rsidR="00907D3E" w:rsidRPr="00FA3BA3">
        <w:rPr>
          <w:b/>
          <w:bCs w:val="0"/>
        </w:rPr>
        <w:t>not to follow up</w:t>
      </w:r>
      <w:r w:rsidR="00907D3E">
        <w:t xml:space="preserve"> </w:t>
      </w:r>
      <w:r w:rsidR="000D5C76">
        <w:t xml:space="preserve">on </w:t>
      </w:r>
      <w:r w:rsidR="00907D3E">
        <w:t xml:space="preserve">this </w:t>
      </w:r>
      <w:r w:rsidR="00F517E4">
        <w:t xml:space="preserve">high </w:t>
      </w:r>
      <w:r w:rsidR="00907D3E">
        <w:t>volume of cases</w:t>
      </w:r>
      <w:r w:rsidR="008869DD" w:rsidRPr="008869DD">
        <w:t xml:space="preserve"> </w:t>
      </w:r>
      <w:r w:rsidR="008869DD">
        <w:t xml:space="preserve">and re-sample or use a </w:t>
      </w:r>
      <w:r w:rsidR="000D5C76">
        <w:t>backup</w:t>
      </w:r>
      <w:r w:rsidR="008869DD">
        <w:t xml:space="preserve"> diagnostic method</w:t>
      </w:r>
      <w:r w:rsidR="00907D3E">
        <w:t xml:space="preserve">? </w:t>
      </w:r>
      <w:r w:rsidR="00AE5D7D">
        <w:t xml:space="preserve">Why did the FDA </w:t>
      </w:r>
      <w:r w:rsidR="009924EA">
        <w:t>appear to excuse this</w:t>
      </w:r>
      <w:r w:rsidR="00AE5D7D">
        <w:t xml:space="preserve"> </w:t>
      </w:r>
      <w:r w:rsidR="009924EA">
        <w:t>issue? “</w:t>
      </w:r>
      <w:r w:rsidR="00AA29FE" w:rsidRPr="009924EA">
        <w:rPr>
          <w:i/>
          <w:iCs/>
        </w:rPr>
        <w:t>Overall</w:t>
      </w:r>
      <w:r w:rsidR="00AA29FE">
        <w:rPr>
          <w:i/>
          <w:iCs/>
        </w:rPr>
        <w:t xml:space="preserve"> </w:t>
      </w:r>
      <w:r w:rsidR="009924EA" w:rsidRPr="009924EA">
        <w:rPr>
          <w:i/>
          <w:iCs/>
        </w:rPr>
        <w:t xml:space="preserve">though, these data do not raise a concern that protocol-specified reporting of suspected, but unconfirmed </w:t>
      </w:r>
      <w:r w:rsidR="00572563">
        <w:rPr>
          <w:i/>
          <w:iCs/>
        </w:rPr>
        <w:t>COVID-19</w:t>
      </w:r>
      <w:r w:rsidR="009924EA" w:rsidRPr="009924EA">
        <w:rPr>
          <w:i/>
          <w:iCs/>
        </w:rPr>
        <w:t xml:space="preserve"> cases could have masked clinically significant adverse events that would not have otherwise been detected</w:t>
      </w:r>
      <w:r w:rsidR="009924EA">
        <w:t>.”</w:t>
      </w:r>
      <w:r w:rsidR="00E46CA5">
        <w:t xml:space="preserve"> </w:t>
      </w:r>
      <w:r w:rsidR="00BB3A6D">
        <w:t>According to my calculation,</w:t>
      </w:r>
      <w:r w:rsidR="00BB3A6D" w:rsidRPr="005406F6">
        <w:t xml:space="preserve"> </w:t>
      </w:r>
      <w:r w:rsidR="00BB3A6D">
        <w:t>w</w:t>
      </w:r>
      <w:r w:rsidR="00AE5D7D" w:rsidRPr="005406F6">
        <w:t xml:space="preserve">hen </w:t>
      </w:r>
      <w:r w:rsidR="00AE5D7D">
        <w:t xml:space="preserve">the 3,410 subjects </w:t>
      </w:r>
      <w:r w:rsidR="009A230B">
        <w:t>were</w:t>
      </w:r>
      <w:r w:rsidR="00AE5D7D">
        <w:t xml:space="preserve"> </w:t>
      </w:r>
      <w:r w:rsidR="00AE5D7D" w:rsidRPr="005406F6">
        <w:t>added back</w:t>
      </w:r>
      <w:r w:rsidR="009A230B">
        <w:t>,</w:t>
      </w:r>
      <w:r w:rsidR="00AE5D7D">
        <w:t xml:space="preserve"> the </w:t>
      </w:r>
      <w:r w:rsidR="008568B6" w:rsidRPr="00FA3BA3">
        <w:t xml:space="preserve">relative vaccine </w:t>
      </w:r>
      <w:r w:rsidR="00AE5D7D" w:rsidRPr="00FA3BA3">
        <w:t>efficacy was 19%</w:t>
      </w:r>
      <w:r w:rsidR="00AE5D7D" w:rsidRPr="005406F6">
        <w:t>,</w:t>
      </w:r>
      <w:r w:rsidR="00AE5D7D">
        <w:t xml:space="preserve"> </w:t>
      </w:r>
      <w:r w:rsidR="00AE5D7D" w:rsidRPr="005406F6">
        <w:t xml:space="preserve">which fell </w:t>
      </w:r>
      <w:r w:rsidR="00AE5D7D" w:rsidRPr="00FA3BA3">
        <w:rPr>
          <w:b/>
          <w:bCs w:val="0"/>
        </w:rPr>
        <w:t>short of the 50% minimum</w:t>
      </w:r>
      <w:r w:rsidR="00AE5D7D" w:rsidRPr="005406F6">
        <w:t xml:space="preserve"> </w:t>
      </w:r>
      <w:r w:rsidR="00950FA6">
        <w:t xml:space="preserve">vaccine efficacy </w:t>
      </w:r>
      <w:r w:rsidR="00AE5D7D" w:rsidRPr="005406F6">
        <w:t>required for EUA.</w:t>
      </w:r>
      <w:r w:rsidR="00AE5D7D" w:rsidRPr="005406F6">
        <w:rPr>
          <w:rStyle w:val="EndnoteReference"/>
        </w:rPr>
        <w:endnoteReference w:id="338"/>
      </w:r>
      <w:r w:rsidR="00AE5D7D" w:rsidRPr="005406F6">
        <w:t xml:space="preserve"> </w:t>
      </w:r>
    </w:p>
    <w:p w14:paraId="0EC73790" w14:textId="0AE898DB" w:rsidR="00FA3BA3" w:rsidRDefault="006E77EB" w:rsidP="00FA3BA3">
      <w:r>
        <w:t xml:space="preserve">Professor Doshi raised another </w:t>
      </w:r>
      <w:r w:rsidR="001159A0">
        <w:t>important</w:t>
      </w:r>
      <w:r w:rsidR="009A0801">
        <w:t xml:space="preserve"> efficacy issue</w:t>
      </w:r>
      <w:r w:rsidR="00DE22C0">
        <w:t>. There was a</w:t>
      </w:r>
      <w:r>
        <w:t xml:space="preserve"> 5-Comirnaty-to-1-placebo imbalance among </w:t>
      </w:r>
      <w:r w:rsidRPr="00CD18B1">
        <w:t xml:space="preserve">371 </w:t>
      </w:r>
      <w:r>
        <w:t>subjects</w:t>
      </w:r>
      <w:r w:rsidRPr="00CD18B1">
        <w:t xml:space="preserve"> excluded from the efficacy </w:t>
      </w:r>
      <w:r>
        <w:t>calculation</w:t>
      </w:r>
      <w:r w:rsidRPr="00CD18B1">
        <w:t xml:space="preserve"> for “</w:t>
      </w:r>
      <w:r w:rsidRPr="004B6DFF">
        <w:rPr>
          <w:i/>
        </w:rPr>
        <w:t>important protocol deviations on or prior to 7 days after Dose 2</w:t>
      </w:r>
      <w:r w:rsidRPr="00CD18B1">
        <w:t>”</w:t>
      </w:r>
      <w:r>
        <w:t xml:space="preserve"> </w:t>
      </w:r>
      <w:r w:rsidR="00DE22C0">
        <w:t xml:space="preserve">without explanation </w:t>
      </w:r>
      <w:r>
        <w:t xml:space="preserve">(Table 2, pg.18, FDA review). </w:t>
      </w:r>
      <w:r w:rsidR="00FA3BA3">
        <w:t>If 4/</w:t>
      </w:r>
      <w:r w:rsidR="00DD4755">
        <w:t>6</w:t>
      </w:r>
      <w:r w:rsidR="00FA3BA3">
        <w:t>ths of the protocol deviants (n=247) were added back to the Comirnaty data as positive cases, and Comirnaty and placebo group protocol deviants were balanced 1-to-1 (n=62 subjects each)</w:t>
      </w:r>
      <w:r w:rsidR="009A230B">
        <w:t>,</w:t>
      </w:r>
      <w:r w:rsidR="00FA3BA3">
        <w:t xml:space="preserve"> the relative vaccine efficacy would have been </w:t>
      </w:r>
      <w:r w:rsidR="00FA3BA3" w:rsidRPr="001159A0">
        <w:rPr>
          <w:b/>
          <w:bCs w:val="0"/>
        </w:rPr>
        <w:t>-59</w:t>
      </w:r>
      <w:r w:rsidR="00175093" w:rsidRPr="001159A0">
        <w:rPr>
          <w:b/>
          <w:bCs w:val="0"/>
        </w:rPr>
        <w:t>%</w:t>
      </w:r>
      <w:r w:rsidR="00175093">
        <w:t xml:space="preserve"> or</w:t>
      </w:r>
      <w:r w:rsidR="00FA3BA3">
        <w:t xml:space="preserve"> replicating the negative vaccine effectiveness observed in 2021/2022. These issues raised Professor Doshi’s concerns about the “</w:t>
      </w:r>
      <w:r w:rsidR="00FA3BA3" w:rsidRPr="00803CBC">
        <w:rPr>
          <w:i/>
        </w:rPr>
        <w:t>trustworthiness and meaningfulness of the reported efficacy results</w:t>
      </w:r>
      <w:r w:rsidR="00FA3BA3">
        <w:t>.”</w:t>
      </w:r>
      <w:r w:rsidR="00FA3BA3" w:rsidRPr="00002811">
        <w:t xml:space="preserve"> </w:t>
      </w:r>
      <w:r w:rsidR="00FA3BA3">
        <w:t xml:space="preserve">In my view, these issues </w:t>
      </w:r>
      <w:r w:rsidR="001159A0">
        <w:t>should have been</w:t>
      </w:r>
      <w:r w:rsidR="00FA3BA3">
        <w:t xml:space="preserve"> sufficient to have</w:t>
      </w:r>
      <w:r w:rsidR="00FA3BA3" w:rsidRPr="00A40C8A">
        <w:t xml:space="preserve"> </w:t>
      </w:r>
      <w:r w:rsidR="00FA3BA3" w:rsidRPr="00002811">
        <w:rPr>
          <w:b/>
          <w:bCs w:val="0"/>
        </w:rPr>
        <w:t>prevented Comirnaty’s</w:t>
      </w:r>
      <w:r w:rsidR="00FA3BA3" w:rsidRPr="00002811">
        <w:rPr>
          <w:b/>
          <w:bCs w:val="0"/>
          <w:szCs w:val="22"/>
        </w:rPr>
        <w:t xml:space="preserve"> EUA approval</w:t>
      </w:r>
      <w:r w:rsidR="00FA3BA3">
        <w:t>.</w:t>
      </w:r>
    </w:p>
    <w:p w14:paraId="7AD7CF69" w14:textId="272CE290" w:rsidR="00F412B6" w:rsidRPr="00F412B6" w:rsidRDefault="006D0531" w:rsidP="004C5C79">
      <w:pPr>
        <w:pStyle w:val="Heading3"/>
      </w:pPr>
      <w:bookmarkStart w:id="150" w:name="_Toc509513501"/>
      <w:bookmarkStart w:id="151" w:name="_Toc510678518"/>
      <w:bookmarkStart w:id="152" w:name="_Toc510880022"/>
      <w:bookmarkStart w:id="153" w:name="_Toc512275151"/>
      <w:bookmarkStart w:id="154" w:name="_Toc512360368"/>
      <w:bookmarkStart w:id="155" w:name="_Toc516645055"/>
      <w:bookmarkStart w:id="156" w:name="_Toc111368012"/>
      <w:bookmarkStart w:id="157" w:name="_Toc121035141"/>
      <w:r>
        <w:lastRenderedPageBreak/>
        <w:t>High F</w:t>
      </w:r>
      <w:r w:rsidR="00360324">
        <w:t xml:space="preserve">alse </w:t>
      </w:r>
      <w:r>
        <w:t>P</w:t>
      </w:r>
      <w:r w:rsidRPr="00F412B6">
        <w:t xml:space="preserve">ositive </w:t>
      </w:r>
      <w:r w:rsidR="0024576F">
        <w:t>Diagnostic</w:t>
      </w:r>
      <w:r w:rsidR="00F412B6">
        <w:t xml:space="preserve"> M</w:t>
      </w:r>
      <w:r w:rsidR="00AE72BF" w:rsidRPr="00F412B6">
        <w:t>ethod</w:t>
      </w:r>
      <w:r w:rsidR="006F0D68">
        <w:t>s</w:t>
      </w:r>
      <w:r w:rsidR="00AE72BF" w:rsidRPr="00F412B6">
        <w:t xml:space="preserve"> </w:t>
      </w:r>
      <w:r w:rsidR="006F0D68">
        <w:t xml:space="preserve">Generate </w:t>
      </w:r>
      <w:r w:rsidR="004E365B">
        <w:t>Bogus</w:t>
      </w:r>
      <w:r>
        <w:t xml:space="preserve"> </w:t>
      </w:r>
      <w:bookmarkEnd w:id="150"/>
      <w:r w:rsidR="00D11F9E">
        <w:t>Data</w:t>
      </w:r>
      <w:bookmarkEnd w:id="151"/>
      <w:bookmarkEnd w:id="152"/>
      <w:bookmarkEnd w:id="153"/>
      <w:bookmarkEnd w:id="154"/>
      <w:bookmarkEnd w:id="155"/>
      <w:r w:rsidR="00185593">
        <w:t xml:space="preserve"> (Rule of Thumb)</w:t>
      </w:r>
      <w:bookmarkEnd w:id="156"/>
      <w:bookmarkEnd w:id="157"/>
    </w:p>
    <w:p w14:paraId="58F30C02" w14:textId="5C2A4F98" w:rsidR="006D452C" w:rsidRDefault="006D0531" w:rsidP="00327ED7">
      <w:r w:rsidRPr="003337EF">
        <w:t xml:space="preserve">Comirnaty vaccine efficacy </w:t>
      </w:r>
      <w:r w:rsidR="00086118">
        <w:t xml:space="preserve">assessment </w:t>
      </w:r>
      <w:r w:rsidRPr="003337EF">
        <w:t xml:space="preserve">was </w:t>
      </w:r>
      <w:r>
        <w:t xml:space="preserve">primarily </w:t>
      </w:r>
      <w:r w:rsidR="00360324">
        <w:t xml:space="preserve">based on the use of </w:t>
      </w:r>
      <w:r w:rsidR="002238FD">
        <w:t xml:space="preserve">real-time </w:t>
      </w:r>
      <w:r w:rsidR="00A26DB6" w:rsidRPr="00B20851">
        <w:rPr>
          <w:szCs w:val="22"/>
        </w:rPr>
        <w:t xml:space="preserve">polymerase chain reaction </w:t>
      </w:r>
      <w:r w:rsidR="00A26DB6">
        <w:rPr>
          <w:szCs w:val="22"/>
        </w:rPr>
        <w:t>(</w:t>
      </w:r>
      <w:r w:rsidRPr="003337EF">
        <w:t>RT-PCR</w:t>
      </w:r>
      <w:r w:rsidR="00A26DB6">
        <w:t>, shortened to PCR) confirmed cases</w:t>
      </w:r>
      <w:r w:rsidR="00ED5F33">
        <w:t>,</w:t>
      </w:r>
      <w:r w:rsidR="004E365B">
        <w:t xml:space="preserve"> </w:t>
      </w:r>
      <w:r w:rsidR="00ED5F33" w:rsidRPr="00A40C8A">
        <w:t xml:space="preserve">plus one </w:t>
      </w:r>
      <w:r w:rsidR="00ED5F33">
        <w:t xml:space="preserve">or more </w:t>
      </w:r>
      <w:r w:rsidR="00ED5F33" w:rsidRPr="00A40C8A">
        <w:t>non-specific flu-</w:t>
      </w:r>
      <w:r w:rsidR="00BB3A6D">
        <w:t xml:space="preserve"> </w:t>
      </w:r>
      <w:r w:rsidR="00ED5F33">
        <w:t>or gastrointestinal-</w:t>
      </w:r>
      <w:r w:rsidR="00ED5F33" w:rsidRPr="00A40C8A">
        <w:t>like symptom</w:t>
      </w:r>
      <w:r w:rsidR="00ED5F33">
        <w:t>s</w:t>
      </w:r>
      <w:r w:rsidR="00086118">
        <w:t xml:space="preserve"> </w:t>
      </w:r>
      <w:r w:rsidR="00A26DB6">
        <w:t>(</w:t>
      </w:r>
      <w:r w:rsidR="00086118">
        <w:t xml:space="preserve">i.e., </w:t>
      </w:r>
      <w:r w:rsidR="004C05DE">
        <w:t xml:space="preserve">applicable to </w:t>
      </w:r>
      <w:r w:rsidR="001D6549">
        <w:t xml:space="preserve">COVID-19 and </w:t>
      </w:r>
      <w:r w:rsidR="001159A0">
        <w:t xml:space="preserve">any </w:t>
      </w:r>
      <w:r w:rsidR="004C05DE">
        <w:t xml:space="preserve">other respiratory </w:t>
      </w:r>
      <w:r w:rsidR="009A230B">
        <w:t>and</w:t>
      </w:r>
      <w:r w:rsidR="002238FD">
        <w:t xml:space="preserve"> gastrointestinal </w:t>
      </w:r>
      <w:r w:rsidR="004C05DE">
        <w:t>viruses</w:t>
      </w:r>
      <w:r w:rsidR="001D6549">
        <w:t xml:space="preserve"> </w:t>
      </w:r>
      <w:r w:rsidR="009A230B">
        <w:t>and</w:t>
      </w:r>
      <w:r w:rsidR="001D6549">
        <w:t xml:space="preserve"> non-infectious ailments</w:t>
      </w:r>
      <w:r w:rsidR="00A26DB6">
        <w:t>)</w:t>
      </w:r>
      <w:r w:rsidR="00ED5F33">
        <w:t>.</w:t>
      </w:r>
      <w:r w:rsidR="00A77260" w:rsidRPr="005406F6">
        <w:rPr>
          <w:rStyle w:val="EndnoteReference"/>
        </w:rPr>
        <w:endnoteReference w:id="339"/>
      </w:r>
      <w:r w:rsidR="00ED5F33" w:rsidRPr="00BB2487">
        <w:t xml:space="preserve"> </w:t>
      </w:r>
      <w:r w:rsidR="001D6549">
        <w:t xml:space="preserve">Dr. </w:t>
      </w:r>
      <w:r w:rsidR="00E00187">
        <w:t xml:space="preserve">Michael </w:t>
      </w:r>
      <w:r w:rsidRPr="00BB2487">
        <w:t>Yeadon</w:t>
      </w:r>
      <w:r w:rsidR="004C05DE">
        <w:t xml:space="preserve"> </w:t>
      </w:r>
      <w:r w:rsidR="00982762">
        <w:t>(</w:t>
      </w:r>
      <w:r w:rsidR="00530E0A">
        <w:t xml:space="preserve">i.e., </w:t>
      </w:r>
      <w:r w:rsidR="001D3011" w:rsidRPr="00530E0A">
        <w:rPr>
          <w:i/>
          <w:iCs/>
        </w:rPr>
        <w:t>former Vice President &amp; Chief Scientific Officer of Allergy &amp; Respiratory at Pfizer Global R&amp;D</w:t>
      </w:r>
      <w:r w:rsidR="00982762">
        <w:t>)</w:t>
      </w:r>
      <w:r w:rsidRPr="00BB2487">
        <w:t xml:space="preserve"> </w:t>
      </w:r>
      <w:r w:rsidR="00A77260">
        <w:t xml:space="preserve">plus another </w:t>
      </w:r>
      <w:r w:rsidR="004C05DE" w:rsidRPr="00BB2487">
        <w:t>petition</w:t>
      </w:r>
      <w:r w:rsidR="00982762">
        <w:t>ed</w:t>
      </w:r>
      <w:r w:rsidR="004C05DE" w:rsidRPr="00BB2487">
        <w:t xml:space="preserve"> </w:t>
      </w:r>
      <w:r w:rsidR="00E00187">
        <w:t>the</w:t>
      </w:r>
      <w:r w:rsidR="004C05DE">
        <w:t xml:space="preserve"> </w:t>
      </w:r>
      <w:r w:rsidRPr="00BB2487">
        <w:t>EMA</w:t>
      </w:r>
      <w:r w:rsidR="00982762">
        <w:t xml:space="preserve"> </w:t>
      </w:r>
      <w:r w:rsidR="00C76F40">
        <w:t xml:space="preserve">on Comirnaty’s efficacy assessment shortcomings </w:t>
      </w:r>
      <w:r w:rsidR="00982762">
        <w:t>(01/12/2020)</w:t>
      </w:r>
      <w:r w:rsidR="00327ED7">
        <w:t>.</w:t>
      </w:r>
      <w:r w:rsidRPr="00BB2487">
        <w:rPr>
          <w:rStyle w:val="EndnoteReference"/>
        </w:rPr>
        <w:endnoteReference w:id="340"/>
      </w:r>
      <w:r w:rsidR="00820A11">
        <w:t xml:space="preserve"> </w:t>
      </w:r>
      <w:r w:rsidR="00327ED7">
        <w:t>Accordingly, “</w:t>
      </w:r>
      <w:r w:rsidR="00327ED7" w:rsidRPr="00327ED7">
        <w:rPr>
          <w:i/>
          <w:iCs/>
        </w:rPr>
        <w:t xml:space="preserve">The current study designs for the Phase II/III trials of BNT162b (“the Pfizer Vaccine”) are inadequate </w:t>
      </w:r>
      <w:r w:rsidR="009A230B">
        <w:rPr>
          <w:i/>
          <w:iCs/>
        </w:rPr>
        <w:t>to assess efficacy accurately</w:t>
      </w:r>
      <w:r w:rsidR="00327ED7">
        <w:t xml:space="preserve">.” </w:t>
      </w:r>
    </w:p>
    <w:p w14:paraId="60C47C74" w14:textId="3BE255DE" w:rsidR="001D5B89" w:rsidRDefault="009A230B" w:rsidP="00327ED7">
      <w:r>
        <w:t>In their EMA petition, Yeadon et al. then stated</w:t>
      </w:r>
      <w:r w:rsidR="006D452C">
        <w:t xml:space="preserve">, </w:t>
      </w:r>
      <w:r w:rsidR="001D5B89">
        <w:t>“</w:t>
      </w:r>
      <w:r w:rsidR="001D5B89" w:rsidRPr="00327ED7">
        <w:rPr>
          <w:i/>
          <w:iCs/>
        </w:rPr>
        <w:t xml:space="preserve">ACTION REQUESTED 2. Stay the Phase III trial of BNT162 (NCT04368728) until its study design is amended to provide that: Before </w:t>
      </w:r>
      <w:r w:rsidR="00327ED7">
        <w:rPr>
          <w:i/>
          <w:iCs/>
        </w:rPr>
        <w:t>a</w:t>
      </w:r>
      <w:r w:rsidR="001D5B89" w:rsidRPr="00327ED7">
        <w:rPr>
          <w:i/>
          <w:iCs/>
        </w:rPr>
        <w:t xml:space="preserve"> EUA or unrestricted license is issued for the Pfizer vaccine, or for other vaccines for which PCR results are the primary evidence of infection, all endpoints or </w:t>
      </w:r>
      <w:r w:rsidR="00572563">
        <w:rPr>
          <w:i/>
          <w:iCs/>
        </w:rPr>
        <w:t>COVID-19</w:t>
      </w:r>
      <w:r w:rsidR="001D5B89" w:rsidRPr="00327ED7">
        <w:rPr>
          <w:i/>
          <w:iCs/>
        </w:rPr>
        <w:t xml:space="preserve"> cases used to determine vaccine efficacy in the Phase 3 or 2/3 trials should have their infection status confirmed by Sanger sequencing</w:t>
      </w:r>
      <w:r w:rsidR="00611CD9">
        <w:rPr>
          <w:i/>
          <w:iCs/>
        </w:rPr>
        <w:t xml:space="preserve"> (“</w:t>
      </w:r>
      <w:r w:rsidR="00611CD9" w:rsidRPr="007D62B6">
        <w:rPr>
          <w:i/>
          <w:iCs/>
        </w:rPr>
        <w:t>to confirm that the tested samples</w:t>
      </w:r>
      <w:r w:rsidR="00611CD9">
        <w:rPr>
          <w:i/>
          <w:iCs/>
        </w:rPr>
        <w:t>, in fact,</w:t>
      </w:r>
      <w:r w:rsidR="00611CD9" w:rsidRPr="007D62B6">
        <w:rPr>
          <w:i/>
          <w:iCs/>
        </w:rPr>
        <w:t xml:space="preserve"> contain a unique SARS-CoV-2 genomic RNA.</w:t>
      </w:r>
      <w:r w:rsidR="00611CD9">
        <w:t>”</w:t>
      </w:r>
      <w:r w:rsidR="00611CD9">
        <w:rPr>
          <w:i/>
          <w:iCs/>
        </w:rPr>
        <w:t>)</w:t>
      </w:r>
      <w:r w:rsidR="001D5B89" w:rsidRPr="00327ED7">
        <w:rPr>
          <w:i/>
          <w:iCs/>
        </w:rPr>
        <w:t>, given the high cycle thresholds used in some trials.</w:t>
      </w:r>
      <w:r w:rsidR="008866A9">
        <w:rPr>
          <w:i/>
          <w:iCs/>
        </w:rPr>
        <w:t>”</w:t>
      </w:r>
    </w:p>
    <w:p w14:paraId="09E3D60A" w14:textId="5923CE9A" w:rsidR="008B3B62" w:rsidRDefault="00514C2F" w:rsidP="00C0293B">
      <w:r w:rsidRPr="003337EF">
        <w:t xml:space="preserve">The </w:t>
      </w:r>
      <w:r w:rsidR="00D70225" w:rsidRPr="003337EF">
        <w:t xml:space="preserve">PCR </w:t>
      </w:r>
      <w:r w:rsidRPr="003337EF">
        <w:t xml:space="preserve">method </w:t>
      </w:r>
      <w:r w:rsidR="00547548" w:rsidRPr="003337EF">
        <w:t xml:space="preserve">used worldwide </w:t>
      </w:r>
      <w:r w:rsidR="00086118">
        <w:t xml:space="preserve">to diagnose </w:t>
      </w:r>
      <w:r w:rsidR="00086118" w:rsidRPr="00086118">
        <w:t xml:space="preserve">SARS-CoV-2 </w:t>
      </w:r>
      <w:r w:rsidR="0051379C">
        <w:t xml:space="preserve">from January 2020 </w:t>
      </w:r>
      <w:r w:rsidR="00547548" w:rsidRPr="003337EF">
        <w:t xml:space="preserve">was based on </w:t>
      </w:r>
      <w:r w:rsidR="00464A93" w:rsidRPr="003337EF">
        <w:t xml:space="preserve">the </w:t>
      </w:r>
      <w:r w:rsidR="00C30977">
        <w:rPr>
          <w:i/>
        </w:rPr>
        <w:t>hastily</w:t>
      </w:r>
      <w:r w:rsidR="007D2362">
        <w:t xml:space="preserve"> </w:t>
      </w:r>
      <w:r w:rsidR="00ED6FEA">
        <w:t>“</w:t>
      </w:r>
      <w:r w:rsidR="00CC5705">
        <w:t>peer-reviewed</w:t>
      </w:r>
      <w:r w:rsidR="00ED6FEA">
        <w:t xml:space="preserve">” </w:t>
      </w:r>
      <w:r w:rsidR="00DF76DD" w:rsidRPr="003337EF">
        <w:t>Corman-Drosten protocol</w:t>
      </w:r>
      <w:r w:rsidR="00DF76DD">
        <w:t xml:space="preserve"> </w:t>
      </w:r>
      <w:r w:rsidR="008C21E1">
        <w:t>(</w:t>
      </w:r>
      <w:r w:rsidR="008C0199">
        <w:t xml:space="preserve">i.e., </w:t>
      </w:r>
      <w:r w:rsidR="008C21E1">
        <w:t>24-hours</w:t>
      </w:r>
      <w:r w:rsidR="00A557D8">
        <w:t>, “</w:t>
      </w:r>
      <w:r w:rsidR="00A557D8" w:rsidRPr="00CF1AAB">
        <w:rPr>
          <w:i/>
          <w:iCs/>
        </w:rPr>
        <w:t>Received 2020 Jan 21; Accepted 2020 Jan 22</w:t>
      </w:r>
      <w:r w:rsidR="00A557D8" w:rsidRPr="00A557D8">
        <w:t>.</w:t>
      </w:r>
      <w:r w:rsidR="00A557D8">
        <w:t>”</w:t>
      </w:r>
      <w:r w:rsidR="008C21E1">
        <w:t>)</w:t>
      </w:r>
      <w:r w:rsidR="00FD2CF3">
        <w:t>,</w:t>
      </w:r>
      <w:r w:rsidR="00547548" w:rsidRPr="003337EF">
        <w:rPr>
          <w:rStyle w:val="EndnoteReference"/>
        </w:rPr>
        <w:endnoteReference w:id="341"/>
      </w:r>
      <w:r w:rsidR="00547548" w:rsidRPr="003337EF">
        <w:t xml:space="preserve"> </w:t>
      </w:r>
      <w:r w:rsidR="00FD2CF3">
        <w:t xml:space="preserve">which was </w:t>
      </w:r>
      <w:r w:rsidR="00CF0A85">
        <w:t>downloadable from</w:t>
      </w:r>
      <w:r w:rsidR="00FD2CF3">
        <w:t xml:space="preserve"> the WHO</w:t>
      </w:r>
      <w:r w:rsidR="00CF0A85">
        <w:t xml:space="preserve"> website </w:t>
      </w:r>
      <w:r w:rsidR="00937D85">
        <w:t xml:space="preserve">before its </w:t>
      </w:r>
      <w:r w:rsidR="009A230B">
        <w:t>peer review</w:t>
      </w:r>
      <w:r w:rsidR="00937D85">
        <w:t xml:space="preserve"> </w:t>
      </w:r>
      <w:r w:rsidR="00CF0A85">
        <w:t>(</w:t>
      </w:r>
      <w:r w:rsidR="00CF0A85" w:rsidRPr="00CF0A85">
        <w:t>2020</w:t>
      </w:r>
      <w:r w:rsidR="00CF0A85">
        <w:t xml:space="preserve"> Jan 17)</w:t>
      </w:r>
      <w:r w:rsidR="00FD2CF3">
        <w:t>.</w:t>
      </w:r>
      <w:r w:rsidR="00FD2CF3">
        <w:rPr>
          <w:rStyle w:val="EndnoteReference"/>
        </w:rPr>
        <w:endnoteReference w:id="342"/>
      </w:r>
      <w:r w:rsidR="00FD2CF3">
        <w:t xml:space="preserve"> </w:t>
      </w:r>
      <w:r w:rsidR="008C0199">
        <w:t>This protocol</w:t>
      </w:r>
      <w:r w:rsidR="00547548" w:rsidRPr="003337EF">
        <w:t xml:space="preserve"> </w:t>
      </w:r>
      <w:r w:rsidRPr="003337EF">
        <w:t xml:space="preserve">was described as </w:t>
      </w:r>
      <w:r w:rsidR="00547548" w:rsidRPr="003337EF">
        <w:t>“</w:t>
      </w:r>
      <w:r w:rsidRPr="003337EF">
        <w:rPr>
          <w:i/>
        </w:rPr>
        <w:t>severely flawed</w:t>
      </w:r>
      <w:r w:rsidR="00547548" w:rsidRPr="003337EF">
        <w:t>”</w:t>
      </w:r>
      <w:r w:rsidRPr="003337EF">
        <w:t xml:space="preserve"> </w:t>
      </w:r>
      <w:r w:rsidR="00547548" w:rsidRPr="003337EF">
        <w:t xml:space="preserve">by an international consortium of </w:t>
      </w:r>
      <w:r w:rsidR="006E2CBC" w:rsidRPr="003337EF">
        <w:t>expert scientists</w:t>
      </w:r>
      <w:r w:rsidR="00464A93" w:rsidRPr="003337EF">
        <w:t xml:space="preserve"> who </w:t>
      </w:r>
      <w:r w:rsidR="00025077">
        <w:t>petitioned for</w:t>
      </w:r>
      <w:r w:rsidR="00025077" w:rsidRPr="003337EF">
        <w:t xml:space="preserve"> </w:t>
      </w:r>
      <w:r w:rsidR="00464A93" w:rsidRPr="003337EF">
        <w:t>its journal retraction</w:t>
      </w:r>
      <w:r w:rsidR="00A557D8">
        <w:t>,</w:t>
      </w:r>
      <w:r w:rsidR="00A557D8" w:rsidRPr="003337EF">
        <w:rPr>
          <w:rStyle w:val="EndnoteReference"/>
        </w:rPr>
        <w:endnoteReference w:id="343"/>
      </w:r>
      <w:r w:rsidR="00A557D8" w:rsidRPr="003337EF">
        <w:t xml:space="preserve"> </w:t>
      </w:r>
      <w:r w:rsidR="00025077">
        <w:t xml:space="preserve">which was </w:t>
      </w:r>
      <w:r w:rsidR="00A557D8">
        <w:t xml:space="preserve">accompanied by their review report, </w:t>
      </w:r>
      <w:r w:rsidR="00A557D8" w:rsidRPr="003337EF">
        <w:t>“</w:t>
      </w:r>
      <w:r w:rsidR="00464A93" w:rsidRPr="003337EF">
        <w:rPr>
          <w:i/>
        </w:rPr>
        <w:t>External peer review of the RT</w:t>
      </w:r>
      <w:r w:rsidR="00820A11">
        <w:rPr>
          <w:i/>
        </w:rPr>
        <w:t>-</w:t>
      </w:r>
      <w:r w:rsidR="00464A93" w:rsidRPr="003337EF">
        <w:rPr>
          <w:i/>
        </w:rPr>
        <w:t>PCR test to detect SARS-CoV</w:t>
      </w:r>
      <w:r w:rsidR="00820A11">
        <w:rPr>
          <w:i/>
        </w:rPr>
        <w:t>-</w:t>
      </w:r>
      <w:r w:rsidR="00464A93" w:rsidRPr="003337EF">
        <w:rPr>
          <w:i/>
        </w:rPr>
        <w:t xml:space="preserve">2 reveals </w:t>
      </w:r>
      <w:r w:rsidR="00464A93" w:rsidRPr="00937D85">
        <w:rPr>
          <w:b/>
          <w:bCs w:val="0"/>
          <w:i/>
        </w:rPr>
        <w:t>10 major scientific flaws</w:t>
      </w:r>
      <w:r w:rsidR="00464A93" w:rsidRPr="003337EF">
        <w:rPr>
          <w:i/>
        </w:rPr>
        <w:t xml:space="preserve"> at the molecular and methodological level: consequences for false positive results</w:t>
      </w:r>
      <w:r w:rsidR="00464A93" w:rsidRPr="003337EF">
        <w:t>”</w:t>
      </w:r>
      <w:r w:rsidR="00A557D8">
        <w:t>.</w:t>
      </w:r>
      <w:r w:rsidR="00A557D8" w:rsidRPr="00A557D8">
        <w:rPr>
          <w:rStyle w:val="EndnoteReference"/>
          <w:szCs w:val="22"/>
        </w:rPr>
        <w:t xml:space="preserve"> </w:t>
      </w:r>
      <w:r w:rsidR="00A557D8" w:rsidRPr="003337EF">
        <w:rPr>
          <w:rStyle w:val="EndnoteReference"/>
          <w:szCs w:val="22"/>
        </w:rPr>
        <w:endnoteReference w:id="344"/>
      </w:r>
      <w:r w:rsidR="00464A93" w:rsidRPr="003337EF">
        <w:t xml:space="preserve"> </w:t>
      </w:r>
      <w:r w:rsidR="00CC5705">
        <w:t xml:space="preserve">According to these experts, this </w:t>
      </w:r>
      <w:r w:rsidR="00977112">
        <w:t>test method</w:t>
      </w:r>
      <w:r w:rsidR="009E2A93" w:rsidRPr="003337EF">
        <w:t xml:space="preserve"> led to the “</w:t>
      </w:r>
      <w:r w:rsidR="009E2A93" w:rsidRPr="000B315E">
        <w:rPr>
          <w:b/>
          <w:iCs/>
        </w:rPr>
        <w:t xml:space="preserve">worldwide misdiagnosis of infections attributed to SARS-CoV-2 and associated with the disease </w:t>
      </w:r>
      <w:r w:rsidR="00572563">
        <w:rPr>
          <w:b/>
          <w:iCs/>
        </w:rPr>
        <w:t>COVID-19</w:t>
      </w:r>
      <w:r w:rsidR="009E2A93" w:rsidRPr="003337EF">
        <w:t>”.</w:t>
      </w:r>
      <w:r w:rsidR="00D70225" w:rsidRPr="003337EF">
        <w:t xml:space="preserve"> </w:t>
      </w:r>
    </w:p>
    <w:p w14:paraId="7F4DFC9E" w14:textId="3B4990BB" w:rsidR="00DC25DE" w:rsidRDefault="00CC5705" w:rsidP="00FB146F">
      <w:r w:rsidRPr="00FD67C7">
        <w:t>Th</w:t>
      </w:r>
      <w:r w:rsidR="008B3B62">
        <w:t>is WHO-promoted Corman-Drosten</w:t>
      </w:r>
      <w:r w:rsidRPr="00FD67C7">
        <w:t xml:space="preserve"> PCR reference protocol</w:t>
      </w:r>
      <w:r>
        <w:t xml:space="preserve"> </w:t>
      </w:r>
      <w:r w:rsidR="0071551D">
        <w:t>promoted</w:t>
      </w:r>
      <w:r w:rsidR="0071551D" w:rsidRPr="00FD67C7">
        <w:t xml:space="preserve"> </w:t>
      </w:r>
      <w:r>
        <w:t xml:space="preserve">a </w:t>
      </w:r>
      <w:r w:rsidR="000C7A7C">
        <w:t>cycle</w:t>
      </w:r>
      <w:r>
        <w:t xml:space="preserve"> threshold</w:t>
      </w:r>
      <w:r w:rsidR="00AB4D18">
        <w:t xml:space="preserve"> of 45</w:t>
      </w:r>
      <w:r w:rsidRPr="00FD67C7">
        <w:t>.</w:t>
      </w:r>
      <w:r w:rsidRPr="00AE5D7D">
        <w:rPr>
          <w:rStyle w:val="EndnoteReference"/>
        </w:rPr>
        <w:endnoteReference w:id="345"/>
      </w:r>
      <w:r w:rsidRPr="00AE5D7D">
        <w:rPr>
          <w:vertAlign w:val="superscript"/>
        </w:rPr>
        <w:t>,</w:t>
      </w:r>
      <w:r w:rsidRPr="00AE5D7D">
        <w:rPr>
          <w:rStyle w:val="EndnoteReference"/>
        </w:rPr>
        <w:endnoteReference w:id="346"/>
      </w:r>
      <w:r w:rsidR="00FB146F">
        <w:rPr>
          <w:vertAlign w:val="superscript"/>
        </w:rPr>
        <w:t xml:space="preserve"> </w:t>
      </w:r>
      <w:r w:rsidR="00DC25DE">
        <w:t xml:space="preserve">According to this </w:t>
      </w:r>
      <w:r w:rsidR="00DC25DE" w:rsidRPr="003337EF">
        <w:t>international consortium of expert</w:t>
      </w:r>
      <w:r w:rsidR="00DF76DD">
        <w:t>s</w:t>
      </w:r>
      <w:r w:rsidR="00025077">
        <w:t>,</w:t>
      </w:r>
      <w:r w:rsidR="00DF76DD">
        <w:t xml:space="preserve"> </w:t>
      </w:r>
      <w:r w:rsidR="00DC25DE">
        <w:t xml:space="preserve">PCR data evaluated as positive after a </w:t>
      </w:r>
      <w:r w:rsidR="00852BC9">
        <w:t>cycle threshold</w:t>
      </w:r>
      <w:r w:rsidR="00852BC9" w:rsidRPr="00A40C8A">
        <w:t xml:space="preserve"> (Ct)</w:t>
      </w:r>
      <w:r w:rsidR="00DC25DE">
        <w:t xml:space="preserve"> value of 35 cycles are </w:t>
      </w:r>
      <w:r w:rsidR="00DC25DE" w:rsidRPr="006208D2">
        <w:rPr>
          <w:i/>
          <w:iCs/>
        </w:rPr>
        <w:t>completely unreliable</w:t>
      </w:r>
      <w:r w:rsidR="005A75E6">
        <w:rPr>
          <w:i/>
          <w:iCs/>
        </w:rPr>
        <w:t xml:space="preserve"> (“</w:t>
      </w:r>
      <w:r w:rsidR="005A75E6" w:rsidRPr="005A75E6">
        <w:rPr>
          <w:i/>
          <w:iCs/>
        </w:rPr>
        <w:t>as is the case in most laboratories in Europe &amp; the US</w:t>
      </w:r>
      <w:r w:rsidR="005A75E6">
        <w:rPr>
          <w:i/>
          <w:iCs/>
        </w:rPr>
        <w:t>”)</w:t>
      </w:r>
      <w:r w:rsidR="00852BC9">
        <w:t>,</w:t>
      </w:r>
      <w:r w:rsidR="00DC25DE">
        <w:rPr>
          <w:rStyle w:val="EndnoteReference"/>
        </w:rPr>
        <w:endnoteReference w:id="347"/>
      </w:r>
      <w:r w:rsidR="00DC25DE">
        <w:t xml:space="preserve"> </w:t>
      </w:r>
      <w:r w:rsidR="00852BC9">
        <w:t>because this</w:t>
      </w:r>
      <w:r w:rsidR="006D452C">
        <w:t xml:space="preserve"> </w:t>
      </w:r>
      <w:r w:rsidR="00DF76DD">
        <w:t>wa</w:t>
      </w:r>
      <w:r w:rsidR="006D452C">
        <w:t>s known to</w:t>
      </w:r>
      <w:r w:rsidR="00FB146F">
        <w:t xml:space="preserve"> </w:t>
      </w:r>
      <w:r w:rsidR="00FB146F" w:rsidRPr="00A40C8A">
        <w:t>generat</w:t>
      </w:r>
      <w:r w:rsidR="00FB146F">
        <w:t>e</w:t>
      </w:r>
      <w:r w:rsidR="00FB146F" w:rsidRPr="00A40C8A">
        <w:t xml:space="preserve"> </w:t>
      </w:r>
      <w:r w:rsidR="009E7174">
        <w:t>&gt;</w:t>
      </w:r>
      <w:r w:rsidR="00FB146F" w:rsidRPr="00A40C8A">
        <w:t xml:space="preserve">97% false positive </w:t>
      </w:r>
      <w:r w:rsidR="0010408B">
        <w:t>cases</w:t>
      </w:r>
      <w:r w:rsidR="00DC25DE">
        <w:t>.</w:t>
      </w:r>
      <w:r w:rsidR="00FB146F" w:rsidRPr="00A40C8A">
        <w:rPr>
          <w:rStyle w:val="EndnoteReference"/>
        </w:rPr>
        <w:endnoteReference w:id="348"/>
      </w:r>
      <w:r w:rsidR="00FB146F" w:rsidRPr="00A40C8A">
        <w:t xml:space="preserve"> </w:t>
      </w:r>
      <w:r w:rsidR="002E228D">
        <w:t>According to this last cited publication,</w:t>
      </w:r>
      <w:r w:rsidR="002E228D" w:rsidRPr="002E228D">
        <w:t xml:space="preserve"> </w:t>
      </w:r>
      <w:r w:rsidR="002E228D">
        <w:t>“</w:t>
      </w:r>
      <w:r w:rsidR="002E228D" w:rsidRPr="00B7065C">
        <w:rPr>
          <w:i/>
          <w:iCs/>
        </w:rPr>
        <w:t>It can be observed that at Ct = 25, up to 70% of patients remain positive in culture and that at Ct = 30</w:t>
      </w:r>
      <w:r w:rsidR="00AD5D18">
        <w:rPr>
          <w:i/>
          <w:iCs/>
        </w:rPr>
        <w:t>,</w:t>
      </w:r>
      <w:r w:rsidR="002E228D" w:rsidRPr="00B7065C">
        <w:rPr>
          <w:i/>
          <w:iCs/>
        </w:rPr>
        <w:t xml:space="preserve"> this value drops to 20%. At Ct = 35, the value we used to report a positive result for PCR, &lt;3% of cultures are positive.</w:t>
      </w:r>
      <w:r w:rsidR="002C00E5">
        <w:t>”</w:t>
      </w:r>
      <w:r w:rsidR="006C49EC">
        <w:t xml:space="preserve"> Furthermore, </w:t>
      </w:r>
      <w:r w:rsidR="00B7065C">
        <w:t>a systematic review</w:t>
      </w:r>
      <w:r w:rsidR="006C49EC" w:rsidRPr="006C49EC">
        <w:t xml:space="preserve"> </w:t>
      </w:r>
      <w:r w:rsidR="00F44989">
        <w:t>concluded that t</w:t>
      </w:r>
      <w:r w:rsidR="00F44989" w:rsidRPr="00F44989">
        <w:t xml:space="preserve">hose with </w:t>
      </w:r>
      <w:r w:rsidR="00F44989">
        <w:t xml:space="preserve">a </w:t>
      </w:r>
      <w:r w:rsidR="00F44989" w:rsidRPr="00F44989">
        <w:t xml:space="preserve">high cycle threshold </w:t>
      </w:r>
      <w:r w:rsidR="00AD5D18">
        <w:t>were</w:t>
      </w:r>
      <w:r w:rsidR="00F44989" w:rsidRPr="00F44989">
        <w:t xml:space="preserve"> unlikely to have infectious potential</w:t>
      </w:r>
      <w:r w:rsidR="001159A0">
        <w:t xml:space="preserve"> while reminding us that a</w:t>
      </w:r>
      <w:r w:rsidR="00AD5D18">
        <w:t xml:space="preserve"> </w:t>
      </w:r>
      <w:r w:rsidR="00F44989">
        <w:t>c</w:t>
      </w:r>
      <w:r w:rsidR="00F44989" w:rsidRPr="00F44989">
        <w:t xml:space="preserve">omplete live virus </w:t>
      </w:r>
      <w:r w:rsidR="00AD5D18">
        <w:t>was</w:t>
      </w:r>
      <w:r w:rsidR="00F44989" w:rsidRPr="00F44989">
        <w:t xml:space="preserve"> necessary for</w:t>
      </w:r>
      <w:r w:rsidR="00937D85">
        <w:t xml:space="preserve"> virus</w:t>
      </w:r>
      <w:r w:rsidR="00F44989" w:rsidRPr="00F44989">
        <w:t xml:space="preserve"> transmission, not </w:t>
      </w:r>
      <w:r w:rsidR="00025077">
        <w:t xml:space="preserve">RNA </w:t>
      </w:r>
      <w:r w:rsidR="00F44989" w:rsidRPr="00F44989">
        <w:t>fragments identified by PCR.</w:t>
      </w:r>
      <w:r w:rsidR="001F4A46">
        <w:rPr>
          <w:rStyle w:val="EndnoteReference"/>
        </w:rPr>
        <w:endnoteReference w:id="349"/>
      </w:r>
      <w:r w:rsidR="00F44989">
        <w:t xml:space="preserve">  </w:t>
      </w:r>
    </w:p>
    <w:p w14:paraId="26129404" w14:textId="47BE8F18" w:rsidR="00DD4755" w:rsidRPr="00536BB3" w:rsidRDefault="00DD4755" w:rsidP="00DD4755">
      <w:r w:rsidRPr="00536BB3">
        <w:lastRenderedPageBreak/>
        <w:t xml:space="preserve">I vividly remember watching </w:t>
      </w:r>
      <w:r w:rsidR="001159A0">
        <w:t xml:space="preserve">the </w:t>
      </w:r>
      <w:r w:rsidRPr="00536BB3">
        <w:t xml:space="preserve">WHO </w:t>
      </w:r>
      <w:r w:rsidR="00AD5D18">
        <w:t>Director-General</w:t>
      </w:r>
      <w:r w:rsidRPr="00536BB3">
        <w:t xml:space="preserve"> Tedros Adhanom Ghebreyesus (16/03/2020) tell the world, “</w:t>
      </w:r>
      <w:r w:rsidRPr="00536BB3">
        <w:rPr>
          <w:i/>
        </w:rPr>
        <w:t>We have a simple message to all countries - test, test, test</w:t>
      </w:r>
      <w:r w:rsidRPr="00536BB3">
        <w:t>” (i.e., using these high false positive PCR case generators).</w:t>
      </w:r>
      <w:r w:rsidRPr="00536BB3">
        <w:rPr>
          <w:rStyle w:val="EndnoteReference"/>
        </w:rPr>
        <w:endnoteReference w:id="350"/>
      </w:r>
      <w:r w:rsidRPr="00536BB3">
        <w:t xml:space="preserve"> Less than one</w:t>
      </w:r>
      <w:r w:rsidR="0025621B" w:rsidRPr="00536BB3">
        <w:t xml:space="preserve"> year later, the WHO amended its PCR protocol recommendations to </w:t>
      </w:r>
      <w:r w:rsidR="00D44659" w:rsidRPr="00536BB3">
        <w:t xml:space="preserve">minimize the generation of false positive data </w:t>
      </w:r>
      <w:r w:rsidR="0025621B" w:rsidRPr="00536BB3">
        <w:t>(13/01/2021).</w:t>
      </w:r>
      <w:r w:rsidR="0025621B" w:rsidRPr="00536BB3">
        <w:rPr>
          <w:rStyle w:val="EndnoteReference"/>
        </w:rPr>
        <w:endnoteReference w:id="351"/>
      </w:r>
      <w:r w:rsidR="0025621B" w:rsidRPr="00536BB3">
        <w:t xml:space="preserve"> Unfortunately, </w:t>
      </w:r>
      <w:r w:rsidR="00C30977" w:rsidRPr="00536BB3">
        <w:t>by then</w:t>
      </w:r>
      <w:r w:rsidR="00AD5D18">
        <w:t>,</w:t>
      </w:r>
      <w:r w:rsidR="00C30977" w:rsidRPr="00536BB3">
        <w:t xml:space="preserve"> </w:t>
      </w:r>
      <w:r w:rsidR="0025621B" w:rsidRPr="00536BB3">
        <w:t xml:space="preserve">the </w:t>
      </w:r>
      <w:r w:rsidR="0025621B" w:rsidRPr="00536BB3">
        <w:rPr>
          <w:b/>
          <w:bCs w:val="0"/>
        </w:rPr>
        <w:t>damage had been done</w:t>
      </w:r>
      <w:r w:rsidR="0025621B" w:rsidRPr="00536BB3">
        <w:t xml:space="preserve"> </w:t>
      </w:r>
      <w:r w:rsidR="00B50310" w:rsidRPr="00536BB3">
        <w:t xml:space="preserve">in my </w:t>
      </w:r>
      <w:r w:rsidR="00C30977" w:rsidRPr="00536BB3">
        <w:t>view</w:t>
      </w:r>
      <w:r w:rsidR="00B50310" w:rsidRPr="00536BB3">
        <w:t xml:space="preserve"> </w:t>
      </w:r>
      <w:r w:rsidR="0025621B" w:rsidRPr="00536BB3">
        <w:t xml:space="preserve">because this original WHO-promoted Corman-Drosten high false positive PCR protocol had been used to diagnose </w:t>
      </w:r>
      <w:r w:rsidR="00B50310" w:rsidRPr="00536BB3">
        <w:t>the</w:t>
      </w:r>
      <w:r w:rsidR="00D44659" w:rsidRPr="00536BB3">
        <w:t xml:space="preserve"> global and national</w:t>
      </w:r>
      <w:r w:rsidR="00B50310" w:rsidRPr="00536BB3">
        <w:t xml:space="preserve"> </w:t>
      </w:r>
      <w:r w:rsidR="0025621B" w:rsidRPr="00536BB3">
        <w:t xml:space="preserve">cases </w:t>
      </w:r>
      <w:r w:rsidR="0010408B" w:rsidRPr="00536BB3">
        <w:t xml:space="preserve">in 2020 </w:t>
      </w:r>
      <w:r w:rsidR="00C30977" w:rsidRPr="00536BB3">
        <w:t xml:space="preserve">that were </w:t>
      </w:r>
      <w:r w:rsidR="0025621B" w:rsidRPr="00536BB3">
        <w:t xml:space="preserve">used to justify </w:t>
      </w:r>
      <w:r w:rsidR="0025621B" w:rsidRPr="00536BB3">
        <w:rPr>
          <w:b/>
          <w:bCs w:val="0"/>
        </w:rPr>
        <w:t>polic</w:t>
      </w:r>
      <w:r w:rsidR="0010408B" w:rsidRPr="00536BB3">
        <w:rPr>
          <w:b/>
          <w:bCs w:val="0"/>
        </w:rPr>
        <w:t>ies</w:t>
      </w:r>
      <w:r w:rsidR="0025621B" w:rsidRPr="00536BB3">
        <w:t xml:space="preserve">, including travel restrictions, lockdowns, social distancing, </w:t>
      </w:r>
      <w:r w:rsidR="007D2362" w:rsidRPr="00536BB3">
        <w:t>mask-wearing</w:t>
      </w:r>
      <w:r w:rsidR="0025621B" w:rsidRPr="00536BB3">
        <w:t xml:space="preserve">, </w:t>
      </w:r>
      <w:r w:rsidR="007D2362" w:rsidRPr="00536BB3">
        <w:t>workforce</w:t>
      </w:r>
      <w:r w:rsidR="0025621B" w:rsidRPr="00536BB3">
        <w:t xml:space="preserve"> confinement, closure of economic activity, and </w:t>
      </w:r>
      <w:r w:rsidR="009D60D1" w:rsidRPr="00536BB3">
        <w:t>subsequently</w:t>
      </w:r>
      <w:r w:rsidR="0025621B" w:rsidRPr="00536BB3">
        <w:t xml:space="preserve"> </w:t>
      </w:r>
      <w:r w:rsidR="009D60D1" w:rsidRPr="00536BB3">
        <w:t xml:space="preserve">in 2020-21 </w:t>
      </w:r>
      <w:r w:rsidR="0025621B" w:rsidRPr="00536BB3">
        <w:t xml:space="preserve">to </w:t>
      </w:r>
      <w:r w:rsidR="0010408B" w:rsidRPr="00536BB3">
        <w:t>induce</w:t>
      </w:r>
      <w:r w:rsidR="0025621B" w:rsidRPr="00536BB3">
        <w:t xml:space="preserve"> and mandate vaccination in </w:t>
      </w:r>
      <w:r w:rsidR="007D2362" w:rsidRPr="00536BB3">
        <w:t>low-risk</w:t>
      </w:r>
      <w:r w:rsidR="0025621B" w:rsidRPr="00536BB3">
        <w:t xml:space="preserve"> demographics worldwide.  </w:t>
      </w:r>
    </w:p>
    <w:p w14:paraId="6B2EE3C9" w14:textId="2B191B22" w:rsidR="00D44659" w:rsidRDefault="00D44659" w:rsidP="00D44659">
      <w:r>
        <w:t xml:space="preserve">In my </w:t>
      </w:r>
      <w:r w:rsidR="00C30977">
        <w:t>view</w:t>
      </w:r>
      <w:r>
        <w:t>, this high false-positive PCR issue</w:t>
      </w:r>
      <w:r w:rsidR="00A41A63">
        <w:t xml:space="preserve">, which I term a </w:t>
      </w:r>
      <w:r w:rsidRPr="00937D85">
        <w:rPr>
          <w:b/>
          <w:bCs w:val="0"/>
        </w:rPr>
        <w:t xml:space="preserve">bogus </w:t>
      </w:r>
      <w:r w:rsidR="00572563" w:rsidRPr="00937D85">
        <w:rPr>
          <w:b/>
          <w:bCs w:val="0"/>
        </w:rPr>
        <w:t>COVID-19</w:t>
      </w:r>
      <w:r w:rsidRPr="00937D85">
        <w:rPr>
          <w:b/>
          <w:bCs w:val="0"/>
        </w:rPr>
        <w:t xml:space="preserve"> case generator</w:t>
      </w:r>
      <w:r w:rsidR="00A41A63">
        <w:t>,</w:t>
      </w:r>
      <w:r>
        <w:t xml:space="preserve"> and failure to confirm a live virus</w:t>
      </w:r>
      <w:r w:rsidR="00937D85">
        <w:t xml:space="preserve"> </w:t>
      </w:r>
      <w:r w:rsidR="009D60D1">
        <w:t>potentially</w:t>
      </w:r>
      <w:r>
        <w:t xml:space="preserve"> </w:t>
      </w:r>
      <w:r w:rsidRPr="000B315E">
        <w:rPr>
          <w:b/>
          <w:bCs w:val="0"/>
        </w:rPr>
        <w:t>invalidated</w:t>
      </w:r>
      <w:r w:rsidRPr="0091745E">
        <w:rPr>
          <w:b/>
          <w:bCs w:val="0"/>
        </w:rPr>
        <w:t xml:space="preserve"> </w:t>
      </w:r>
      <w:r w:rsidRPr="000B315E">
        <w:t>the Comirnaty Phase 3 clinical study efficacy data</w:t>
      </w:r>
      <w:r w:rsidR="00A41A63">
        <w:t xml:space="preserve"> in the </w:t>
      </w:r>
      <w:r w:rsidR="00937D85">
        <w:t xml:space="preserve">drastically filtered </w:t>
      </w:r>
      <w:r w:rsidR="00A41A63">
        <w:t>170 subjects</w:t>
      </w:r>
      <w:r w:rsidR="009D60D1">
        <w:t xml:space="preserve">, </w:t>
      </w:r>
      <w:r w:rsidR="00AD5D18">
        <w:t>without even considering</w:t>
      </w:r>
      <w:r w:rsidR="009D60D1">
        <w:t xml:space="preserve"> the </w:t>
      </w:r>
      <w:r>
        <w:t xml:space="preserve">3,410 suspected but unconfirmed cases and the </w:t>
      </w:r>
      <w:r w:rsidR="009D60D1">
        <w:t xml:space="preserve">biased </w:t>
      </w:r>
      <w:r>
        <w:t xml:space="preserve">371 protocol </w:t>
      </w:r>
      <w:r w:rsidR="009D60D1">
        <w:t xml:space="preserve">deviants </w:t>
      </w:r>
      <w:r>
        <w:t xml:space="preserve">excluded from the efficacy calculation. In other words, I had </w:t>
      </w:r>
      <w:r w:rsidR="001159A0">
        <w:rPr>
          <w:b/>
          <w:bCs w:val="0"/>
        </w:rPr>
        <w:t>ZERO</w:t>
      </w:r>
      <w:r w:rsidRPr="000B315E">
        <w:rPr>
          <w:b/>
          <w:bCs w:val="0"/>
        </w:rPr>
        <w:t xml:space="preserve"> confidence</w:t>
      </w:r>
      <w:r>
        <w:t xml:space="preserve"> in </w:t>
      </w:r>
      <w:r w:rsidR="000B315E">
        <w:t>Comirnaty’s</w:t>
      </w:r>
      <w:r>
        <w:t xml:space="preserve"> claimed 95% vaccine efficacy </w:t>
      </w:r>
      <w:r w:rsidR="0028307C">
        <w:t>at</w:t>
      </w:r>
      <w:r w:rsidR="000B315E">
        <w:t xml:space="preserve"> EUA </w:t>
      </w:r>
      <w:r w:rsidR="0028307C">
        <w:t>a</w:t>
      </w:r>
      <w:r w:rsidR="000B315E">
        <w:t>pproval.</w:t>
      </w:r>
    </w:p>
    <w:p w14:paraId="597D65A7" w14:textId="3352A964" w:rsidR="00416E1A" w:rsidRPr="009D60D1" w:rsidRDefault="0093260F" w:rsidP="00B50310">
      <w:r>
        <w:t>As an aside, on the</w:t>
      </w:r>
      <w:r w:rsidR="00B50310">
        <w:t xml:space="preserve"> 12</w:t>
      </w:r>
      <w:r w:rsidR="00B50310" w:rsidRPr="00CB3820">
        <w:rPr>
          <w:vertAlign w:val="superscript"/>
        </w:rPr>
        <w:t>th</w:t>
      </w:r>
      <w:r w:rsidR="00B50310">
        <w:t xml:space="preserve"> </w:t>
      </w:r>
      <w:r w:rsidR="00AD5D18">
        <w:t xml:space="preserve">of </w:t>
      </w:r>
      <w:r w:rsidR="00B50310">
        <w:t>February 2021</w:t>
      </w:r>
      <w:r w:rsidR="008E27E6">
        <w:t>,</w:t>
      </w:r>
      <w:r w:rsidR="00B50310">
        <w:t xml:space="preserve"> </w:t>
      </w:r>
      <w:r w:rsidR="00694816">
        <w:t xml:space="preserve">and perhaps </w:t>
      </w:r>
      <w:r w:rsidR="009E7174">
        <w:t>on</w:t>
      </w:r>
      <w:r w:rsidR="00694816">
        <w:t xml:space="preserve"> </w:t>
      </w:r>
      <w:r w:rsidR="00AD5D18">
        <w:t xml:space="preserve">the </w:t>
      </w:r>
      <w:r w:rsidR="00694816">
        <w:t>17</w:t>
      </w:r>
      <w:r w:rsidR="00694816" w:rsidRPr="00CB3820">
        <w:rPr>
          <w:vertAlign w:val="superscript"/>
        </w:rPr>
        <w:t>th</w:t>
      </w:r>
      <w:r w:rsidR="00694816">
        <w:t xml:space="preserve"> </w:t>
      </w:r>
      <w:r w:rsidR="00AD5D18">
        <w:t xml:space="preserve">of </w:t>
      </w:r>
      <w:r w:rsidR="00694816">
        <w:t>August 2021</w:t>
      </w:r>
      <w:r w:rsidR="00394002">
        <w:t>,</w:t>
      </w:r>
      <w:r w:rsidR="00694816">
        <w:t xml:space="preserve"> </w:t>
      </w:r>
      <w:r w:rsidR="0018105A">
        <w:t xml:space="preserve">although </w:t>
      </w:r>
      <w:r w:rsidR="00694816">
        <w:t>it is unclear</w:t>
      </w:r>
      <w:r w:rsidR="00016D98">
        <w:t xml:space="preserve"> from the </w:t>
      </w:r>
      <w:r w:rsidR="00016D98" w:rsidRPr="00016D98">
        <w:t>Ministry of Health</w:t>
      </w:r>
      <w:r w:rsidR="009E7174">
        <w:t xml:space="preserve">’s </w:t>
      </w:r>
      <w:r w:rsidR="002D4B29">
        <w:t xml:space="preserve">reply to </w:t>
      </w:r>
      <w:r w:rsidR="00A40A63">
        <w:t>freedom of information (</w:t>
      </w:r>
      <w:r w:rsidR="002D4B29">
        <w:t>FOI</w:t>
      </w:r>
      <w:r w:rsidR="00A40A63">
        <w:t>)</w:t>
      </w:r>
      <w:r w:rsidR="002D4B29">
        <w:t xml:space="preserve"> requests</w:t>
      </w:r>
      <w:r w:rsidR="00694816">
        <w:t>,</w:t>
      </w:r>
      <w:r w:rsidR="00694816">
        <w:rPr>
          <w:rStyle w:val="EndnoteReference"/>
        </w:rPr>
        <w:endnoteReference w:id="352"/>
      </w:r>
      <w:r w:rsidR="00694816">
        <w:t xml:space="preserve"> </w:t>
      </w:r>
      <w:r w:rsidR="00B50310" w:rsidRPr="0028307C">
        <w:rPr>
          <w:b/>
          <w:bCs w:val="0"/>
        </w:rPr>
        <w:t>New Zealand</w:t>
      </w:r>
      <w:r w:rsidR="00B50310" w:rsidRPr="00A40C8A">
        <w:t xml:space="preserve"> </w:t>
      </w:r>
      <w:r w:rsidR="00B50310">
        <w:t xml:space="preserve">was still using a cycle threshold of </w:t>
      </w:r>
      <w:r w:rsidR="00B50310" w:rsidRPr="00A40C8A">
        <w:t>40</w:t>
      </w:r>
      <w:r w:rsidR="00B50310">
        <w:t xml:space="preserve"> (</w:t>
      </w:r>
      <w:r w:rsidR="00B50310" w:rsidRPr="00A40C8A">
        <w:t>FOI disclosure</w:t>
      </w:r>
      <w:r w:rsidR="00394002">
        <w:t>s</w:t>
      </w:r>
      <w:r w:rsidR="00B50310" w:rsidRPr="00A40C8A">
        <w:t>)</w:t>
      </w:r>
      <w:r w:rsidR="008E27E6">
        <w:t>.</w:t>
      </w:r>
      <w:r w:rsidR="00B50310" w:rsidRPr="00A40C8A">
        <w:rPr>
          <w:rStyle w:val="EndnoteReference"/>
        </w:rPr>
        <w:endnoteReference w:id="353"/>
      </w:r>
      <w:r w:rsidR="00B50310">
        <w:t xml:space="preserve"> </w:t>
      </w:r>
      <w:r w:rsidR="00016D98">
        <w:t xml:space="preserve">It </w:t>
      </w:r>
      <w:r w:rsidR="0028307C">
        <w:t>would</w:t>
      </w:r>
      <w:r w:rsidR="00016D98">
        <w:t xml:space="preserve"> be interesting </w:t>
      </w:r>
      <w:r w:rsidR="0028307C">
        <w:t>to know</w:t>
      </w:r>
      <w:r w:rsidR="00016D98">
        <w:t xml:space="preserve"> what cycle threshold was used </w:t>
      </w:r>
      <w:r w:rsidR="0028307C">
        <w:t>to diagnose</w:t>
      </w:r>
      <w:r w:rsidR="00416E1A">
        <w:t xml:space="preserve"> that one Delta case that led </w:t>
      </w:r>
      <w:r w:rsidR="00016D98">
        <w:t xml:space="preserve">to </w:t>
      </w:r>
      <w:r w:rsidR="00416E1A">
        <w:t xml:space="preserve">Auckland’s </w:t>
      </w:r>
      <w:r w:rsidR="00254869">
        <w:t xml:space="preserve">August </w:t>
      </w:r>
      <w:r w:rsidR="000C7A7C">
        <w:t xml:space="preserve">2021 </w:t>
      </w:r>
      <w:r w:rsidR="00016D98">
        <w:t xml:space="preserve">lockdown </w:t>
      </w:r>
      <w:r w:rsidR="00416E1A">
        <w:t>and if an alternative diagnostic method was used to confirm</w:t>
      </w:r>
      <w:r w:rsidR="007D2362">
        <w:t xml:space="preserve"> the presence of a</w:t>
      </w:r>
      <w:r w:rsidR="00416E1A">
        <w:t xml:space="preserve"> whole-live virus</w:t>
      </w:r>
      <w:r w:rsidR="007D2362">
        <w:t xml:space="preserve"> (</w:t>
      </w:r>
      <w:r w:rsidR="00937D85">
        <w:t>and during 2022</w:t>
      </w:r>
      <w:r w:rsidR="007D2362">
        <w:t>)</w:t>
      </w:r>
      <w:r w:rsidR="00416E1A">
        <w:t xml:space="preserve">. After all, </w:t>
      </w:r>
      <w:r w:rsidR="007D2362">
        <w:t xml:space="preserve">more than </w:t>
      </w:r>
      <w:r w:rsidR="008B4654">
        <w:t>five million</w:t>
      </w:r>
      <w:r w:rsidR="007D2362">
        <w:t xml:space="preserve"> </w:t>
      </w:r>
      <w:r w:rsidR="00572563">
        <w:t>COVID-19</w:t>
      </w:r>
      <w:r w:rsidR="002D4B29">
        <w:t xml:space="preserve"> </w:t>
      </w:r>
      <w:r w:rsidR="007D2362">
        <w:t xml:space="preserve">vaccine doses </w:t>
      </w:r>
      <w:r w:rsidR="009D60D1">
        <w:t>were</w:t>
      </w:r>
      <w:r w:rsidR="007D2362">
        <w:t xml:space="preserve"> administered </w:t>
      </w:r>
      <w:r w:rsidR="007D2362" w:rsidRPr="009D60D1">
        <w:t>during this lockdown</w:t>
      </w:r>
      <w:r w:rsidR="0010408B" w:rsidRPr="009D60D1">
        <w:t xml:space="preserve"> period</w:t>
      </w:r>
      <w:r w:rsidR="00937D85" w:rsidRPr="009D60D1">
        <w:t>.</w:t>
      </w:r>
      <w:r w:rsidR="008B4654" w:rsidRPr="009D60D1">
        <w:rPr>
          <w:rStyle w:val="EndnoteReference"/>
        </w:rPr>
        <w:endnoteReference w:id="354"/>
      </w:r>
    </w:p>
    <w:p w14:paraId="7554D8F2" w14:textId="395580C8" w:rsidR="00166BE8" w:rsidRDefault="0095272B" w:rsidP="004C5C79">
      <w:pPr>
        <w:pStyle w:val="Heading3"/>
      </w:pPr>
      <w:bookmarkStart w:id="158" w:name="_Toc509513502"/>
      <w:bookmarkStart w:id="159" w:name="_Toc510678519"/>
      <w:bookmarkStart w:id="160" w:name="_Toc510880023"/>
      <w:bookmarkStart w:id="161" w:name="_Toc512275152"/>
      <w:bookmarkStart w:id="162" w:name="_Toc512360369"/>
      <w:bookmarkStart w:id="163" w:name="_Toc516645056"/>
      <w:bookmarkStart w:id="164" w:name="_Toc111368013"/>
      <w:bookmarkStart w:id="165" w:name="_Toc121035142"/>
      <w:r>
        <w:t xml:space="preserve">Statistical Analysis Confirms </w:t>
      </w:r>
      <w:r w:rsidR="00166BE8" w:rsidRPr="00515563">
        <w:t xml:space="preserve">Comirnaty was Unsafe </w:t>
      </w:r>
      <w:r w:rsidR="00900C0F" w:rsidRPr="00515563">
        <w:t>at</w:t>
      </w:r>
      <w:r w:rsidR="00166BE8" w:rsidRPr="00515563">
        <w:t xml:space="preserve"> EUA A</w:t>
      </w:r>
      <w:r w:rsidR="00404A6F" w:rsidRPr="00515563">
        <w:t>pprov</w:t>
      </w:r>
      <w:r w:rsidR="00404A6F" w:rsidRPr="00166BE8">
        <w:t>al</w:t>
      </w:r>
      <w:bookmarkEnd w:id="158"/>
      <w:bookmarkEnd w:id="159"/>
      <w:bookmarkEnd w:id="160"/>
      <w:bookmarkEnd w:id="161"/>
      <w:bookmarkEnd w:id="162"/>
      <w:bookmarkEnd w:id="163"/>
      <w:bookmarkEnd w:id="164"/>
      <w:bookmarkEnd w:id="165"/>
    </w:p>
    <w:p w14:paraId="009C73C9" w14:textId="1EF949FA" w:rsidR="000431EA" w:rsidRDefault="00404A6F" w:rsidP="00BA3EA2">
      <w:r w:rsidRPr="007C15AB">
        <w:t xml:space="preserve">By reassessing the Pfizer </w:t>
      </w:r>
      <w:r w:rsidR="00175093">
        <w:t xml:space="preserve">Phase III </w:t>
      </w:r>
      <w:r w:rsidRPr="007C15AB">
        <w:t xml:space="preserve">clinical </w:t>
      </w:r>
      <w:r>
        <w:t>safety</w:t>
      </w:r>
      <w:r w:rsidRPr="007C15AB">
        <w:t xml:space="preserve"> </w:t>
      </w:r>
      <w:r>
        <w:t xml:space="preserve">data </w:t>
      </w:r>
      <w:r w:rsidRPr="007C15AB">
        <w:t xml:space="preserve">using </w:t>
      </w:r>
      <w:r w:rsidR="00F939B0">
        <w:t>s</w:t>
      </w:r>
      <w:r w:rsidR="003A7C78">
        <w:t>ome statistical analysis</w:t>
      </w:r>
      <w:r w:rsidR="00AD5D18">
        <w:t>,</w:t>
      </w:r>
      <w:r w:rsidR="000431EA">
        <w:t xml:space="preserve"> </w:t>
      </w:r>
      <w:r w:rsidR="00F939B0">
        <w:t xml:space="preserve">like </w:t>
      </w:r>
      <w:r w:rsidR="0093260F">
        <w:t xml:space="preserve">in Dr. </w:t>
      </w:r>
      <w:r w:rsidR="00546975">
        <w:t>Classen</w:t>
      </w:r>
      <w:r w:rsidR="0010408B">
        <w:t>’s</w:t>
      </w:r>
      <w:r w:rsidR="00EA331D">
        <w:t xml:space="preserve"> publication</w:t>
      </w:r>
      <w:r w:rsidRPr="007C15AB">
        <w:t>,</w:t>
      </w:r>
      <w:r w:rsidRPr="007C15AB">
        <w:rPr>
          <w:rStyle w:val="EndnoteReference"/>
        </w:rPr>
        <w:endnoteReference w:id="355"/>
      </w:r>
      <w:r w:rsidRPr="007C15AB">
        <w:t xml:space="preserve"> </w:t>
      </w:r>
      <w:r w:rsidR="00AD5D18">
        <w:t>showed that</w:t>
      </w:r>
      <w:r w:rsidRPr="007C15AB">
        <w:t xml:space="preserve"> </w:t>
      </w:r>
      <w:r>
        <w:t>Comirnaty</w:t>
      </w:r>
      <w:r w:rsidRPr="007C15AB">
        <w:t xml:space="preserve"> </w:t>
      </w:r>
      <w:r w:rsidR="003A7C78">
        <w:t xml:space="preserve">was unsafe at EUA approval. Comirnaty </w:t>
      </w:r>
      <w:r w:rsidRPr="007C15AB">
        <w:t>caused significant</w:t>
      </w:r>
      <w:r>
        <w:t xml:space="preserve">ly </w:t>
      </w:r>
      <w:r w:rsidRPr="00F939B0">
        <w:rPr>
          <w:b/>
          <w:bCs w:val="0"/>
        </w:rPr>
        <w:t>more severe and related adverse events</w:t>
      </w:r>
      <w:r w:rsidRPr="007C15AB">
        <w:t xml:space="preserve"> </w:t>
      </w:r>
      <w:r w:rsidR="00AF6DCE">
        <w:t xml:space="preserve">than the placebo </w:t>
      </w:r>
      <w:r w:rsidR="003A7C78">
        <w:t>group</w:t>
      </w:r>
      <w:r w:rsidRPr="007C15AB">
        <w:t xml:space="preserve">. </w:t>
      </w:r>
      <w:r w:rsidR="00F939B0">
        <w:t>In my opinion</w:t>
      </w:r>
      <w:r>
        <w:t xml:space="preserve">, the </w:t>
      </w:r>
      <w:r w:rsidR="003A7C78" w:rsidRPr="000431EA">
        <w:t xml:space="preserve">safety narrative </w:t>
      </w:r>
      <w:r w:rsidR="000431EA">
        <w:t xml:space="preserve">that hit the world’s media </w:t>
      </w:r>
      <w:r w:rsidR="0094398B">
        <w:t>in</w:t>
      </w:r>
      <w:r w:rsidR="000431EA">
        <w:t xml:space="preserve"> December 2020</w:t>
      </w:r>
      <w:r w:rsidR="000431EA" w:rsidRPr="000431EA">
        <w:t xml:space="preserve"> </w:t>
      </w:r>
      <w:r w:rsidR="00F939B0">
        <w:t xml:space="preserve">for Comirnaty </w:t>
      </w:r>
      <w:r w:rsidR="000431EA" w:rsidRPr="00CA5C19">
        <w:t xml:space="preserve">was </w:t>
      </w:r>
      <w:r w:rsidR="0094398B">
        <w:rPr>
          <w:b/>
          <w:bCs w:val="0"/>
        </w:rPr>
        <w:t>falsifiable</w:t>
      </w:r>
      <w:r w:rsidR="00EA331D">
        <w:t>.</w:t>
      </w:r>
    </w:p>
    <w:p w14:paraId="47A22AD9" w14:textId="1159D9EC" w:rsidR="00404A6F" w:rsidRPr="00644850" w:rsidRDefault="00546975" w:rsidP="00404A6F">
      <w:r>
        <w:t xml:space="preserve">I conducted a </w:t>
      </w:r>
      <w:r w:rsidR="00540004">
        <w:t xml:space="preserve">statistical </w:t>
      </w:r>
      <w:r w:rsidR="00404A6F" w:rsidRPr="00CD1F7A">
        <w:t xml:space="preserve">analysis </w:t>
      </w:r>
      <w:r w:rsidR="00404A6F">
        <w:t xml:space="preserve">of </w:t>
      </w:r>
      <w:r w:rsidR="00540004">
        <w:t>key safety data groupings</w:t>
      </w:r>
      <w:r>
        <w:t xml:space="preserve"> </w:t>
      </w:r>
      <w:r w:rsidR="00EA331D">
        <w:t xml:space="preserve">aligned with </w:t>
      </w:r>
      <w:r>
        <w:t xml:space="preserve">the prior cited Classen publication, </w:t>
      </w:r>
      <w:r w:rsidR="00540004">
        <w:t>using the</w:t>
      </w:r>
      <w:r w:rsidR="00404A6F">
        <w:t xml:space="preserve"> </w:t>
      </w:r>
      <w:r w:rsidR="00540004">
        <w:t xml:space="preserve">published data from </w:t>
      </w:r>
      <w:r w:rsidR="00C30977">
        <w:t xml:space="preserve">the </w:t>
      </w:r>
      <w:r w:rsidR="00404A6F">
        <w:t xml:space="preserve">Comirnaty </w:t>
      </w:r>
      <w:r w:rsidR="00540004">
        <w:t xml:space="preserve">Phase III study. This </w:t>
      </w:r>
      <w:r w:rsidR="0093260F">
        <w:t xml:space="preserve">analysis </w:t>
      </w:r>
      <w:r w:rsidR="00540004">
        <w:t>utilized the</w:t>
      </w:r>
      <w:r w:rsidR="00404A6F" w:rsidRPr="00CD1F7A">
        <w:t xml:space="preserve"> interim 2-month safety data from the unblinded </w:t>
      </w:r>
      <w:r w:rsidR="00404A6F">
        <w:t xml:space="preserve">study </w:t>
      </w:r>
      <w:r w:rsidR="00404A6F" w:rsidRPr="00CD1F7A">
        <w:t>period</w:t>
      </w:r>
      <w:r w:rsidR="00540004">
        <w:t xml:space="preserve"> </w:t>
      </w:r>
      <w:r w:rsidR="00AD5D18">
        <w:t xml:space="preserve">that Pfizer had used </w:t>
      </w:r>
      <w:r w:rsidR="00365D97">
        <w:t>to support the EUA approval</w:t>
      </w:r>
      <w:r w:rsidR="00EA331D">
        <w:t xml:space="preserve"> </w:t>
      </w:r>
      <w:r w:rsidR="00EA331D" w:rsidRPr="00CD1F7A">
        <w:t>(Supplementary Tables S3 and S4,</w:t>
      </w:r>
      <w:r w:rsidR="00EA331D" w:rsidRPr="00CD1F7A">
        <w:rPr>
          <w:rStyle w:val="EndnoteReference"/>
        </w:rPr>
        <w:endnoteReference w:id="356"/>
      </w:r>
      <w:r w:rsidR="00EA331D" w:rsidRPr="00CD1F7A">
        <w:t xml:space="preserve"> CCCA slides 11-12</w:t>
      </w:r>
      <w:r w:rsidR="00EA331D" w:rsidRPr="00CD1F7A">
        <w:rPr>
          <w:rStyle w:val="EndnoteReference"/>
        </w:rPr>
        <w:endnoteReference w:id="357"/>
      </w:r>
      <w:r w:rsidR="00EA331D" w:rsidRPr="00CD1F7A">
        <w:t>)</w:t>
      </w:r>
      <w:r w:rsidR="00404A6F" w:rsidRPr="00CD1F7A">
        <w:t xml:space="preserve">. Data for </w:t>
      </w:r>
      <w:r w:rsidR="00404A6F" w:rsidRPr="00AA1CDB">
        <w:rPr>
          <w:b/>
          <w:bCs w:val="0"/>
        </w:rPr>
        <w:t>related AEs</w:t>
      </w:r>
      <w:r w:rsidR="00404A6F" w:rsidRPr="00CD1F7A">
        <w:t xml:space="preserve"> (</w:t>
      </w:r>
      <w:r w:rsidR="00C30977">
        <w:t>investigator-assessed</w:t>
      </w:r>
      <w:r w:rsidR="00404A6F" w:rsidRPr="00CD1F7A">
        <w:t xml:space="preserve">, placebo = 1,311, </w:t>
      </w:r>
      <w:r w:rsidR="00404A6F">
        <w:t>Comirnaty</w:t>
      </w:r>
      <w:r w:rsidR="00404A6F" w:rsidRPr="00CD1F7A">
        <w:t xml:space="preserve"> = 5,241</w:t>
      </w:r>
      <w:r w:rsidR="00404A6F">
        <w:t xml:space="preserve">, </w:t>
      </w:r>
      <w:r w:rsidR="00404A6F" w:rsidRPr="00540004">
        <w:rPr>
          <w:u w:val="single"/>
        </w:rPr>
        <w:t>4.0x</w:t>
      </w:r>
      <w:r w:rsidR="00404A6F" w:rsidRPr="00CD1F7A">
        <w:t xml:space="preserve">), any </w:t>
      </w:r>
      <w:r w:rsidR="00404A6F" w:rsidRPr="00AA1CDB">
        <w:rPr>
          <w:b/>
          <w:bCs w:val="0"/>
        </w:rPr>
        <w:t>severe AEs</w:t>
      </w:r>
      <w:r w:rsidR="00404A6F" w:rsidRPr="00CD1F7A">
        <w:t xml:space="preserve"> (interfered with bodily functions, placebo = 150, </w:t>
      </w:r>
      <w:r w:rsidR="00404A6F">
        <w:t>Comirnaty</w:t>
      </w:r>
      <w:r w:rsidR="00404A6F" w:rsidRPr="00CD1F7A">
        <w:t xml:space="preserve"> = 262</w:t>
      </w:r>
      <w:r w:rsidR="00404A6F">
        <w:t xml:space="preserve">, </w:t>
      </w:r>
      <w:r w:rsidR="00404A6F" w:rsidRPr="00540004">
        <w:rPr>
          <w:u w:val="single"/>
        </w:rPr>
        <w:t>1.8x</w:t>
      </w:r>
      <w:r w:rsidR="00404A6F" w:rsidRPr="00CD1F7A">
        <w:t xml:space="preserve">), any serious AEs (attended A&amp;E or </w:t>
      </w:r>
      <w:r w:rsidR="0093260F">
        <w:t xml:space="preserve">was </w:t>
      </w:r>
      <w:r w:rsidR="00404A6F" w:rsidRPr="00CD1F7A">
        <w:t xml:space="preserve">hospitalized, placebo = 116, </w:t>
      </w:r>
      <w:r w:rsidR="00404A6F">
        <w:t>Comirnaty</w:t>
      </w:r>
      <w:r w:rsidR="00404A6F" w:rsidRPr="00CD1F7A">
        <w:t xml:space="preserve"> =127</w:t>
      </w:r>
      <w:r w:rsidR="00404A6F">
        <w:t>, 1.1x</w:t>
      </w:r>
      <w:r w:rsidR="00404A6F" w:rsidRPr="00CD1F7A">
        <w:t xml:space="preserve">), and deaths (placebo = 14, </w:t>
      </w:r>
      <w:r w:rsidR="00404A6F">
        <w:t>Comirnaty</w:t>
      </w:r>
      <w:r w:rsidR="00404A6F" w:rsidRPr="00CD1F7A">
        <w:t xml:space="preserve"> = 20</w:t>
      </w:r>
      <w:r w:rsidR="00404A6F">
        <w:t>, 1.4x</w:t>
      </w:r>
      <w:r w:rsidR="00404A6F" w:rsidRPr="00CD1F7A">
        <w:t>) was assessed.</w:t>
      </w:r>
      <w:r w:rsidR="00404A6F" w:rsidRPr="00CD1F7A">
        <w:rPr>
          <w:vertAlign w:val="superscript"/>
        </w:rPr>
        <w:t xml:space="preserve"> </w:t>
      </w:r>
      <w:r w:rsidR="00404A6F" w:rsidRPr="00CD1F7A">
        <w:t xml:space="preserve">A Chi-square test </w:t>
      </w:r>
      <w:r w:rsidR="00404A6F" w:rsidRPr="00CD1F7A">
        <w:lastRenderedPageBreak/>
        <w:t xml:space="preserve">of independence was used to examine the relationship between </w:t>
      </w:r>
      <w:r w:rsidR="00404A6F">
        <w:t>Comirnaty</w:t>
      </w:r>
      <w:r w:rsidR="00404A6F" w:rsidRPr="00CD1F7A">
        <w:t xml:space="preserve"> and adverse event categories</w:t>
      </w:r>
      <w:r w:rsidR="00F939B0">
        <w:t xml:space="preserve">. </w:t>
      </w:r>
      <w:r w:rsidR="00404A6F" w:rsidRPr="00CD1F7A">
        <w:t xml:space="preserve">The observed proportion </w:t>
      </w:r>
      <w:r w:rsidR="00365D97">
        <w:t xml:space="preserve">(i.e., </w:t>
      </w:r>
      <w:r w:rsidR="00EA331D">
        <w:t>case</w:t>
      </w:r>
      <w:r w:rsidR="00F939B0">
        <w:t>s</w:t>
      </w:r>
      <w:r w:rsidR="00EA331D">
        <w:t xml:space="preserve"> divided by </w:t>
      </w:r>
      <w:r w:rsidR="00365D97">
        <w:t xml:space="preserve">cohort totals) </w:t>
      </w:r>
      <w:r w:rsidR="00404A6F" w:rsidRPr="00CD1F7A">
        <w:t xml:space="preserve">of any related, severe, serious AEs and deaths was higher in the </w:t>
      </w:r>
      <w:r w:rsidR="00404A6F">
        <w:t>Comirnaty</w:t>
      </w:r>
      <w:r w:rsidR="00404A6F" w:rsidRPr="00CD1F7A">
        <w:t xml:space="preserve"> group than expected and lower than expected in the placebo group. These differences were </w:t>
      </w:r>
      <w:r w:rsidR="00175093">
        <w:rPr>
          <w:b/>
          <w:bCs w:val="0"/>
        </w:rPr>
        <w:t>highly s</w:t>
      </w:r>
      <w:r w:rsidR="00404A6F" w:rsidRPr="00F939B0">
        <w:rPr>
          <w:b/>
          <w:bCs w:val="0"/>
        </w:rPr>
        <w:t>ignificant for severe and related AEs</w:t>
      </w:r>
      <w:r w:rsidR="00404A6F" w:rsidRPr="00CD1F7A">
        <w:rPr>
          <w:i/>
        </w:rPr>
        <w:t xml:space="preserve"> </w:t>
      </w:r>
      <w:r w:rsidR="00404A6F">
        <w:t>(p &lt; 0.00001)</w:t>
      </w:r>
      <w:r w:rsidR="008D0D9C">
        <w:t xml:space="preserve">. Severe and serious AEs were </w:t>
      </w:r>
      <w:r w:rsidR="00536BB3">
        <w:t>the type</w:t>
      </w:r>
      <w:r w:rsidR="008D0D9C">
        <w:t xml:space="preserve"> prioritized by </w:t>
      </w:r>
      <w:r w:rsidR="00D27DD2">
        <w:t xml:space="preserve">Pfizer </w:t>
      </w:r>
      <w:r w:rsidR="008D0D9C">
        <w:t xml:space="preserve">in </w:t>
      </w:r>
      <w:r w:rsidR="00644850">
        <w:t>its 90-day p</w:t>
      </w:r>
      <w:r w:rsidR="00644850" w:rsidRPr="00671117">
        <w:t xml:space="preserve">ost-authorization </w:t>
      </w:r>
      <w:r w:rsidR="008D0D9C">
        <w:t>AE</w:t>
      </w:r>
      <w:r w:rsidR="00644850" w:rsidRPr="00671117">
        <w:t xml:space="preserve"> </w:t>
      </w:r>
      <w:r w:rsidR="00644850">
        <w:t>r</w:t>
      </w:r>
      <w:r w:rsidR="00644850" w:rsidRPr="00671117">
        <w:t>eport</w:t>
      </w:r>
      <w:r w:rsidR="008D0D9C">
        <w:t xml:space="preserve"> provided to the FDA </w:t>
      </w:r>
      <w:r w:rsidR="00644850">
        <w:t xml:space="preserve">(section 1.3.1). </w:t>
      </w:r>
      <w:r w:rsidR="0010408B">
        <w:t xml:space="preserve">This </w:t>
      </w:r>
      <w:r w:rsidR="000C7A7C">
        <w:t>type of</w:t>
      </w:r>
      <w:r w:rsidR="0093260F">
        <w:t xml:space="preserve"> statistical</w:t>
      </w:r>
      <w:r w:rsidR="00AA5AAA" w:rsidRPr="00AA5AAA">
        <w:t xml:space="preserve"> </w:t>
      </w:r>
      <w:r w:rsidR="00AA5AAA">
        <w:t>analysis, including AE</w:t>
      </w:r>
      <w:r w:rsidR="000C7A7C">
        <w:t xml:space="preserve"> </w:t>
      </w:r>
      <w:r w:rsidR="00AA5AAA">
        <w:rPr>
          <w:bCs w:val="0"/>
        </w:rPr>
        <w:t xml:space="preserve">recategorization by pathology mechanisms, </w:t>
      </w:r>
      <w:r w:rsidR="0010408B">
        <w:t xml:space="preserve">was </w:t>
      </w:r>
      <w:r w:rsidR="00AD5D18">
        <w:t>absent</w:t>
      </w:r>
      <w:r w:rsidR="0010408B">
        <w:t xml:space="preserve"> from </w:t>
      </w:r>
      <w:r w:rsidR="00AD5D18">
        <w:t xml:space="preserve">the </w:t>
      </w:r>
      <w:r w:rsidR="0010408B">
        <w:t>FDA, EMA, and TGA</w:t>
      </w:r>
      <w:r w:rsidR="0052348A" w:rsidRPr="0010408B">
        <w:t xml:space="preserve"> </w:t>
      </w:r>
      <w:r w:rsidR="0010408B">
        <w:rPr>
          <w:b/>
          <w:bCs w:val="0"/>
        </w:rPr>
        <w:t>regulatory review documents</w:t>
      </w:r>
      <w:r w:rsidR="0093260F">
        <w:rPr>
          <w:bCs w:val="0"/>
        </w:rPr>
        <w:t>.</w:t>
      </w:r>
    </w:p>
    <w:p w14:paraId="5CD69A21" w14:textId="3CE50764" w:rsidR="0001742E" w:rsidRDefault="00986703" w:rsidP="004C5C79">
      <w:pPr>
        <w:pStyle w:val="Heading3"/>
      </w:pPr>
      <w:bookmarkStart w:id="166" w:name="_Toc509513503"/>
      <w:bookmarkStart w:id="167" w:name="_Toc510678520"/>
      <w:bookmarkStart w:id="168" w:name="_Toc510880024"/>
      <w:bookmarkStart w:id="169" w:name="_Toc512275153"/>
      <w:bookmarkStart w:id="170" w:name="_Toc512360370"/>
      <w:bookmarkStart w:id="171" w:name="_Toc516645057"/>
      <w:bookmarkStart w:id="172" w:name="_Toc111368014"/>
      <w:bookmarkStart w:id="173" w:name="_Toc121035143"/>
      <w:r>
        <w:t xml:space="preserve">Safety </w:t>
      </w:r>
      <w:r w:rsidR="000B4AFA">
        <w:t>Consequences of</w:t>
      </w:r>
      <w:r w:rsidR="00394002">
        <w:t xml:space="preserve"> the FDA-Approved</w:t>
      </w:r>
      <w:r w:rsidR="000B4AFA">
        <w:t xml:space="preserve"> </w:t>
      </w:r>
      <w:r w:rsidR="00394002">
        <w:t xml:space="preserve">Phase-3 </w:t>
      </w:r>
      <w:r w:rsidR="000719A0" w:rsidRPr="0001742E">
        <w:t>C</w:t>
      </w:r>
      <w:r w:rsidR="00166BE8">
        <w:t>linical S</w:t>
      </w:r>
      <w:r w:rsidR="00C06328" w:rsidRPr="0001742E">
        <w:t xml:space="preserve">tudy </w:t>
      </w:r>
      <w:r w:rsidR="00166BE8">
        <w:t>D</w:t>
      </w:r>
      <w:r w:rsidR="008A0A43" w:rsidRPr="0001742E">
        <w:t>esign</w:t>
      </w:r>
      <w:r w:rsidR="00D11F9E">
        <w:t xml:space="preserve"> </w:t>
      </w:r>
      <w:r w:rsidR="00394002">
        <w:t>for Comirnaty</w:t>
      </w:r>
      <w:bookmarkEnd w:id="166"/>
      <w:bookmarkEnd w:id="167"/>
      <w:bookmarkEnd w:id="168"/>
      <w:bookmarkEnd w:id="169"/>
      <w:bookmarkEnd w:id="170"/>
      <w:bookmarkEnd w:id="171"/>
      <w:bookmarkEnd w:id="172"/>
      <w:bookmarkEnd w:id="173"/>
      <w:r w:rsidR="00166BE8">
        <w:t xml:space="preserve"> </w:t>
      </w:r>
    </w:p>
    <w:p w14:paraId="72995701" w14:textId="43232906" w:rsidR="002B094B" w:rsidRPr="00CB3039" w:rsidRDefault="000D4D67" w:rsidP="002B094B">
      <w:r>
        <w:t>One of the</w:t>
      </w:r>
      <w:r w:rsidRPr="002B094B">
        <w:t xml:space="preserve"> </w:t>
      </w:r>
      <w:r w:rsidR="00394002">
        <w:t>s</w:t>
      </w:r>
      <w:r w:rsidR="00394002" w:rsidRPr="00394002">
        <w:t xml:space="preserve">afety </w:t>
      </w:r>
      <w:r w:rsidR="00394002">
        <w:t>c</w:t>
      </w:r>
      <w:r w:rsidR="00394002" w:rsidRPr="00394002">
        <w:t>onsequences of the FDA-</w:t>
      </w:r>
      <w:r w:rsidR="00394002">
        <w:t>a</w:t>
      </w:r>
      <w:r w:rsidR="00394002" w:rsidRPr="00394002">
        <w:t xml:space="preserve">pproved </w:t>
      </w:r>
      <w:r w:rsidR="00394002">
        <w:t>p</w:t>
      </w:r>
      <w:r w:rsidR="00394002" w:rsidRPr="00394002">
        <w:t xml:space="preserve">hase-3 </w:t>
      </w:r>
      <w:r w:rsidR="00394002">
        <w:t>c</w:t>
      </w:r>
      <w:r w:rsidR="00394002" w:rsidRPr="00394002">
        <w:t xml:space="preserve">linical </w:t>
      </w:r>
      <w:r w:rsidR="00394002">
        <w:t>s</w:t>
      </w:r>
      <w:r w:rsidR="00394002" w:rsidRPr="00394002">
        <w:t xml:space="preserve">tudy </w:t>
      </w:r>
      <w:r w:rsidR="00394002">
        <w:t>d</w:t>
      </w:r>
      <w:r w:rsidR="00394002" w:rsidRPr="00394002">
        <w:t xml:space="preserve">esign for Comirnaty </w:t>
      </w:r>
      <w:r w:rsidR="001062D6" w:rsidRPr="002B094B">
        <w:t xml:space="preserve">used to support EUA approval </w:t>
      </w:r>
      <w:r w:rsidR="0094398B">
        <w:t>was</w:t>
      </w:r>
      <w:r w:rsidR="00C373D5" w:rsidRPr="002B094B">
        <w:t xml:space="preserve"> </w:t>
      </w:r>
      <w:r w:rsidR="004A07DE">
        <w:t xml:space="preserve">that </w:t>
      </w:r>
      <w:r w:rsidR="00C373D5" w:rsidRPr="002B094B">
        <w:t xml:space="preserve">it </w:t>
      </w:r>
      <w:r w:rsidR="000B4AFA" w:rsidRPr="002B094B">
        <w:t xml:space="preserve">did not </w:t>
      </w:r>
      <w:r w:rsidR="00394002">
        <w:t>provide evidence that</w:t>
      </w:r>
      <w:r w:rsidR="00394002" w:rsidRPr="002B094B">
        <w:t xml:space="preserve"> </w:t>
      </w:r>
      <w:r w:rsidR="00016401" w:rsidRPr="00FA059C">
        <w:rPr>
          <w:b/>
          <w:bCs w:val="0"/>
        </w:rPr>
        <w:t>biomarker</w:t>
      </w:r>
      <w:r w:rsidR="008F286F" w:rsidRPr="00FA059C">
        <w:rPr>
          <w:b/>
          <w:bCs w:val="0"/>
        </w:rPr>
        <w:t xml:space="preserve"> </w:t>
      </w:r>
      <w:r w:rsidR="004A1627" w:rsidRPr="00FA059C">
        <w:rPr>
          <w:b/>
          <w:bCs w:val="0"/>
        </w:rPr>
        <w:t>assays</w:t>
      </w:r>
      <w:r w:rsidR="004A1627" w:rsidRPr="002B094B">
        <w:t xml:space="preserve"> </w:t>
      </w:r>
      <w:r w:rsidR="00394002">
        <w:t>had been used</w:t>
      </w:r>
      <w:r w:rsidR="0093260F">
        <w:t xml:space="preserve"> </w:t>
      </w:r>
      <w:r w:rsidR="0094398B">
        <w:t>to detect</w:t>
      </w:r>
      <w:r w:rsidR="0093260F">
        <w:t xml:space="preserve"> </w:t>
      </w:r>
      <w:r w:rsidR="0093260F" w:rsidRPr="00FA059C">
        <w:rPr>
          <w:b/>
          <w:bCs w:val="0"/>
        </w:rPr>
        <w:t>predictable pathogenesis mechanisms</w:t>
      </w:r>
      <w:r w:rsidR="0093260F">
        <w:t>. Such use</w:t>
      </w:r>
      <w:r w:rsidR="00394002">
        <w:t xml:space="preserve"> </w:t>
      </w:r>
      <w:r w:rsidR="000B4AFA" w:rsidRPr="002B094B">
        <w:t xml:space="preserve">could </w:t>
      </w:r>
      <w:r w:rsidR="00986703">
        <w:t xml:space="preserve">have </w:t>
      </w:r>
      <w:r w:rsidR="001062D6" w:rsidRPr="002B094B">
        <w:t xml:space="preserve">potentially </w:t>
      </w:r>
      <w:r w:rsidR="000B4AFA" w:rsidRPr="002B094B">
        <w:t>detect</w:t>
      </w:r>
      <w:r w:rsidR="00986703">
        <w:t>ed</w:t>
      </w:r>
      <w:r w:rsidR="000B4AFA" w:rsidRPr="002B094B">
        <w:t xml:space="preserve"> </w:t>
      </w:r>
      <w:r w:rsidR="0094398B">
        <w:t>predictable</w:t>
      </w:r>
      <w:r w:rsidR="000B4AFA" w:rsidRPr="002B094B">
        <w:t xml:space="preserve"> safety issues</w:t>
      </w:r>
      <w:r w:rsidR="001062D6" w:rsidRPr="002B094B">
        <w:t xml:space="preserve"> </w:t>
      </w:r>
      <w:r w:rsidR="00CB3039">
        <w:t xml:space="preserve">and </w:t>
      </w:r>
      <w:r w:rsidR="001062D6" w:rsidRPr="002B094B">
        <w:t xml:space="preserve">sub-clinical </w:t>
      </w:r>
      <w:r w:rsidR="0094398B">
        <w:t>and comorbid diseases</w:t>
      </w:r>
      <w:r w:rsidR="00AA7E9E">
        <w:t xml:space="preserve"> in a controlled clinical setting</w:t>
      </w:r>
      <w:r w:rsidR="001062D6" w:rsidRPr="002B094B">
        <w:t xml:space="preserve">. </w:t>
      </w:r>
      <w:r w:rsidR="001F45A9" w:rsidRPr="002B094B">
        <w:t xml:space="preserve">According to experts, biomarker assays should have been used to detect </w:t>
      </w:r>
      <w:r w:rsidR="004A1627" w:rsidRPr="002B094B">
        <w:t>coagulation/clotting</w:t>
      </w:r>
      <w:r w:rsidR="001F45A9" w:rsidRPr="002B094B">
        <w:t xml:space="preserve"> issues</w:t>
      </w:r>
      <w:r w:rsidR="002B094B" w:rsidRPr="002B094B">
        <w:t xml:space="preserve"> </w:t>
      </w:r>
      <w:r w:rsidR="002B094B" w:rsidRPr="00CB3039">
        <w:t>(i.e., D-dimers, other)</w:t>
      </w:r>
      <w:r w:rsidR="004A1627" w:rsidRPr="002B094B">
        <w:t>, endothelial damage</w:t>
      </w:r>
      <w:r w:rsidR="002B094B" w:rsidRPr="002B094B">
        <w:t xml:space="preserve"> (</w:t>
      </w:r>
      <w:r w:rsidR="008420E3">
        <w:t xml:space="preserve">i.e., </w:t>
      </w:r>
      <w:r w:rsidR="002B094B" w:rsidRPr="00CB3039">
        <w:t>occludin and claudin</w:t>
      </w:r>
      <w:r w:rsidR="002B094B" w:rsidRPr="002B094B">
        <w:t>)</w:t>
      </w:r>
      <w:r w:rsidR="004A1627" w:rsidRPr="002B094B">
        <w:t>, inflammatory</w:t>
      </w:r>
      <w:r w:rsidR="001F45A9" w:rsidRPr="002B094B">
        <w:t xml:space="preserve"> reactions</w:t>
      </w:r>
      <w:r w:rsidR="002B094B" w:rsidRPr="00CB3039">
        <w:t xml:space="preserve"> (C-reactive protein, pro-inflammatory cytokines)</w:t>
      </w:r>
      <w:r w:rsidR="004A1627" w:rsidRPr="002B094B">
        <w:t>, cardiac damage</w:t>
      </w:r>
      <w:r w:rsidR="002B094B" w:rsidRPr="002B094B">
        <w:t xml:space="preserve"> (</w:t>
      </w:r>
      <w:r w:rsidR="002B094B" w:rsidRPr="00CB3039">
        <w:t>troponins</w:t>
      </w:r>
      <w:r w:rsidR="002B094B" w:rsidRPr="002B094B">
        <w:t>)</w:t>
      </w:r>
      <w:r w:rsidR="004A1627" w:rsidRPr="002B094B">
        <w:t>, autoimmune disease markers</w:t>
      </w:r>
      <w:r w:rsidR="002B094B" w:rsidRPr="002B094B">
        <w:t xml:space="preserve"> (</w:t>
      </w:r>
      <w:r w:rsidR="008420E3">
        <w:t xml:space="preserve">i.e., </w:t>
      </w:r>
      <w:r w:rsidR="002B094B" w:rsidRPr="00CB3039">
        <w:t>HMGB1, CXCL13, Dickkopf-1</w:t>
      </w:r>
      <w:r w:rsidR="002B094B" w:rsidRPr="002B094B">
        <w:t>)</w:t>
      </w:r>
      <w:r w:rsidR="004A1627" w:rsidRPr="002B094B">
        <w:t>, Alzheimer markers</w:t>
      </w:r>
      <w:r w:rsidR="002B094B" w:rsidRPr="002B094B">
        <w:t xml:space="preserve"> (</w:t>
      </w:r>
      <w:r w:rsidR="002B094B" w:rsidRPr="00CB3039">
        <w:t>amyloid-beta and phosphorylated tau</w:t>
      </w:r>
      <w:r w:rsidR="002B094B" w:rsidRPr="002B094B">
        <w:t>)</w:t>
      </w:r>
      <w:r w:rsidR="001F45A9" w:rsidRPr="002B094B">
        <w:t>, etc</w:t>
      </w:r>
      <w:r w:rsidR="004A1627" w:rsidRPr="002B094B">
        <w:t>.</w:t>
      </w:r>
      <w:r w:rsidR="001F45A9" w:rsidRPr="00CB3039">
        <w:rPr>
          <w:rStyle w:val="EndnoteReference"/>
        </w:rPr>
        <w:endnoteReference w:id="358"/>
      </w:r>
      <w:r w:rsidR="004A1627" w:rsidRPr="002B094B">
        <w:t xml:space="preserve"> </w:t>
      </w:r>
      <w:r w:rsidR="00536BB3">
        <w:t>In other words, biomarkers should have been used for predictable pathogenesis mechanisms as detailed in section 1.3. A</w:t>
      </w:r>
      <w:r w:rsidR="006B6D1E" w:rsidRPr="002B094B">
        <w:t>ssays should</w:t>
      </w:r>
      <w:r w:rsidR="002B094B" w:rsidRPr="002B094B">
        <w:t xml:space="preserve"> also</w:t>
      </w:r>
      <w:r w:rsidR="006B6D1E" w:rsidRPr="002B094B">
        <w:t xml:space="preserve"> have been </w:t>
      </w:r>
      <w:r w:rsidR="006B52F3">
        <w:t>used</w:t>
      </w:r>
      <w:r w:rsidR="006B52F3" w:rsidRPr="002B094B">
        <w:t xml:space="preserve"> </w:t>
      </w:r>
      <w:r w:rsidR="006B6D1E" w:rsidRPr="002B094B">
        <w:t xml:space="preserve">to detect </w:t>
      </w:r>
      <w:r w:rsidR="00AA7E9E">
        <w:t>ADE</w:t>
      </w:r>
      <w:r w:rsidR="006B6D1E" w:rsidRPr="002B094B">
        <w:t xml:space="preserve"> during the </w:t>
      </w:r>
      <w:r w:rsidR="00F45406">
        <w:t>full-length</w:t>
      </w:r>
      <w:r w:rsidR="00536BB3">
        <w:t xml:space="preserve"> unblinded </w:t>
      </w:r>
      <w:r w:rsidR="006B6D1E" w:rsidRPr="002B094B">
        <w:t>clinical study</w:t>
      </w:r>
      <w:r w:rsidR="004A07DE">
        <w:t xml:space="preserve"> period</w:t>
      </w:r>
      <w:r w:rsidR="00C30977">
        <w:t>.</w:t>
      </w:r>
      <w:r w:rsidR="002B094B" w:rsidRPr="002B094B">
        <w:t xml:space="preserve"> </w:t>
      </w:r>
      <w:r w:rsidR="00FA059C">
        <w:t xml:space="preserve">Furthermore, in </w:t>
      </w:r>
      <w:r w:rsidR="004A07DE">
        <w:t>my</w:t>
      </w:r>
      <w:r w:rsidR="00FA059C">
        <w:t xml:space="preserve"> </w:t>
      </w:r>
      <w:r w:rsidR="004572A4">
        <w:t>and</w:t>
      </w:r>
      <w:r w:rsidR="00AA7E9E">
        <w:t xml:space="preserve"> </w:t>
      </w:r>
      <w:r w:rsidR="004A07DE">
        <w:t>others’</w:t>
      </w:r>
      <w:r w:rsidR="00AA7E9E">
        <w:t xml:space="preserve"> </w:t>
      </w:r>
      <w:r w:rsidR="00FA059C">
        <w:t>view</w:t>
      </w:r>
      <w:r w:rsidR="004A07DE">
        <w:t>s</w:t>
      </w:r>
      <w:r w:rsidR="00FA059C">
        <w:t>,</w:t>
      </w:r>
      <w:r w:rsidR="00AA7E9E" w:rsidRPr="00CB3039">
        <w:rPr>
          <w:rStyle w:val="EndnoteReference"/>
        </w:rPr>
        <w:endnoteReference w:id="359"/>
      </w:r>
      <w:r w:rsidR="00FA059C">
        <w:t xml:space="preserve"> i</w:t>
      </w:r>
      <w:r w:rsidR="00AA36E7">
        <w:t xml:space="preserve">nformation about the </w:t>
      </w:r>
      <w:r w:rsidR="00AA36E7" w:rsidRPr="00FA059C">
        <w:rPr>
          <w:b/>
          <w:bCs w:val="0"/>
        </w:rPr>
        <w:t xml:space="preserve">substantial risk of </w:t>
      </w:r>
      <w:r w:rsidR="002B094B" w:rsidRPr="00FA059C">
        <w:rPr>
          <w:b/>
          <w:bCs w:val="0"/>
        </w:rPr>
        <w:t>ADE</w:t>
      </w:r>
      <w:r w:rsidR="00AA7E9E">
        <w:rPr>
          <w:b/>
          <w:bCs w:val="0"/>
        </w:rPr>
        <w:t>, VAED,</w:t>
      </w:r>
      <w:r w:rsidR="002B094B" w:rsidRPr="00FA059C">
        <w:rPr>
          <w:b/>
          <w:bCs w:val="0"/>
        </w:rPr>
        <w:t xml:space="preserve"> </w:t>
      </w:r>
      <w:r w:rsidR="00FA059C" w:rsidRPr="00FA059C">
        <w:rPr>
          <w:b/>
          <w:bCs w:val="0"/>
        </w:rPr>
        <w:t>and antigenic imprinting</w:t>
      </w:r>
      <w:r w:rsidR="00FA059C">
        <w:t xml:space="preserve"> </w:t>
      </w:r>
      <w:r w:rsidR="002B094B" w:rsidRPr="002B094B">
        <w:t xml:space="preserve">should have been a key part of </w:t>
      </w:r>
      <w:r w:rsidR="00AA36E7">
        <w:t xml:space="preserve">the </w:t>
      </w:r>
      <w:r w:rsidR="002B094B" w:rsidRPr="002B094B">
        <w:t xml:space="preserve">clinical study </w:t>
      </w:r>
      <w:r w:rsidR="002B094B" w:rsidRPr="00FA059C">
        <w:rPr>
          <w:b/>
          <w:bCs w:val="0"/>
        </w:rPr>
        <w:t>informed consent</w:t>
      </w:r>
      <w:r w:rsidR="00FA059C">
        <w:rPr>
          <w:szCs w:val="22"/>
        </w:rPr>
        <w:t>.</w:t>
      </w:r>
      <w:r w:rsidR="00AA36E7">
        <w:rPr>
          <w:szCs w:val="22"/>
        </w:rPr>
        <w:t xml:space="preserve"> </w:t>
      </w:r>
    </w:p>
    <w:p w14:paraId="615B5B3A" w14:textId="4D472EEB" w:rsidR="00203DA4" w:rsidRPr="00331165" w:rsidRDefault="000B4B98" w:rsidP="0033063A">
      <w:r w:rsidRPr="00331165">
        <w:t>T</w:t>
      </w:r>
      <w:r w:rsidR="00C94663" w:rsidRPr="00331165">
        <w:t xml:space="preserve">he Canadian </w:t>
      </w:r>
      <w:r w:rsidR="0034129F">
        <w:t>Covid</w:t>
      </w:r>
      <w:r w:rsidR="00C94663" w:rsidRPr="00331165">
        <w:t xml:space="preserve"> Care Alliance </w:t>
      </w:r>
      <w:r w:rsidR="002E6813" w:rsidRPr="00331165">
        <w:t xml:space="preserve">(CCCA) excellently summarized </w:t>
      </w:r>
      <w:r w:rsidR="006B52F3">
        <w:t>what they considered were</w:t>
      </w:r>
      <w:r w:rsidR="006B52F3" w:rsidRPr="00331165">
        <w:t xml:space="preserve"> </w:t>
      </w:r>
      <w:r w:rsidR="002E6813" w:rsidRPr="006B52F3">
        <w:rPr>
          <w:i/>
          <w:iCs/>
        </w:rPr>
        <w:t>major shortcomings</w:t>
      </w:r>
      <w:r w:rsidR="002E6813" w:rsidRPr="00331165">
        <w:t xml:space="preserve"> </w:t>
      </w:r>
      <w:r w:rsidR="000C7A7C">
        <w:t>of</w:t>
      </w:r>
      <w:r w:rsidR="002E6813" w:rsidRPr="00331165">
        <w:t xml:space="preserve"> Comirnaty’s clinical studies, including those used to support </w:t>
      </w:r>
      <w:r w:rsidR="00572563">
        <w:t>COVID-19</w:t>
      </w:r>
      <w:r w:rsidR="002E6813" w:rsidRPr="00331165">
        <w:t xml:space="preserve"> vaccine use in young children (Pfizer: </w:t>
      </w:r>
      <w:r w:rsidR="002E6813" w:rsidRPr="00FA292A">
        <w:rPr>
          <w:b/>
          <w:bCs w:val="0"/>
        </w:rPr>
        <w:t>"more harm than good”</w:t>
      </w:r>
      <w:r w:rsidR="002E6813" w:rsidRPr="00FA292A">
        <w:t>)</w:t>
      </w:r>
      <w:r w:rsidR="002E6813" w:rsidRPr="00331165">
        <w:t>.</w:t>
      </w:r>
      <w:r w:rsidR="002E6813" w:rsidRPr="00331165">
        <w:rPr>
          <w:rStyle w:val="EndnoteReference"/>
        </w:rPr>
        <w:endnoteReference w:id="360"/>
      </w:r>
      <w:r w:rsidR="002E6813" w:rsidRPr="00331165">
        <w:t xml:space="preserve"> The CCCA </w:t>
      </w:r>
      <w:r w:rsidRPr="00331165">
        <w:t xml:space="preserve">provided a useful </w:t>
      </w:r>
      <w:r w:rsidR="00901CCB">
        <w:t xml:space="preserve">alternative </w:t>
      </w:r>
      <w:r w:rsidRPr="00331165">
        <w:t>clinical study design</w:t>
      </w:r>
      <w:r w:rsidR="007613A9" w:rsidRPr="00331165">
        <w:t xml:space="preserve">, to which I have added </w:t>
      </w:r>
      <w:r w:rsidR="00452598">
        <w:t>clinical end-point suggestions</w:t>
      </w:r>
      <w:r w:rsidR="007613A9" w:rsidRPr="00331165">
        <w:t>,</w:t>
      </w:r>
      <w:r w:rsidRPr="00331165">
        <w:t xml:space="preserve"> </w:t>
      </w:r>
      <w:r w:rsidR="00C94663" w:rsidRPr="00331165">
        <w:t xml:space="preserve">that </w:t>
      </w:r>
      <w:r w:rsidR="006B52F3">
        <w:t xml:space="preserve">in my opinion </w:t>
      </w:r>
      <w:r w:rsidR="00C94663" w:rsidRPr="00331165">
        <w:t xml:space="preserve">would have answered important </w:t>
      </w:r>
      <w:r w:rsidR="00207812">
        <w:t xml:space="preserve">outstanding </w:t>
      </w:r>
      <w:r w:rsidR="00C94663" w:rsidRPr="00331165">
        <w:t xml:space="preserve">efficacy and safety </w:t>
      </w:r>
      <w:r w:rsidR="00207812">
        <w:t>questions</w:t>
      </w:r>
      <w:r w:rsidR="00C94663" w:rsidRPr="00331165">
        <w:t xml:space="preserve">: </w:t>
      </w:r>
      <w:r w:rsidR="0008393C" w:rsidRPr="00331165">
        <w:t xml:space="preserve">(1) </w:t>
      </w:r>
      <w:r w:rsidR="0008393C" w:rsidRPr="00BF3243">
        <w:t xml:space="preserve">no prior exposure to </w:t>
      </w:r>
      <w:r w:rsidR="00572563">
        <w:t>COVID-19</w:t>
      </w:r>
      <w:r w:rsidR="0008393C" w:rsidRPr="00BF3243">
        <w:t xml:space="preserve"> </w:t>
      </w:r>
      <w:r w:rsidR="007613A9" w:rsidRPr="00BF3243">
        <w:t>plus</w:t>
      </w:r>
      <w:r w:rsidR="006B2A5A" w:rsidRPr="00BF3243">
        <w:t xml:space="preserve"> </w:t>
      </w:r>
      <w:r w:rsidR="008248E5" w:rsidRPr="00BF3243">
        <w:t>Comirnaty</w:t>
      </w:r>
      <w:r w:rsidR="0008393C" w:rsidRPr="00BF3243">
        <w:t>, and (2) no prior exposure t</w:t>
      </w:r>
      <w:r w:rsidR="00C94663" w:rsidRPr="00BF3243">
        <w:t xml:space="preserve">o </w:t>
      </w:r>
      <w:r w:rsidR="00572563">
        <w:t>COVID-19</w:t>
      </w:r>
      <w:r w:rsidR="00C94663" w:rsidRPr="00BF3243">
        <w:t xml:space="preserve"> </w:t>
      </w:r>
      <w:r w:rsidR="007613A9" w:rsidRPr="00BF3243">
        <w:t>plus placebo</w:t>
      </w:r>
      <w:r w:rsidR="00C94663" w:rsidRPr="00BF3243">
        <w:t xml:space="preserve"> (</w:t>
      </w:r>
      <w:r w:rsidR="007613A9" w:rsidRPr="00BF3243">
        <w:t xml:space="preserve">i.e., </w:t>
      </w:r>
      <w:r w:rsidR="003B31FD">
        <w:t xml:space="preserve">comparative </w:t>
      </w:r>
      <w:r w:rsidR="00C94663" w:rsidRPr="00331165">
        <w:t xml:space="preserve">safety </w:t>
      </w:r>
      <w:r w:rsidR="007613A9" w:rsidRPr="00331165">
        <w:t xml:space="preserve">and efficacy </w:t>
      </w:r>
      <w:r w:rsidR="003B31FD">
        <w:t>assessment</w:t>
      </w:r>
      <w:r w:rsidR="00C94663" w:rsidRPr="00331165">
        <w:t>)</w:t>
      </w:r>
      <w:r w:rsidR="003133DC" w:rsidRPr="00331165">
        <w:t>,</w:t>
      </w:r>
      <w:r w:rsidR="0008393C" w:rsidRPr="00331165">
        <w:t xml:space="preserve"> (3) previously infected </w:t>
      </w:r>
      <w:r w:rsidR="007613A9" w:rsidRPr="00331165">
        <w:t>plus</w:t>
      </w:r>
      <w:r w:rsidR="0008393C" w:rsidRPr="00331165">
        <w:t xml:space="preserve"> </w:t>
      </w:r>
      <w:r w:rsidR="008248E5" w:rsidRPr="00331165">
        <w:t>Comirnaty</w:t>
      </w:r>
      <w:r w:rsidR="007613A9" w:rsidRPr="00331165">
        <w:t xml:space="preserve"> (i.e., </w:t>
      </w:r>
      <w:r w:rsidR="00E617EF">
        <w:t xml:space="preserve">to </w:t>
      </w:r>
      <w:r w:rsidR="007613A9" w:rsidRPr="00331165">
        <w:t xml:space="preserve">understand </w:t>
      </w:r>
      <w:r w:rsidR="003B31FD">
        <w:t xml:space="preserve">any </w:t>
      </w:r>
      <w:r w:rsidR="007613A9" w:rsidRPr="00331165">
        <w:t xml:space="preserve">efficacy benefit </w:t>
      </w:r>
      <w:r w:rsidR="00C94663" w:rsidRPr="00331165">
        <w:t xml:space="preserve">or </w:t>
      </w:r>
      <w:r w:rsidR="007613A9" w:rsidRPr="00331165">
        <w:t xml:space="preserve">vaccine-induced pathology), (4) </w:t>
      </w:r>
      <w:r w:rsidR="0008393C" w:rsidRPr="00331165">
        <w:t xml:space="preserve">previously infected </w:t>
      </w:r>
      <w:r w:rsidR="007613A9" w:rsidRPr="00331165">
        <w:t xml:space="preserve">plus placebo (i.e., </w:t>
      </w:r>
      <w:r w:rsidR="003B31FD">
        <w:t>comparative</w:t>
      </w:r>
      <w:r w:rsidR="003133DC" w:rsidRPr="00331165">
        <w:t xml:space="preserve"> </w:t>
      </w:r>
      <w:r w:rsidR="0008393C" w:rsidRPr="00331165">
        <w:t>natural immunity protection</w:t>
      </w:r>
      <w:r w:rsidR="003B31FD">
        <w:t xml:space="preserve"> assessment</w:t>
      </w:r>
      <w:r w:rsidR="007613A9" w:rsidRPr="00331165">
        <w:t xml:space="preserve">). </w:t>
      </w:r>
      <w:r w:rsidR="00452598">
        <w:t>Pfizer’s</w:t>
      </w:r>
      <w:r w:rsidR="0008393C" w:rsidRPr="00331165">
        <w:t xml:space="preserve"> omission of the last two study arms </w:t>
      </w:r>
      <w:r w:rsidR="00207812">
        <w:t>means</w:t>
      </w:r>
      <w:r w:rsidR="00207812" w:rsidRPr="00331165">
        <w:t xml:space="preserve"> </w:t>
      </w:r>
      <w:r w:rsidR="00BF3243">
        <w:t>the assessment of</w:t>
      </w:r>
      <w:r w:rsidR="0008393C" w:rsidRPr="00331165">
        <w:t xml:space="preserve"> </w:t>
      </w:r>
      <w:r w:rsidR="00211B03" w:rsidRPr="00BF3243">
        <w:t>vaccine</w:t>
      </w:r>
      <w:r w:rsidR="003A15C8" w:rsidRPr="00BF3243">
        <w:t>-induced</w:t>
      </w:r>
      <w:r w:rsidR="0033063A" w:rsidRPr="00BF3243">
        <w:t xml:space="preserve"> pathologies</w:t>
      </w:r>
      <w:r w:rsidR="004515B4" w:rsidRPr="00331165">
        <w:t xml:space="preserve"> associated with </w:t>
      </w:r>
      <w:r w:rsidR="004515B4" w:rsidRPr="006B52F3">
        <w:t>(re)infection</w:t>
      </w:r>
      <w:r w:rsidR="004515B4" w:rsidRPr="00331165">
        <w:t xml:space="preserve"> </w:t>
      </w:r>
      <w:r w:rsidR="00BF4AA4">
        <w:t xml:space="preserve">(i.e., ADE/VAED) </w:t>
      </w:r>
      <w:r w:rsidR="004515B4" w:rsidRPr="00331165">
        <w:t xml:space="preserve">and </w:t>
      </w:r>
      <w:r w:rsidR="00452598">
        <w:t>a</w:t>
      </w:r>
      <w:r w:rsidR="0078621D">
        <w:t xml:space="preserve"> </w:t>
      </w:r>
      <w:r w:rsidR="00452598">
        <w:t xml:space="preserve">Comirnaty </w:t>
      </w:r>
      <w:r w:rsidR="0078621D">
        <w:t>comparison with</w:t>
      </w:r>
      <w:r w:rsidR="0078621D" w:rsidRPr="0078621D">
        <w:t xml:space="preserve"> </w:t>
      </w:r>
      <w:r w:rsidR="0033063A" w:rsidRPr="004572A4">
        <w:rPr>
          <w:b/>
          <w:bCs w:val="0"/>
        </w:rPr>
        <w:t>na</w:t>
      </w:r>
      <w:r w:rsidR="003A15C8" w:rsidRPr="004572A4">
        <w:rPr>
          <w:b/>
          <w:bCs w:val="0"/>
        </w:rPr>
        <w:t>tural immunity</w:t>
      </w:r>
      <w:r w:rsidR="00BF4AA4">
        <w:t xml:space="preserve"> was avoided.</w:t>
      </w:r>
    </w:p>
    <w:p w14:paraId="01A60155" w14:textId="381B2B42" w:rsidR="004515B4" w:rsidRDefault="00DE5DBB" w:rsidP="0033063A">
      <w:r>
        <w:t xml:space="preserve">In addition to assessing </w:t>
      </w:r>
      <w:r w:rsidR="00C30977">
        <w:t>community-relevant</w:t>
      </w:r>
      <w:r w:rsidR="004515B4">
        <w:t xml:space="preserve"> disease </w:t>
      </w:r>
      <w:r w:rsidR="004515B4" w:rsidRPr="008A2CBD">
        <w:t>protection</w:t>
      </w:r>
      <w:r w:rsidR="004515B4">
        <w:t xml:space="preserve"> </w:t>
      </w:r>
      <w:r w:rsidR="00207812">
        <w:t>endpoints</w:t>
      </w:r>
      <w:r>
        <w:t xml:space="preserve"> </w:t>
      </w:r>
      <w:r w:rsidR="004515B4">
        <w:t>(see next)</w:t>
      </w:r>
      <w:r w:rsidR="004515B4" w:rsidRPr="008A2CBD">
        <w:t xml:space="preserve">, </w:t>
      </w:r>
      <w:r>
        <w:t>the study</w:t>
      </w:r>
      <w:r w:rsidR="00207812">
        <w:t>,</w:t>
      </w:r>
      <w:r>
        <w:t xml:space="preserve"> </w:t>
      </w:r>
      <w:r w:rsidR="00207812">
        <w:t xml:space="preserve">in my view, </w:t>
      </w:r>
      <w:r>
        <w:t xml:space="preserve">should have </w:t>
      </w:r>
      <w:r w:rsidR="004515B4">
        <w:t xml:space="preserve">confirmed </w:t>
      </w:r>
      <w:r w:rsidR="008F66B1">
        <w:t xml:space="preserve">viral </w:t>
      </w:r>
      <w:r w:rsidR="004515B4">
        <w:t>infection</w:t>
      </w:r>
      <w:r w:rsidR="00055B6A">
        <w:t xml:space="preserve"> (i.e., whole viral genome sequencing, </w:t>
      </w:r>
      <w:r w:rsidR="003A3FC9">
        <w:t xml:space="preserve">virus </w:t>
      </w:r>
      <w:r w:rsidR="00055B6A">
        <w:t>culture</w:t>
      </w:r>
      <w:r w:rsidR="00207812">
        <w:t>)</w:t>
      </w:r>
      <w:r w:rsidR="004515B4">
        <w:t xml:space="preserve">, </w:t>
      </w:r>
      <w:r w:rsidR="00E617EF">
        <w:t>viral loads</w:t>
      </w:r>
      <w:r w:rsidR="00C30977">
        <w:t>,</w:t>
      </w:r>
      <w:r w:rsidR="00E617EF">
        <w:t xml:space="preserve"> and </w:t>
      </w:r>
      <w:r w:rsidR="00613340">
        <w:lastRenderedPageBreak/>
        <w:t xml:space="preserve">viral </w:t>
      </w:r>
      <w:r w:rsidR="00E617EF">
        <w:t>shedding</w:t>
      </w:r>
      <w:r w:rsidR="00C42CC8">
        <w:t xml:space="preserve"> (M. Yeadon also)</w:t>
      </w:r>
      <w:r w:rsidR="001F59D7">
        <w:t>.</w:t>
      </w:r>
      <w:r w:rsidR="00C42CC8" w:rsidRPr="00BB2487">
        <w:rPr>
          <w:rStyle w:val="EndnoteReference"/>
        </w:rPr>
        <w:endnoteReference w:id="361"/>
      </w:r>
      <w:r w:rsidR="001F59D7">
        <w:t xml:space="preserve"> </w:t>
      </w:r>
      <w:r>
        <w:t>This would have c</w:t>
      </w:r>
      <w:r w:rsidR="004515B4">
        <w:t>onfirm</w:t>
      </w:r>
      <w:r>
        <w:t>ed</w:t>
      </w:r>
      <w:r w:rsidR="004515B4">
        <w:t xml:space="preserve"> the </w:t>
      </w:r>
      <w:r w:rsidR="00203DA4">
        <w:t xml:space="preserve">vaccine’s </w:t>
      </w:r>
      <w:r>
        <w:t>ability to protect</w:t>
      </w:r>
      <w:r w:rsidR="00203DA4">
        <w:t xml:space="preserve"> </w:t>
      </w:r>
      <w:r>
        <w:t>against</w:t>
      </w:r>
      <w:r w:rsidR="00203DA4">
        <w:t xml:space="preserve"> </w:t>
      </w:r>
      <w:r w:rsidR="00055B6A">
        <w:t xml:space="preserve">SARS-CoV-2 </w:t>
      </w:r>
      <w:r>
        <w:t xml:space="preserve">infection, reduce </w:t>
      </w:r>
      <w:r w:rsidR="00203DA4">
        <w:t xml:space="preserve">viral </w:t>
      </w:r>
      <w:r>
        <w:t xml:space="preserve">loads and </w:t>
      </w:r>
      <w:r w:rsidR="00203DA4">
        <w:t>transmission</w:t>
      </w:r>
      <w:r>
        <w:t xml:space="preserve">, </w:t>
      </w:r>
      <w:r w:rsidR="004358E8">
        <w:t xml:space="preserve">and </w:t>
      </w:r>
      <w:r w:rsidR="00FA292A">
        <w:t>the</w:t>
      </w:r>
      <w:r w:rsidR="001F59D7">
        <w:t xml:space="preserve"> duration of protection</w:t>
      </w:r>
      <w:r>
        <w:t>.</w:t>
      </w:r>
    </w:p>
    <w:p w14:paraId="5BD546E5" w14:textId="42A34BB9" w:rsidR="004476CF" w:rsidRDefault="00C42CC8" w:rsidP="004476CF">
      <w:r>
        <w:t xml:space="preserve">Based on the </w:t>
      </w:r>
      <w:r w:rsidR="00E0487A">
        <w:t xml:space="preserve">demographic </w:t>
      </w:r>
      <w:r>
        <w:t xml:space="preserve">burden of community </w:t>
      </w:r>
      <w:r w:rsidR="00572563">
        <w:t>COVID-19</w:t>
      </w:r>
      <w:r w:rsidR="00E0487A">
        <w:t xml:space="preserve"> </w:t>
      </w:r>
      <w:r>
        <w:t xml:space="preserve">disease it </w:t>
      </w:r>
      <w:r w:rsidR="003A3742">
        <w:t xml:space="preserve">was the CCCA and </w:t>
      </w:r>
      <w:r>
        <w:t xml:space="preserve">my view </w:t>
      </w:r>
      <w:r w:rsidR="003A3742">
        <w:t xml:space="preserve">that </w:t>
      </w:r>
      <w:r>
        <w:t>t</w:t>
      </w:r>
      <w:r w:rsidRPr="00EB48AC">
        <w:t xml:space="preserve">he </w:t>
      </w:r>
      <w:r w:rsidR="00024235" w:rsidRPr="00EB48AC">
        <w:t xml:space="preserve">Pfizer study </w:t>
      </w:r>
      <w:r w:rsidR="002B784F">
        <w:t>did not</w:t>
      </w:r>
      <w:r w:rsidR="00024235" w:rsidRPr="00EB48AC">
        <w:t xml:space="preserve"> </w:t>
      </w:r>
      <w:r w:rsidR="002B784F">
        <w:t>prioritize</w:t>
      </w:r>
      <w:r w:rsidR="002B784F" w:rsidRPr="00EB48AC">
        <w:t xml:space="preserve"> </w:t>
      </w:r>
      <w:r w:rsidR="00024235" w:rsidRPr="00EB48AC">
        <w:t xml:space="preserve">the </w:t>
      </w:r>
      <w:r w:rsidR="002B784F">
        <w:t xml:space="preserve">most </w:t>
      </w:r>
      <w:r w:rsidR="002B784F" w:rsidRPr="00C30977">
        <w:t xml:space="preserve">appropriate </w:t>
      </w:r>
      <w:r w:rsidR="00024235" w:rsidRPr="00C30977">
        <w:rPr>
          <w:b/>
          <w:bCs w:val="0"/>
        </w:rPr>
        <w:t>at-risk population</w:t>
      </w:r>
      <w:r w:rsidR="002B784F" w:rsidRPr="00C30977">
        <w:t xml:space="preserve"> (i.e., the elderly with multiple comorbidities)</w:t>
      </w:r>
      <w:r w:rsidR="00024235" w:rsidRPr="00C30977">
        <w:t xml:space="preserve">. </w:t>
      </w:r>
      <w:r w:rsidR="00C63975">
        <w:t>Before</w:t>
      </w:r>
      <w:r w:rsidR="00E617EF" w:rsidRPr="00C30977">
        <w:t xml:space="preserve"> the study</w:t>
      </w:r>
      <w:r w:rsidR="00C30977" w:rsidRPr="00C30977">
        <w:t>,</w:t>
      </w:r>
      <w:r w:rsidR="00E617EF" w:rsidRPr="00C30977">
        <w:t xml:space="preserve"> it was known</w:t>
      </w:r>
      <w:r w:rsidR="00C16685" w:rsidRPr="00C30977">
        <w:t xml:space="preserve"> </w:t>
      </w:r>
      <w:r w:rsidR="00C63975">
        <w:t xml:space="preserve">that </w:t>
      </w:r>
      <w:r w:rsidR="00C16685" w:rsidRPr="00C30977">
        <w:t xml:space="preserve">95% of people who died </w:t>
      </w:r>
      <w:r w:rsidR="00C30977" w:rsidRPr="00C30977">
        <w:t>from</w:t>
      </w:r>
      <w:r w:rsidR="00C16685" w:rsidRPr="00C30977">
        <w:t xml:space="preserve"> </w:t>
      </w:r>
      <w:r w:rsidR="00572563">
        <w:t>COVID-19</w:t>
      </w:r>
      <w:r w:rsidR="00C16685" w:rsidRPr="00C30977">
        <w:t xml:space="preserve"> had one or more co-morbidities, with an average of four.</w:t>
      </w:r>
      <w:r w:rsidR="00C16685" w:rsidRPr="00C30977">
        <w:rPr>
          <w:rStyle w:val="EndnoteReference"/>
        </w:rPr>
        <w:endnoteReference w:id="362"/>
      </w:r>
      <w:r w:rsidR="00C16685" w:rsidRPr="00C30977">
        <w:t xml:space="preserve"> </w:t>
      </w:r>
      <w:r w:rsidR="00794435" w:rsidRPr="00C30977">
        <w:t>We also kne</w:t>
      </w:r>
      <w:r w:rsidR="00C16685" w:rsidRPr="00C30977">
        <w:t xml:space="preserve">w 85% of the people most at risk from </w:t>
      </w:r>
      <w:r w:rsidR="00572563">
        <w:t>COVID-19</w:t>
      </w:r>
      <w:r w:rsidR="00C16685" w:rsidRPr="00C30977">
        <w:t xml:space="preserve"> </w:t>
      </w:r>
      <w:r w:rsidR="00A674FD" w:rsidRPr="00C30977">
        <w:t>were</w:t>
      </w:r>
      <w:r w:rsidR="00C16685" w:rsidRPr="00C30977">
        <w:t xml:space="preserve"> over 75</w:t>
      </w:r>
      <w:r w:rsidR="00794435" w:rsidRPr="00C30977">
        <w:t>yrs old</w:t>
      </w:r>
      <w:r w:rsidR="00094508" w:rsidRPr="00C30977">
        <w:t xml:space="preserve"> (sections 1.</w:t>
      </w:r>
      <w:r w:rsidR="00C30977" w:rsidRPr="00C30977">
        <w:t>1</w:t>
      </w:r>
      <w:r w:rsidR="00094508" w:rsidRPr="00C30977">
        <w:t>.</w:t>
      </w:r>
      <w:r w:rsidR="00C30977" w:rsidRPr="00C30977">
        <w:t>2-5</w:t>
      </w:r>
      <w:r w:rsidR="00094508" w:rsidRPr="00C30977">
        <w:t>)</w:t>
      </w:r>
      <w:r w:rsidR="00024235" w:rsidRPr="00C30977">
        <w:t>.</w:t>
      </w:r>
      <w:r w:rsidR="00C16685" w:rsidRPr="00C30977">
        <w:rPr>
          <w:rStyle w:val="EndnoteReference"/>
        </w:rPr>
        <w:endnoteReference w:id="363"/>
      </w:r>
      <w:r w:rsidR="00C16685" w:rsidRPr="00C30977">
        <w:t xml:space="preserve"> </w:t>
      </w:r>
      <w:r w:rsidR="001A2BA3">
        <w:t xml:space="preserve">Sections 1.1.3-4 confirm </w:t>
      </w:r>
      <w:r w:rsidR="00C63975">
        <w:t>the elderly</w:t>
      </w:r>
      <w:r w:rsidR="001A2BA3">
        <w:t xml:space="preserve"> risk factor, as the </w:t>
      </w:r>
      <w:r w:rsidR="00FA059C">
        <w:t xml:space="preserve">vaccinated </w:t>
      </w:r>
      <w:r w:rsidR="001A2BA3">
        <w:t xml:space="preserve">elderly accounted for </w:t>
      </w:r>
      <w:r w:rsidR="00C63975">
        <w:t>most</w:t>
      </w:r>
      <w:r w:rsidR="001A2BA3">
        <w:t xml:space="preserve"> COVID-19 deaths and hospitalizations. </w:t>
      </w:r>
      <w:r w:rsidR="0053285B">
        <w:t xml:space="preserve">Section 1.3.3 </w:t>
      </w:r>
      <w:r w:rsidR="00F36BD3">
        <w:t xml:space="preserve">Mechanism 1 </w:t>
      </w:r>
      <w:r w:rsidR="0053285B">
        <w:t>confirms t</w:t>
      </w:r>
      <w:r w:rsidR="0053285B" w:rsidRPr="00061436">
        <w:t xml:space="preserve">he most prevalent </w:t>
      </w:r>
      <w:r w:rsidR="0053285B" w:rsidRPr="00BB25DC">
        <w:rPr>
          <w:b/>
          <w:bCs w:val="0"/>
        </w:rPr>
        <w:t>comorbidities</w:t>
      </w:r>
      <w:r w:rsidR="0053285B">
        <w:t xml:space="preserve"> and biggest risk factors associated with severe COVID-19 outcomes (i.e., elderly, comorbidities associated with the cardiovascular</w:t>
      </w:r>
      <w:r w:rsidR="00F36BD3">
        <w:t>, respiratory, brain, and kidney systems</w:t>
      </w:r>
      <w:r w:rsidR="00C63975">
        <w:t xml:space="preserve">, </w:t>
      </w:r>
      <w:r w:rsidR="000F1E96">
        <w:t xml:space="preserve">obesity, </w:t>
      </w:r>
      <w:r w:rsidR="00C63975">
        <w:t>and diabetes</w:t>
      </w:r>
      <w:r w:rsidR="00F36BD3">
        <w:t>)</w:t>
      </w:r>
      <w:r w:rsidR="0053285B">
        <w:t>.</w:t>
      </w:r>
      <w:r w:rsidR="00F36BD3">
        <w:t xml:space="preserve"> </w:t>
      </w:r>
      <w:r w:rsidR="00024235" w:rsidRPr="00C30977">
        <w:t xml:space="preserve">However, </w:t>
      </w:r>
      <w:r w:rsidR="00024235" w:rsidRPr="00C30977">
        <w:rPr>
          <w:b/>
          <w:bCs w:val="0"/>
        </w:rPr>
        <w:t xml:space="preserve">the elderly </w:t>
      </w:r>
      <w:r w:rsidR="000C7A7C">
        <w:rPr>
          <w:b/>
          <w:bCs w:val="0"/>
        </w:rPr>
        <w:t>were</w:t>
      </w:r>
      <w:r w:rsidR="00F53BA9" w:rsidRPr="00C30977">
        <w:rPr>
          <w:b/>
          <w:bCs w:val="0"/>
        </w:rPr>
        <w:t xml:space="preserve"> </w:t>
      </w:r>
      <w:r w:rsidR="00E0487A" w:rsidRPr="00C30977">
        <w:rPr>
          <w:b/>
          <w:bCs w:val="0"/>
        </w:rPr>
        <w:t xml:space="preserve">not </w:t>
      </w:r>
      <w:r w:rsidR="00F53BA9" w:rsidRPr="00C30977">
        <w:rPr>
          <w:b/>
          <w:bCs w:val="0"/>
        </w:rPr>
        <w:t>prioritized</w:t>
      </w:r>
      <w:r w:rsidR="00F53BA9" w:rsidRPr="00C30977">
        <w:t xml:space="preserve"> </w:t>
      </w:r>
      <w:r w:rsidR="00E0487A" w:rsidRPr="00C30977">
        <w:t xml:space="preserve">in Pfizer’s Phase 3 study </w:t>
      </w:r>
      <w:r w:rsidR="00024235" w:rsidRPr="00C30977">
        <w:t xml:space="preserve">because those </w:t>
      </w:r>
      <w:r w:rsidR="00F53BA9" w:rsidRPr="00C30977">
        <w:rPr>
          <w:rFonts w:cs="Times New Roman"/>
        </w:rPr>
        <w:t>aged</w:t>
      </w:r>
      <w:r w:rsidR="00024235" w:rsidRPr="00C30977">
        <w:rPr>
          <w:rFonts w:cs="Times New Roman"/>
        </w:rPr>
        <w:t xml:space="preserve"> </w:t>
      </w:r>
      <w:r w:rsidR="00F53BA9" w:rsidRPr="00C30977">
        <w:rPr>
          <w:rFonts w:cs="Times New Roman"/>
        </w:rPr>
        <w:t xml:space="preserve">older </w:t>
      </w:r>
      <w:r w:rsidR="00F53BA9">
        <w:rPr>
          <w:rFonts w:cs="Times New Roman"/>
        </w:rPr>
        <w:t xml:space="preserve">than </w:t>
      </w:r>
      <w:r w:rsidR="00F53BA9">
        <w:t>75 years</w:t>
      </w:r>
      <w:r w:rsidR="00024235" w:rsidRPr="00EB48AC">
        <w:t xml:space="preserve"> represented only 4% of study subjects,</w:t>
      </w:r>
      <w:r w:rsidR="00024235" w:rsidRPr="00EB48AC">
        <w:rPr>
          <w:rStyle w:val="EndnoteReference"/>
        </w:rPr>
        <w:endnoteReference w:id="364"/>
      </w:r>
      <w:r w:rsidR="00024235" w:rsidRPr="00EB48AC">
        <w:t xml:space="preserve"> while </w:t>
      </w:r>
      <w:r w:rsidR="00211B03" w:rsidRPr="00A21124">
        <w:t>only 21%</w:t>
      </w:r>
      <w:r w:rsidR="00211B03" w:rsidRPr="00EB48AC">
        <w:t xml:space="preserve"> of subjects </w:t>
      </w:r>
      <w:r w:rsidR="00211B03">
        <w:t>had</w:t>
      </w:r>
      <w:r w:rsidR="00024235" w:rsidRPr="00EB48AC">
        <w:t xml:space="preserve"> one or more </w:t>
      </w:r>
      <w:r w:rsidR="00211B03">
        <w:t>comorbidities</w:t>
      </w:r>
      <w:r w:rsidR="00460BD8">
        <w:t>.</w:t>
      </w:r>
      <w:r w:rsidR="00460BD8" w:rsidRPr="00460BD8">
        <w:t xml:space="preserve"> </w:t>
      </w:r>
      <w:r w:rsidR="00460BD8" w:rsidRPr="00EB48AC">
        <w:t xml:space="preserve">Instead, younger demographics </w:t>
      </w:r>
      <w:r w:rsidR="00460BD8">
        <w:t xml:space="preserve">were </w:t>
      </w:r>
      <w:r w:rsidR="00460BD8" w:rsidRPr="00EB48AC">
        <w:t xml:space="preserve">prioritized that would be less likely to need </w:t>
      </w:r>
      <w:r w:rsidR="00460BD8">
        <w:t>Comirnaty</w:t>
      </w:r>
      <w:r w:rsidR="00460BD8" w:rsidRPr="00EB48AC">
        <w:t xml:space="preserve"> </w:t>
      </w:r>
      <w:r w:rsidR="000F1E96">
        <w:t>or</w:t>
      </w:r>
      <w:r w:rsidR="00460BD8" w:rsidRPr="00EB48AC">
        <w:t xml:space="preserve"> suffer an adverse event</w:t>
      </w:r>
      <w:r w:rsidR="00094508">
        <w:t xml:space="preserve"> (i.e., have </w:t>
      </w:r>
      <w:r w:rsidR="000C7A7C">
        <w:t>fewer</w:t>
      </w:r>
      <w:r w:rsidR="00094508">
        <w:t xml:space="preserve"> preexisting </w:t>
      </w:r>
      <w:r w:rsidR="00560A16">
        <w:t>or comorbid</w:t>
      </w:r>
      <w:r w:rsidR="00094508">
        <w:t xml:space="preserve"> </w:t>
      </w:r>
      <w:r w:rsidR="00FA059C">
        <w:t>diseases</w:t>
      </w:r>
      <w:r w:rsidR="00094508">
        <w:t>)</w:t>
      </w:r>
      <w:r w:rsidR="00024235" w:rsidRPr="00EB48AC">
        <w:t>.</w:t>
      </w:r>
      <w:r w:rsidR="00024235" w:rsidRPr="00EB48AC">
        <w:rPr>
          <w:rStyle w:val="EndnoteReference"/>
        </w:rPr>
        <w:endnoteReference w:id="365"/>
      </w:r>
      <w:r w:rsidR="00024235" w:rsidRPr="00EB48AC">
        <w:t xml:space="preserve"> </w:t>
      </w:r>
    </w:p>
    <w:p w14:paraId="33B5C79E" w14:textId="35650FBF" w:rsidR="00880023" w:rsidRDefault="00F36BD3" w:rsidP="00055B6A">
      <w:r>
        <w:t>An important consequence of</w:t>
      </w:r>
      <w:r w:rsidRPr="00CD1F7A">
        <w:t xml:space="preserve"> </w:t>
      </w:r>
      <w:r w:rsidRPr="00132E39">
        <w:rPr>
          <w:b/>
          <w:bCs w:val="0"/>
        </w:rPr>
        <w:t>unblinding</w:t>
      </w:r>
      <w:r>
        <w:t xml:space="preserve"> the Phase 3 clinical </w:t>
      </w:r>
      <w:r w:rsidRPr="00CD1F7A">
        <w:t xml:space="preserve">study </w:t>
      </w:r>
      <w:r>
        <w:t xml:space="preserve">for Comirnaty </w:t>
      </w:r>
      <w:r w:rsidRPr="00DE7D78">
        <w:rPr>
          <w:b/>
          <w:bCs w:val="0"/>
        </w:rPr>
        <w:t>28 months early</w:t>
      </w:r>
      <w:r>
        <w:t xml:space="preserve"> (i.e., Comirnaty was given to the placebo group) after EUA was it </w:t>
      </w:r>
      <w:r w:rsidRPr="00132E39">
        <w:rPr>
          <w:b/>
          <w:bCs w:val="0"/>
        </w:rPr>
        <w:t>eliminated</w:t>
      </w:r>
      <w:r w:rsidRPr="00CD1F7A">
        <w:t xml:space="preserve"> the possibility of detecting </w:t>
      </w:r>
      <w:r>
        <w:t xml:space="preserve">potential </w:t>
      </w:r>
      <w:r w:rsidRPr="004572A4">
        <w:rPr>
          <w:b/>
          <w:bCs w:val="0"/>
        </w:rPr>
        <w:t>statistical differences</w:t>
      </w:r>
      <w:r>
        <w:t xml:space="preserve"> in vaccine efficacy and </w:t>
      </w:r>
      <w:r w:rsidRPr="00CD1F7A">
        <w:t>vaccine-induced pathologies</w:t>
      </w:r>
      <w:r>
        <w:t xml:space="preserve"> and ADE between </w:t>
      </w:r>
      <w:r w:rsidR="00C63975">
        <w:t xml:space="preserve">the </w:t>
      </w:r>
      <w:r>
        <w:t xml:space="preserve">Comirnaty and </w:t>
      </w:r>
      <w:r w:rsidR="00C63975">
        <w:t xml:space="preserve">the </w:t>
      </w:r>
      <w:r>
        <w:t>placebo group</w:t>
      </w:r>
      <w:r w:rsidR="00C63975">
        <w:t>s</w:t>
      </w:r>
      <w:r>
        <w:t xml:space="preserve">. </w:t>
      </w:r>
      <w:r w:rsidR="004476CF">
        <w:t>In my view, this will undermine Comirnaty’s full Phase 3 safety assessment</w:t>
      </w:r>
      <w:r w:rsidR="00C63975">
        <w:t>, which made me highly suspicious when this news was announced</w:t>
      </w:r>
      <w:r w:rsidR="004476CF">
        <w:t>. T</w:t>
      </w:r>
      <w:r w:rsidR="00E0487A" w:rsidRPr="00EB48AC">
        <w:t xml:space="preserve">he </w:t>
      </w:r>
      <w:r w:rsidR="00794435" w:rsidRPr="00EB48AC">
        <w:t>primary</w:t>
      </w:r>
      <w:r w:rsidR="00901CCB">
        <w:t xml:space="preserve"> </w:t>
      </w:r>
      <w:r w:rsidR="00901CCB" w:rsidRPr="00132E39">
        <w:t>safety</w:t>
      </w:r>
      <w:r w:rsidR="00794435" w:rsidRPr="00132E39">
        <w:t xml:space="preserve"> end-points</w:t>
      </w:r>
      <w:r w:rsidR="00794435" w:rsidRPr="00EB48AC">
        <w:t xml:space="preserve"> </w:t>
      </w:r>
      <w:r w:rsidR="00EB48AC">
        <w:t xml:space="preserve">for </w:t>
      </w:r>
      <w:r w:rsidR="008248E5">
        <w:t>Comirnaty</w:t>
      </w:r>
      <w:r w:rsidR="00EB48AC">
        <w:t xml:space="preserve"> </w:t>
      </w:r>
      <w:r w:rsidR="004476CF">
        <w:t xml:space="preserve">in my view </w:t>
      </w:r>
      <w:r w:rsidR="00794435" w:rsidRPr="00EB48AC">
        <w:t>should have been</w:t>
      </w:r>
      <w:r w:rsidR="00FA059C">
        <w:t xml:space="preserve"> both </w:t>
      </w:r>
      <w:r w:rsidR="00FA059C" w:rsidRPr="00FA059C">
        <w:rPr>
          <w:b/>
          <w:bCs w:val="0"/>
        </w:rPr>
        <w:t>infection and transmission prevention</w:t>
      </w:r>
      <w:r w:rsidR="00FA059C">
        <w:t xml:space="preserve"> and</w:t>
      </w:r>
      <w:r w:rsidR="00794435" w:rsidRPr="00EB48AC">
        <w:t xml:space="preserve"> </w:t>
      </w:r>
      <w:r w:rsidR="000764F6">
        <w:t>all-cause</w:t>
      </w:r>
      <w:r w:rsidR="00794435" w:rsidRPr="00132E39">
        <w:rPr>
          <w:b/>
          <w:bCs w:val="0"/>
        </w:rPr>
        <w:t xml:space="preserve"> disease morbidity</w:t>
      </w:r>
      <w:r w:rsidR="00EF2C28" w:rsidRPr="00EF2C28">
        <w:t xml:space="preserve"> </w:t>
      </w:r>
      <w:r w:rsidR="00094508">
        <w:t>pooling</w:t>
      </w:r>
      <w:r w:rsidR="006E311B">
        <w:t xml:space="preserve"> both </w:t>
      </w:r>
      <w:r w:rsidR="00572563">
        <w:t>COVID-19</w:t>
      </w:r>
      <w:r w:rsidR="006E311B">
        <w:t xml:space="preserve"> </w:t>
      </w:r>
      <w:r w:rsidR="00DE04F6">
        <w:t>disease</w:t>
      </w:r>
      <w:r w:rsidR="00FA059C">
        <w:t>, death,</w:t>
      </w:r>
      <w:r w:rsidR="00DE04F6">
        <w:t xml:space="preserve"> </w:t>
      </w:r>
      <w:r w:rsidR="006E311B">
        <w:t xml:space="preserve">and vaccine adverse events </w:t>
      </w:r>
      <w:r w:rsidR="00132E39">
        <w:t xml:space="preserve">from day 0 </w:t>
      </w:r>
      <w:r w:rsidR="00EF2C28" w:rsidRPr="00EF2C28">
        <w:t xml:space="preserve">(i.e., </w:t>
      </w:r>
      <w:r w:rsidR="00EF2C28" w:rsidRPr="007C3167">
        <w:rPr>
          <w:i/>
        </w:rPr>
        <w:t>A&amp;E visit, hospitalization</w:t>
      </w:r>
      <w:r w:rsidR="008F66B1" w:rsidRPr="007C3167">
        <w:rPr>
          <w:i/>
        </w:rPr>
        <w:t>, duration of illness, symptom scores</w:t>
      </w:r>
      <w:r w:rsidR="008F66B1">
        <w:t>, etc</w:t>
      </w:r>
      <w:r w:rsidR="00FA059C">
        <w:t>.)</w:t>
      </w:r>
      <w:r w:rsidR="00794435" w:rsidRPr="00EF2C28">
        <w:t xml:space="preserve"> </w:t>
      </w:r>
      <w:r w:rsidR="00794435" w:rsidRPr="00EB48AC">
        <w:t xml:space="preserve">in a study that </w:t>
      </w:r>
      <w:r w:rsidR="00794435" w:rsidRPr="00EF2C28">
        <w:t>prioritized the elderly with comorbid disease</w:t>
      </w:r>
      <w:r w:rsidR="00880023">
        <w:t xml:space="preserve"> </w:t>
      </w:r>
      <w:r w:rsidR="00FA059C">
        <w:t xml:space="preserve">associated with severe COVID-19 outcomes </w:t>
      </w:r>
      <w:r w:rsidR="00880023">
        <w:t>(i.e., those most at risk</w:t>
      </w:r>
      <w:r w:rsidR="00FA059C">
        <w:t>, section 1.3.3 Mechanism 1</w:t>
      </w:r>
      <w:r w:rsidR="00880023">
        <w:t>)</w:t>
      </w:r>
      <w:r w:rsidR="00024235" w:rsidRPr="00EB48AC">
        <w:t xml:space="preserve">. </w:t>
      </w:r>
    </w:p>
    <w:p w14:paraId="358A20CC" w14:textId="20488D77" w:rsidR="00257F5E" w:rsidRPr="00257F5E" w:rsidRDefault="00945C85" w:rsidP="00257F5E">
      <w:bookmarkStart w:id="174" w:name="_Toc509513515"/>
      <w:bookmarkStart w:id="175" w:name="_Toc510678533"/>
      <w:bookmarkStart w:id="176" w:name="_Toc510880037"/>
      <w:bookmarkStart w:id="177" w:name="_Toc512275166"/>
      <w:bookmarkStart w:id="178" w:name="_Toc512360384"/>
      <w:bookmarkStart w:id="179" w:name="_Toc516645077"/>
      <w:r>
        <w:t>As a consequence, h</w:t>
      </w:r>
      <w:r w:rsidR="00836D3F">
        <w:t xml:space="preserve">ad </w:t>
      </w:r>
      <w:r w:rsidR="00536BB3">
        <w:t xml:space="preserve">the FDA insisted that </w:t>
      </w:r>
      <w:r w:rsidR="00836D3F">
        <w:t>Pfizer</w:t>
      </w:r>
      <w:r w:rsidR="00536BB3">
        <w:t>;</w:t>
      </w:r>
      <w:r w:rsidR="00836D3F">
        <w:t xml:space="preserve"> prioritize the elderly with multiple most-prevalent comorbidities associated with severe COVID-19 outcomes</w:t>
      </w:r>
      <w:r w:rsidR="00536BB3">
        <w:t xml:space="preserve"> and</w:t>
      </w:r>
      <w:r w:rsidR="00836D3F">
        <w:t xml:space="preserve"> use biomarkers in </w:t>
      </w:r>
      <w:r w:rsidR="00536BB3">
        <w:t>its Phase 3 Comirnaty</w:t>
      </w:r>
      <w:r w:rsidR="00836D3F">
        <w:t xml:space="preserve"> study and not </w:t>
      </w:r>
      <w:r w:rsidR="00536BB3">
        <w:t xml:space="preserve">permitted Pfizer to </w:t>
      </w:r>
      <w:r w:rsidR="00836D3F">
        <w:t xml:space="preserve">unblind the study 28 months early, then the </w:t>
      </w:r>
      <w:r w:rsidR="00836D3F" w:rsidRPr="00F36BD3">
        <w:rPr>
          <w:b/>
          <w:bCs w:val="0"/>
        </w:rPr>
        <w:t>ability to deny</w:t>
      </w:r>
      <w:r w:rsidR="00836D3F">
        <w:t xml:space="preserve"> vaccine-induced harm or record vaccine-associated deaths as </w:t>
      </w:r>
      <w:r w:rsidR="00836D3F" w:rsidRPr="004476CF">
        <w:rPr>
          <w:b/>
          <w:bCs w:val="0"/>
        </w:rPr>
        <w:t>not attributable</w:t>
      </w:r>
      <w:r w:rsidR="00836D3F">
        <w:t xml:space="preserve"> to vaccination </w:t>
      </w:r>
      <w:r w:rsidR="000764F6">
        <w:t>post-EUA c</w:t>
      </w:r>
      <w:r w:rsidR="00836D3F">
        <w:t xml:space="preserve">ould have been </w:t>
      </w:r>
      <w:r w:rsidRPr="00945C85">
        <w:t>prevented</w:t>
      </w:r>
      <w:r w:rsidR="00836D3F">
        <w:t xml:space="preserve"> (i.e., by </w:t>
      </w:r>
      <w:r w:rsidR="00836D3F" w:rsidRPr="00945C85">
        <w:rPr>
          <w:b/>
          <w:bCs w:val="0"/>
        </w:rPr>
        <w:t>healthcare agencies, coroners, and pharmacovigilance units</w:t>
      </w:r>
      <w:r w:rsidR="00836D3F">
        <w:t xml:space="preserve">). </w:t>
      </w:r>
      <w:r>
        <w:t>However, it was t</w:t>
      </w:r>
      <w:r w:rsidR="00836D3F">
        <w:t>he FDA and other regulator</w:t>
      </w:r>
      <w:r>
        <w:t xml:space="preserve">s who permitted these obvious </w:t>
      </w:r>
      <w:r w:rsidR="000764F6">
        <w:t>Phase 3 safety</w:t>
      </w:r>
      <w:r w:rsidR="00221B7D">
        <w:t xml:space="preserve"> monitoring </w:t>
      </w:r>
      <w:r w:rsidR="000764F6">
        <w:t>shortcomings</w:t>
      </w:r>
      <w:r w:rsidR="00836D3F">
        <w:t>.</w:t>
      </w:r>
      <w:bookmarkStart w:id="180" w:name="_Toc512275173"/>
      <w:bookmarkStart w:id="181" w:name="_Toc512360391"/>
      <w:bookmarkStart w:id="182" w:name="_Toc516645085"/>
      <w:bookmarkEnd w:id="174"/>
      <w:bookmarkEnd w:id="175"/>
      <w:bookmarkEnd w:id="176"/>
      <w:bookmarkEnd w:id="177"/>
      <w:bookmarkEnd w:id="178"/>
      <w:bookmarkEnd w:id="179"/>
      <w:r w:rsidR="00257F5E">
        <w:br w:type="page"/>
      </w:r>
    </w:p>
    <w:p w14:paraId="16E5BF9A" w14:textId="6CD80023" w:rsidR="00E01616" w:rsidRDefault="00E01616" w:rsidP="00E01616">
      <w:pPr>
        <w:pStyle w:val="Heading1"/>
      </w:pPr>
      <w:bookmarkStart w:id="183" w:name="_Toc121035144"/>
      <w:r>
        <w:lastRenderedPageBreak/>
        <w:t>SARS-C</w:t>
      </w:r>
      <w:r w:rsidR="00582DB1">
        <w:t>o</w:t>
      </w:r>
      <w:r>
        <w:t xml:space="preserve">V-2 </w:t>
      </w:r>
      <w:r w:rsidR="000464BD">
        <w:t xml:space="preserve">FEATURES INFECTIVITY-ENHANCING </w:t>
      </w:r>
      <w:r>
        <w:t>GAIN-OF-FUNCTION TECHNOLOGY</w:t>
      </w:r>
      <w:r w:rsidR="00155D51">
        <w:t xml:space="preserve"> UNPRECEDENTED IN NATURE</w:t>
      </w:r>
      <w:bookmarkEnd w:id="183"/>
    </w:p>
    <w:p w14:paraId="58CB134F" w14:textId="3D280571" w:rsidR="00660465" w:rsidRPr="00435FAA" w:rsidRDefault="00660465" w:rsidP="00660465">
      <w:pPr>
        <w:rPr>
          <w:szCs w:val="22"/>
        </w:rPr>
      </w:pPr>
      <w:bookmarkStart w:id="184" w:name="_Toc510678531"/>
      <w:bookmarkStart w:id="185" w:name="_Toc510880035"/>
      <w:bookmarkStart w:id="186" w:name="_Toc512275164"/>
      <w:bookmarkStart w:id="187" w:name="_Toc512360382"/>
      <w:bookmarkStart w:id="188" w:name="_Toc516645068"/>
      <w:r w:rsidRPr="00435FAA">
        <w:rPr>
          <w:szCs w:val="22"/>
        </w:rPr>
        <w:t xml:space="preserve">There are two main reasons for detailing a putative coronavirus gain-of-function origin to </w:t>
      </w:r>
      <w:r w:rsidR="00700DF0" w:rsidRPr="00435FAA">
        <w:rPr>
          <w:szCs w:val="22"/>
        </w:rPr>
        <w:t>SARS-CoV-2</w:t>
      </w:r>
      <w:r w:rsidRPr="00435FAA">
        <w:rPr>
          <w:szCs w:val="22"/>
        </w:rPr>
        <w:t xml:space="preserve"> and highlighting other potential origins beyond the Wuhan Institute of Virology (Wuhan-IV). </w:t>
      </w:r>
      <w:r w:rsidR="00742549" w:rsidRPr="00435FAA">
        <w:rPr>
          <w:szCs w:val="22"/>
        </w:rPr>
        <w:t xml:space="preserve">Firstly, the </w:t>
      </w:r>
      <w:r w:rsidR="00161D8B" w:rsidRPr="00435FAA">
        <w:rPr>
          <w:szCs w:val="22"/>
        </w:rPr>
        <w:t xml:space="preserve">high infectivity in the unvaccinated before EUA of any vaccine (12/2021) and the </w:t>
      </w:r>
      <w:r w:rsidR="00742549" w:rsidRPr="00C4232D">
        <w:rPr>
          <w:b/>
          <w:bCs w:val="0"/>
          <w:szCs w:val="22"/>
        </w:rPr>
        <w:t>enhanced rates of infection</w:t>
      </w:r>
      <w:r w:rsidR="00742549" w:rsidRPr="00435FAA">
        <w:rPr>
          <w:szCs w:val="22"/>
        </w:rPr>
        <w:t xml:space="preserve"> in the vaccinated </w:t>
      </w:r>
      <w:r w:rsidR="00161D8B" w:rsidRPr="00435FAA">
        <w:rPr>
          <w:szCs w:val="22"/>
        </w:rPr>
        <w:t xml:space="preserve">putatively </w:t>
      </w:r>
      <w:r w:rsidR="00A63636" w:rsidRPr="00C4232D">
        <w:rPr>
          <w:szCs w:val="22"/>
        </w:rPr>
        <w:t>via antibody-dependent enhancement of virus</w:t>
      </w:r>
      <w:r w:rsidR="00A63636" w:rsidRPr="00435FAA">
        <w:rPr>
          <w:szCs w:val="22"/>
        </w:rPr>
        <w:t xml:space="preserve"> infection</w:t>
      </w:r>
      <w:r w:rsidR="00161D8B" w:rsidRPr="00435FAA">
        <w:rPr>
          <w:szCs w:val="22"/>
        </w:rPr>
        <w:t xml:space="preserve"> </w:t>
      </w:r>
      <w:r w:rsidR="00742549" w:rsidRPr="00435FAA">
        <w:rPr>
          <w:szCs w:val="22"/>
        </w:rPr>
        <w:t xml:space="preserve">could have been facilitated by a </w:t>
      </w:r>
      <w:r w:rsidR="00742549" w:rsidRPr="00C4232D">
        <w:rPr>
          <w:b/>
          <w:bCs w:val="0"/>
          <w:szCs w:val="22"/>
        </w:rPr>
        <w:t>genetically modified</w:t>
      </w:r>
      <w:r w:rsidR="00742549" w:rsidRPr="00435FAA">
        <w:rPr>
          <w:szCs w:val="22"/>
        </w:rPr>
        <w:t xml:space="preserve"> SARS-CoV-2 spike protein</w:t>
      </w:r>
      <w:r w:rsidR="00931237">
        <w:rPr>
          <w:szCs w:val="22"/>
        </w:rPr>
        <w:t xml:space="preserve"> (i.e., </w:t>
      </w:r>
      <w:r w:rsidR="00A63636" w:rsidRPr="00435FAA">
        <w:rPr>
          <w:b/>
          <w:bCs w:val="0"/>
          <w:szCs w:val="22"/>
        </w:rPr>
        <w:t>receptor binding domain</w:t>
      </w:r>
      <w:r w:rsidR="00931237">
        <w:rPr>
          <w:b/>
          <w:bCs w:val="0"/>
          <w:szCs w:val="22"/>
        </w:rPr>
        <w:t xml:space="preserve">, and </w:t>
      </w:r>
      <w:r w:rsidR="00742549" w:rsidRPr="00435FAA">
        <w:rPr>
          <w:b/>
          <w:bCs w:val="0"/>
          <w:szCs w:val="22"/>
        </w:rPr>
        <w:t>N-terminal domain</w:t>
      </w:r>
      <w:r w:rsidR="008D5DC8" w:rsidRPr="00435FAA">
        <w:rPr>
          <w:szCs w:val="22"/>
        </w:rPr>
        <w:t>)</w:t>
      </w:r>
      <w:r w:rsidR="00B523F1" w:rsidRPr="00435FAA">
        <w:rPr>
          <w:szCs w:val="22"/>
        </w:rPr>
        <w:t xml:space="preserve">. </w:t>
      </w:r>
      <w:r w:rsidRPr="00435FAA">
        <w:rPr>
          <w:szCs w:val="22"/>
        </w:rPr>
        <w:t xml:space="preserve">Secondly, the world is </w:t>
      </w:r>
      <w:r w:rsidRPr="00435FAA">
        <w:rPr>
          <w:b/>
          <w:bCs w:val="0"/>
          <w:szCs w:val="22"/>
        </w:rPr>
        <w:t>left vulnerable</w:t>
      </w:r>
      <w:r w:rsidRPr="00435FAA">
        <w:rPr>
          <w:szCs w:val="22"/>
        </w:rPr>
        <w:t xml:space="preserve"> to future pandemics </w:t>
      </w:r>
      <w:r w:rsidR="004803D9" w:rsidRPr="00435FAA">
        <w:rPr>
          <w:szCs w:val="22"/>
        </w:rPr>
        <w:t>if</w:t>
      </w:r>
      <w:r w:rsidRPr="00435FAA">
        <w:rPr>
          <w:szCs w:val="22"/>
        </w:rPr>
        <w:t xml:space="preserve"> there was no accidental release of </w:t>
      </w:r>
      <w:r w:rsidR="00567C76" w:rsidRPr="00435FAA">
        <w:rPr>
          <w:szCs w:val="22"/>
        </w:rPr>
        <w:t xml:space="preserve">a </w:t>
      </w:r>
      <w:r w:rsidRPr="00435FAA">
        <w:rPr>
          <w:szCs w:val="22"/>
        </w:rPr>
        <w:t xml:space="preserve">SARS-CoV-2 </w:t>
      </w:r>
      <w:r w:rsidR="00567C76" w:rsidRPr="00435FAA">
        <w:rPr>
          <w:szCs w:val="22"/>
        </w:rPr>
        <w:t xml:space="preserve">precursor </w:t>
      </w:r>
      <w:r w:rsidRPr="00435FAA">
        <w:rPr>
          <w:szCs w:val="22"/>
        </w:rPr>
        <w:t xml:space="preserve">from the Wuhan-IV. </w:t>
      </w:r>
    </w:p>
    <w:p w14:paraId="5E64D8D7" w14:textId="4DC68A17" w:rsidR="00660465" w:rsidRDefault="00E01616" w:rsidP="00E01616">
      <w:pPr>
        <w:rPr>
          <w:szCs w:val="22"/>
        </w:rPr>
      </w:pPr>
      <w:r w:rsidRPr="004803D9">
        <w:rPr>
          <w:szCs w:val="22"/>
        </w:rPr>
        <w:t xml:space="preserve">This section details the </w:t>
      </w:r>
      <w:r w:rsidR="00435FAA">
        <w:rPr>
          <w:szCs w:val="22"/>
        </w:rPr>
        <w:t xml:space="preserve">lack of hard evidence for a zoonosis, the </w:t>
      </w:r>
      <w:r w:rsidRPr="004803D9">
        <w:rPr>
          <w:szCs w:val="22"/>
        </w:rPr>
        <w:t>unprecedented gain-of-function</w:t>
      </w:r>
      <w:r w:rsidR="004803D9" w:rsidRPr="004803D9">
        <w:rPr>
          <w:szCs w:val="22"/>
        </w:rPr>
        <w:t xml:space="preserve"> </w:t>
      </w:r>
      <w:r w:rsidRPr="004803D9">
        <w:rPr>
          <w:szCs w:val="22"/>
        </w:rPr>
        <w:t>features</w:t>
      </w:r>
      <w:r w:rsidR="00862280" w:rsidRPr="004803D9">
        <w:rPr>
          <w:szCs w:val="22"/>
        </w:rPr>
        <w:t xml:space="preserve"> without evolutionary precedent</w:t>
      </w:r>
      <w:r w:rsidR="00435FAA" w:rsidRPr="00435FAA">
        <w:rPr>
          <w:szCs w:val="22"/>
        </w:rPr>
        <w:t xml:space="preserve"> </w:t>
      </w:r>
      <w:r w:rsidR="00435FAA">
        <w:rPr>
          <w:szCs w:val="22"/>
        </w:rPr>
        <w:t xml:space="preserve">in </w:t>
      </w:r>
      <w:r w:rsidR="00435FAA" w:rsidRPr="004803D9">
        <w:rPr>
          <w:szCs w:val="22"/>
        </w:rPr>
        <w:t>SARS-CoV-2</w:t>
      </w:r>
      <w:r w:rsidRPr="004803D9">
        <w:rPr>
          <w:szCs w:val="22"/>
        </w:rPr>
        <w:t xml:space="preserve">, </w:t>
      </w:r>
      <w:r w:rsidR="00567C76">
        <w:rPr>
          <w:szCs w:val="22"/>
        </w:rPr>
        <w:t xml:space="preserve">the </w:t>
      </w:r>
      <w:r w:rsidR="00567C76" w:rsidRPr="004803D9">
        <w:rPr>
          <w:szCs w:val="22"/>
        </w:rPr>
        <w:t>SARS-CoV-2</w:t>
      </w:r>
      <w:r w:rsidRPr="004803D9">
        <w:rPr>
          <w:szCs w:val="22"/>
        </w:rPr>
        <w:t xml:space="preserve"> origin cover-ups, and the</w:t>
      </w:r>
      <w:r>
        <w:rPr>
          <w:szCs w:val="22"/>
        </w:rPr>
        <w:t xml:space="preserve"> main gain-of-function research networks and funders involved</w:t>
      </w:r>
      <w:r w:rsidR="00435FAA">
        <w:rPr>
          <w:szCs w:val="22"/>
        </w:rPr>
        <w:t xml:space="preserve">. This gives </w:t>
      </w:r>
      <w:r w:rsidR="00263A98">
        <w:rPr>
          <w:szCs w:val="22"/>
        </w:rPr>
        <w:t>insight as to other potential origins for SARS-CoV-2</w:t>
      </w:r>
      <w:r w:rsidR="008738B1">
        <w:rPr>
          <w:szCs w:val="22"/>
        </w:rPr>
        <w:t xml:space="preserve"> beyond the Wuhan-IV</w:t>
      </w:r>
      <w:r>
        <w:rPr>
          <w:szCs w:val="22"/>
        </w:rPr>
        <w:t xml:space="preserve">. </w:t>
      </w:r>
      <w:r w:rsidR="00435FAA">
        <w:rPr>
          <w:szCs w:val="22"/>
        </w:rPr>
        <w:t>O</w:t>
      </w:r>
      <w:r w:rsidR="00A914AF">
        <w:rPr>
          <w:szCs w:val="22"/>
        </w:rPr>
        <w:t>t</w:t>
      </w:r>
      <w:r>
        <w:rPr>
          <w:szCs w:val="22"/>
        </w:rPr>
        <w:t xml:space="preserve">her </w:t>
      </w:r>
      <w:r w:rsidR="00263A98">
        <w:rPr>
          <w:szCs w:val="22"/>
        </w:rPr>
        <w:t xml:space="preserve">origin </w:t>
      </w:r>
      <w:r>
        <w:rPr>
          <w:szCs w:val="22"/>
        </w:rPr>
        <w:t>possibilities exist beyond those reviewed</w:t>
      </w:r>
      <w:r w:rsidR="007012A2">
        <w:rPr>
          <w:szCs w:val="22"/>
        </w:rPr>
        <w:t xml:space="preserve">, meaning </w:t>
      </w:r>
      <w:r w:rsidR="003A3742">
        <w:rPr>
          <w:szCs w:val="22"/>
        </w:rPr>
        <w:t xml:space="preserve">that </w:t>
      </w:r>
      <w:r w:rsidR="007012A2">
        <w:rPr>
          <w:szCs w:val="22"/>
        </w:rPr>
        <w:t>what follows is not definitive</w:t>
      </w:r>
      <w:r w:rsidR="00E35E0B">
        <w:rPr>
          <w:szCs w:val="22"/>
        </w:rPr>
        <w:t xml:space="preserve"> or accusatory</w:t>
      </w:r>
      <w:r w:rsidR="00435FAA">
        <w:rPr>
          <w:szCs w:val="22"/>
        </w:rPr>
        <w:t xml:space="preserve"> and is provided on a</w:t>
      </w:r>
      <w:r w:rsidR="00A914AF">
        <w:rPr>
          <w:szCs w:val="22"/>
        </w:rPr>
        <w:t>n</w:t>
      </w:r>
      <w:r w:rsidR="00435FAA">
        <w:rPr>
          <w:szCs w:val="22"/>
        </w:rPr>
        <w:t xml:space="preserve"> </w:t>
      </w:r>
      <w:r w:rsidR="003E5C7D">
        <w:rPr>
          <w:szCs w:val="22"/>
        </w:rPr>
        <w:t>information-sharing</w:t>
      </w:r>
      <w:r w:rsidR="00A914AF">
        <w:rPr>
          <w:szCs w:val="22"/>
        </w:rPr>
        <w:t xml:space="preserve"> </w:t>
      </w:r>
      <w:r w:rsidR="00435FAA">
        <w:rPr>
          <w:szCs w:val="22"/>
        </w:rPr>
        <w:t xml:space="preserve">basis. In my view, this is uncommon knowledge </w:t>
      </w:r>
      <w:r w:rsidR="00EB4ED5">
        <w:rPr>
          <w:szCs w:val="22"/>
        </w:rPr>
        <w:t>that the mainstream media and government narrative have bypassed</w:t>
      </w:r>
      <w:r w:rsidR="00435FAA">
        <w:rPr>
          <w:szCs w:val="22"/>
        </w:rPr>
        <w:t xml:space="preserve">. </w:t>
      </w:r>
      <w:r w:rsidR="00B41FB6">
        <w:rPr>
          <w:szCs w:val="22"/>
        </w:rPr>
        <w:t>Thus</w:t>
      </w:r>
      <w:r w:rsidR="008738B1">
        <w:rPr>
          <w:szCs w:val="22"/>
        </w:rPr>
        <w:t xml:space="preserve">, </w:t>
      </w:r>
      <w:r>
        <w:rPr>
          <w:szCs w:val="22"/>
        </w:rPr>
        <w:t xml:space="preserve">if a </w:t>
      </w:r>
      <w:r w:rsidR="003A3742">
        <w:rPr>
          <w:szCs w:val="22"/>
        </w:rPr>
        <w:t>Pentagon</w:t>
      </w:r>
      <w:r w:rsidR="00A914AF">
        <w:rPr>
          <w:szCs w:val="22"/>
        </w:rPr>
        <w:t>-</w:t>
      </w:r>
      <w:r w:rsidR="003A3742">
        <w:rPr>
          <w:szCs w:val="22"/>
        </w:rPr>
        <w:t xml:space="preserve"> and </w:t>
      </w:r>
      <w:r w:rsidR="00A914AF">
        <w:rPr>
          <w:szCs w:val="22"/>
        </w:rPr>
        <w:t>NIH</w:t>
      </w:r>
      <w:r w:rsidR="00CF3AEF">
        <w:rPr>
          <w:szCs w:val="22"/>
        </w:rPr>
        <w:t>-funded</w:t>
      </w:r>
      <w:r w:rsidR="007012A2">
        <w:rPr>
          <w:szCs w:val="22"/>
        </w:rPr>
        <w:t xml:space="preserve"> </w:t>
      </w:r>
      <w:r w:rsidR="00A27612">
        <w:rPr>
          <w:szCs w:val="22"/>
        </w:rPr>
        <w:t xml:space="preserve">coronavirus </w:t>
      </w:r>
      <w:r w:rsidR="00263A98">
        <w:rPr>
          <w:szCs w:val="22"/>
        </w:rPr>
        <w:t xml:space="preserve">gain-of-function </w:t>
      </w:r>
      <w:r w:rsidR="007012A2">
        <w:rPr>
          <w:szCs w:val="22"/>
        </w:rPr>
        <w:t>and zoonosis expert</w:t>
      </w:r>
      <w:r>
        <w:rPr>
          <w:szCs w:val="22"/>
        </w:rPr>
        <w:t xml:space="preserve"> </w:t>
      </w:r>
      <w:r w:rsidR="00EB4ED5">
        <w:rPr>
          <w:szCs w:val="22"/>
        </w:rPr>
        <w:t>was</w:t>
      </w:r>
      <w:r>
        <w:rPr>
          <w:szCs w:val="22"/>
        </w:rPr>
        <w:t xml:space="preserve"> </w:t>
      </w:r>
      <w:r w:rsidR="00D6667F" w:rsidRPr="008738B1">
        <w:rPr>
          <w:b/>
          <w:bCs w:val="0"/>
          <w:szCs w:val="22"/>
        </w:rPr>
        <w:t>exposed</w:t>
      </w:r>
      <w:r w:rsidRPr="008738B1">
        <w:rPr>
          <w:b/>
          <w:bCs w:val="0"/>
          <w:szCs w:val="22"/>
        </w:rPr>
        <w:t xml:space="preserve"> </w:t>
      </w:r>
      <w:r w:rsidR="00906E8C">
        <w:rPr>
          <w:b/>
          <w:bCs w:val="0"/>
          <w:szCs w:val="22"/>
        </w:rPr>
        <w:t xml:space="preserve">for </w:t>
      </w:r>
      <w:r w:rsidRPr="008738B1">
        <w:rPr>
          <w:b/>
          <w:bCs w:val="0"/>
          <w:szCs w:val="22"/>
        </w:rPr>
        <w:t>trying to cover up</w:t>
      </w:r>
      <w:r>
        <w:rPr>
          <w:szCs w:val="22"/>
        </w:rPr>
        <w:t xml:space="preserve"> </w:t>
      </w:r>
      <w:r w:rsidR="005F3DAF">
        <w:rPr>
          <w:szCs w:val="22"/>
        </w:rPr>
        <w:t>SARS-CoV-2’s gain-of-function</w:t>
      </w:r>
      <w:r>
        <w:rPr>
          <w:szCs w:val="22"/>
        </w:rPr>
        <w:t xml:space="preserve"> origin, then </w:t>
      </w:r>
      <w:r w:rsidR="00B41FB6">
        <w:rPr>
          <w:szCs w:val="22"/>
        </w:rPr>
        <w:t xml:space="preserve">he and his connections one degree removed </w:t>
      </w:r>
      <w:r w:rsidR="00931237">
        <w:rPr>
          <w:szCs w:val="22"/>
        </w:rPr>
        <w:t>were justifiably</w:t>
      </w:r>
      <w:r w:rsidR="00B41FB6">
        <w:rPr>
          <w:szCs w:val="22"/>
        </w:rPr>
        <w:t xml:space="preserve"> scrutinized</w:t>
      </w:r>
      <w:r w:rsidR="00931237">
        <w:rPr>
          <w:szCs w:val="22"/>
        </w:rPr>
        <w:t xml:space="preserve"> below (i.e., </w:t>
      </w:r>
      <w:r w:rsidR="00931237" w:rsidRPr="00931237">
        <w:rPr>
          <w:i/>
          <w:iCs/>
          <w:szCs w:val="22"/>
        </w:rPr>
        <w:t xml:space="preserve">Wuhan-IV, </w:t>
      </w:r>
      <w:r w:rsidR="003E5C7D">
        <w:rPr>
          <w:i/>
          <w:iCs/>
          <w:szCs w:val="22"/>
        </w:rPr>
        <w:t xml:space="preserve">the </w:t>
      </w:r>
      <w:r w:rsidR="00931237" w:rsidRPr="00931237">
        <w:rPr>
          <w:i/>
          <w:iCs/>
          <w:szCs w:val="22"/>
        </w:rPr>
        <w:t>University of North Carolina at Chapel Hill, Metabiota, and the WHO</w:t>
      </w:r>
      <w:r w:rsidR="00931237">
        <w:rPr>
          <w:szCs w:val="22"/>
        </w:rPr>
        <w:t>)</w:t>
      </w:r>
      <w:r w:rsidR="00F45406">
        <w:rPr>
          <w:szCs w:val="22"/>
        </w:rPr>
        <w:t xml:space="preserve"> to see what could be learned</w:t>
      </w:r>
      <w:r w:rsidR="008738B1">
        <w:rPr>
          <w:szCs w:val="22"/>
        </w:rPr>
        <w:t xml:space="preserve">. </w:t>
      </w:r>
      <w:r w:rsidR="00F45406">
        <w:rPr>
          <w:szCs w:val="22"/>
        </w:rPr>
        <w:t>I concluded that t</w:t>
      </w:r>
      <w:r>
        <w:rPr>
          <w:szCs w:val="22"/>
        </w:rPr>
        <w:t xml:space="preserve">he origin of COVID-19 was not investigated </w:t>
      </w:r>
      <w:r w:rsidRPr="005F3DAF">
        <w:rPr>
          <w:szCs w:val="22"/>
        </w:rPr>
        <w:t xml:space="preserve">as though it was a </w:t>
      </w:r>
      <w:r>
        <w:rPr>
          <w:b/>
          <w:bCs w:val="0"/>
          <w:szCs w:val="22"/>
        </w:rPr>
        <w:t xml:space="preserve">potential </w:t>
      </w:r>
      <w:r w:rsidR="005F3DAF">
        <w:rPr>
          <w:b/>
          <w:bCs w:val="0"/>
          <w:szCs w:val="22"/>
        </w:rPr>
        <w:t xml:space="preserve">international </w:t>
      </w:r>
      <w:r w:rsidRPr="00DC280D">
        <w:rPr>
          <w:b/>
          <w:bCs w:val="0"/>
          <w:szCs w:val="22"/>
        </w:rPr>
        <w:t>crime</w:t>
      </w:r>
      <w:r w:rsidR="003D70F2">
        <w:rPr>
          <w:b/>
          <w:bCs w:val="0"/>
          <w:szCs w:val="22"/>
        </w:rPr>
        <w:t xml:space="preserve"> </w:t>
      </w:r>
      <w:r w:rsidR="004803D9">
        <w:rPr>
          <w:b/>
          <w:bCs w:val="0"/>
          <w:szCs w:val="22"/>
        </w:rPr>
        <w:t>scene</w:t>
      </w:r>
      <w:r w:rsidR="00A71A8D">
        <w:rPr>
          <w:szCs w:val="22"/>
        </w:rPr>
        <w:t>.</w:t>
      </w:r>
    </w:p>
    <w:p w14:paraId="0C6AEA4A" w14:textId="16F73A78" w:rsidR="00814ACA" w:rsidRPr="00B40D85" w:rsidRDefault="00814ACA" w:rsidP="00814ACA">
      <w:pPr>
        <w:snapToGrid w:val="0"/>
        <w:spacing w:after="240"/>
        <w:rPr>
          <w:rFonts w:cs="Times New Roman"/>
          <w:szCs w:val="22"/>
        </w:rPr>
      </w:pPr>
      <w:r w:rsidRPr="00F45DD7">
        <w:rPr>
          <w:rFonts w:cs="Times New Roman"/>
          <w:szCs w:val="22"/>
        </w:rPr>
        <w:t>Two</w:t>
      </w:r>
      <w:r w:rsidR="00157D75">
        <w:rPr>
          <w:rFonts w:cs="Times New Roman"/>
          <w:szCs w:val="22"/>
        </w:rPr>
        <w:t xml:space="preserve"> </w:t>
      </w:r>
      <w:r w:rsidRPr="00F45DD7">
        <w:rPr>
          <w:rFonts w:cs="Times New Roman"/>
          <w:szCs w:val="22"/>
        </w:rPr>
        <w:t>US House Foreign Affairs Committee Report Minority Staff investigation reports</w:t>
      </w:r>
      <w:r w:rsidR="008738B1">
        <w:rPr>
          <w:rFonts w:cs="Times New Roman"/>
          <w:szCs w:val="22"/>
        </w:rPr>
        <w:t xml:space="preserve"> (HFACR)</w:t>
      </w:r>
      <w:r>
        <w:rPr>
          <w:rFonts w:cs="Times New Roman"/>
          <w:szCs w:val="22"/>
        </w:rPr>
        <w:t>,</w:t>
      </w:r>
      <w:r w:rsidRPr="00F45DD7">
        <w:rPr>
          <w:rFonts w:cs="Times New Roman"/>
          <w:szCs w:val="22"/>
        </w:rPr>
        <w:t xml:space="preserve"> </w:t>
      </w:r>
      <w:r>
        <w:rPr>
          <w:szCs w:val="22"/>
        </w:rPr>
        <w:t>“</w:t>
      </w:r>
      <w:r w:rsidRPr="00AA5611">
        <w:rPr>
          <w:i/>
          <w:iCs/>
          <w:szCs w:val="22"/>
        </w:rPr>
        <w:t xml:space="preserve">The origins of the </w:t>
      </w:r>
      <w:r>
        <w:rPr>
          <w:i/>
          <w:iCs/>
          <w:szCs w:val="22"/>
        </w:rPr>
        <w:t>COVID-19</w:t>
      </w:r>
      <w:r w:rsidRPr="00AA5611">
        <w:rPr>
          <w:i/>
          <w:iCs/>
          <w:szCs w:val="22"/>
        </w:rPr>
        <w:t xml:space="preserve"> global pandemic, including alleged roles of the Chinese Communist Party and the World Health Organization</w:t>
      </w:r>
      <w:r>
        <w:rPr>
          <w:szCs w:val="22"/>
        </w:rPr>
        <w:t>,”</w:t>
      </w:r>
      <w:r w:rsidRPr="006E3F8C">
        <w:rPr>
          <w:rStyle w:val="EndnoteReference"/>
          <w:szCs w:val="22"/>
        </w:rPr>
        <w:endnoteReference w:id="366"/>
      </w:r>
      <w:r>
        <w:rPr>
          <w:szCs w:val="22"/>
        </w:rPr>
        <w:t xml:space="preserve"> and “</w:t>
      </w:r>
      <w:r w:rsidRPr="00814ACA">
        <w:rPr>
          <w:szCs w:val="22"/>
        </w:rPr>
        <w:t xml:space="preserve">The origins of </w:t>
      </w:r>
      <w:r w:rsidR="00E7316E">
        <w:rPr>
          <w:i/>
          <w:iCs/>
          <w:szCs w:val="22"/>
        </w:rPr>
        <w:t>COVID-19</w:t>
      </w:r>
      <w:r w:rsidRPr="00814ACA">
        <w:rPr>
          <w:szCs w:val="22"/>
        </w:rPr>
        <w:t>: an investigation of the Wuhan Institute of Virology</w:t>
      </w:r>
      <w:r w:rsidR="00157D75">
        <w:rPr>
          <w:szCs w:val="22"/>
        </w:rPr>
        <w:t>,</w:t>
      </w:r>
      <w:r w:rsidRPr="00F45DD7">
        <w:rPr>
          <w:rStyle w:val="EndnoteReference"/>
          <w:rFonts w:cs="Times New Roman"/>
          <w:szCs w:val="22"/>
        </w:rPr>
        <w:endnoteReference w:id="367"/>
      </w:r>
      <w:r w:rsidRPr="00F45DD7">
        <w:rPr>
          <w:rStyle w:val="EndnoteReference"/>
          <w:rFonts w:cs="Times New Roman"/>
          <w:szCs w:val="22"/>
        </w:rPr>
        <w:t xml:space="preserve"> </w:t>
      </w:r>
      <w:r w:rsidR="00157D75">
        <w:rPr>
          <w:rFonts w:cs="Times New Roman"/>
          <w:szCs w:val="22"/>
        </w:rPr>
        <w:t>as well as</w:t>
      </w:r>
      <w:r w:rsidRPr="00F45DD7">
        <w:rPr>
          <w:rFonts w:cs="Times New Roman"/>
          <w:szCs w:val="22"/>
        </w:rPr>
        <w:t xml:space="preserve"> </w:t>
      </w:r>
      <w:r w:rsidR="00157D75">
        <w:rPr>
          <w:rFonts w:cs="Times New Roman"/>
          <w:szCs w:val="22"/>
        </w:rPr>
        <w:t xml:space="preserve">COVID-19 </w:t>
      </w:r>
      <w:r w:rsidR="00157D75" w:rsidRPr="00F45DD7">
        <w:rPr>
          <w:rFonts w:cs="Times New Roman"/>
          <w:szCs w:val="22"/>
        </w:rPr>
        <w:t xml:space="preserve">origin </w:t>
      </w:r>
      <w:r w:rsidR="00157D75">
        <w:rPr>
          <w:rFonts w:cs="Times New Roman"/>
          <w:szCs w:val="22"/>
        </w:rPr>
        <w:t>evidentiary publications</w:t>
      </w:r>
      <w:r w:rsidRPr="00F45DD7">
        <w:rPr>
          <w:rFonts w:cs="Times New Roman"/>
          <w:szCs w:val="22"/>
        </w:rPr>
        <w:t xml:space="preserve"> are very </w:t>
      </w:r>
      <w:r w:rsidRPr="00F45DD7">
        <w:rPr>
          <w:rFonts w:cs="Times New Roman"/>
          <w:i/>
          <w:iCs/>
          <w:szCs w:val="22"/>
        </w:rPr>
        <w:t>informative references</w:t>
      </w:r>
      <w:r w:rsidR="00157D75">
        <w:rPr>
          <w:rFonts w:cs="Times New Roman"/>
          <w:szCs w:val="22"/>
        </w:rPr>
        <w:t>.</w:t>
      </w:r>
      <w:r w:rsidRPr="00F45DD7">
        <w:rPr>
          <w:rStyle w:val="EndnoteReference"/>
          <w:rFonts w:cs="Times New Roman"/>
          <w:szCs w:val="22"/>
        </w:rPr>
        <w:endnoteReference w:id="368"/>
      </w:r>
      <w:r w:rsidR="008738B1">
        <w:rPr>
          <w:rFonts w:cs="Times New Roman"/>
          <w:szCs w:val="22"/>
        </w:rPr>
        <w:t xml:space="preserve"> However, in my view, while the HFACR reports provide </w:t>
      </w:r>
      <w:r w:rsidR="00F45406">
        <w:rPr>
          <w:rFonts w:cs="Times New Roman"/>
          <w:szCs w:val="22"/>
        </w:rPr>
        <w:t>many</w:t>
      </w:r>
      <w:r w:rsidR="008738B1">
        <w:rPr>
          <w:rFonts w:cs="Times New Roman"/>
          <w:szCs w:val="22"/>
        </w:rPr>
        <w:t xml:space="preserve"> </w:t>
      </w:r>
      <w:r w:rsidR="0094398B">
        <w:rPr>
          <w:rFonts w:cs="Times New Roman"/>
          <w:szCs w:val="22"/>
        </w:rPr>
        <w:t xml:space="preserve">factual </w:t>
      </w:r>
      <w:r w:rsidR="008738B1">
        <w:rPr>
          <w:rFonts w:cs="Times New Roman"/>
          <w:szCs w:val="22"/>
        </w:rPr>
        <w:t>data</w:t>
      </w:r>
      <w:r w:rsidR="00F45406">
        <w:rPr>
          <w:rFonts w:cs="Times New Roman"/>
          <w:szCs w:val="22"/>
        </w:rPr>
        <w:t xml:space="preserve"> points</w:t>
      </w:r>
      <w:r w:rsidR="00435FAA">
        <w:rPr>
          <w:rFonts w:cs="Times New Roman"/>
          <w:szCs w:val="22"/>
        </w:rPr>
        <w:t xml:space="preserve">, information, and </w:t>
      </w:r>
      <w:r w:rsidR="008738B1">
        <w:rPr>
          <w:rFonts w:cs="Times New Roman"/>
          <w:szCs w:val="22"/>
        </w:rPr>
        <w:t>evidence</w:t>
      </w:r>
      <w:r w:rsidR="00A914AF">
        <w:rPr>
          <w:rFonts w:cs="Times New Roman"/>
          <w:szCs w:val="22"/>
        </w:rPr>
        <w:t>,</w:t>
      </w:r>
      <w:r w:rsidR="008738B1">
        <w:rPr>
          <w:rFonts w:cs="Times New Roman"/>
          <w:szCs w:val="22"/>
        </w:rPr>
        <w:t xml:space="preserve"> the conclusions may </w:t>
      </w:r>
      <w:r w:rsidR="004572A4">
        <w:rPr>
          <w:rFonts w:cs="Times New Roman"/>
          <w:szCs w:val="22"/>
        </w:rPr>
        <w:t xml:space="preserve">have </w:t>
      </w:r>
      <w:r w:rsidR="00A914AF">
        <w:rPr>
          <w:rFonts w:cs="Times New Roman"/>
          <w:szCs w:val="22"/>
        </w:rPr>
        <w:t>be</w:t>
      </w:r>
      <w:r w:rsidR="004572A4">
        <w:rPr>
          <w:rFonts w:cs="Times New Roman"/>
          <w:szCs w:val="22"/>
        </w:rPr>
        <w:t>en</w:t>
      </w:r>
      <w:r w:rsidR="00A914AF">
        <w:rPr>
          <w:rFonts w:cs="Times New Roman"/>
          <w:szCs w:val="22"/>
        </w:rPr>
        <w:t xml:space="preserve"> </w:t>
      </w:r>
      <w:r w:rsidR="0094398B">
        <w:rPr>
          <w:rFonts w:cs="Times New Roman"/>
          <w:szCs w:val="22"/>
        </w:rPr>
        <w:t>politically motivated</w:t>
      </w:r>
      <w:r w:rsidR="004572A4">
        <w:rPr>
          <w:rFonts w:cs="Times New Roman"/>
          <w:szCs w:val="22"/>
        </w:rPr>
        <w:t xml:space="preserve"> and </w:t>
      </w:r>
      <w:r w:rsidR="00F45406">
        <w:rPr>
          <w:rFonts w:cs="Times New Roman"/>
          <w:szCs w:val="22"/>
        </w:rPr>
        <w:t xml:space="preserve">do </w:t>
      </w:r>
      <w:r w:rsidR="004572A4">
        <w:rPr>
          <w:rFonts w:cs="Times New Roman"/>
          <w:szCs w:val="22"/>
        </w:rPr>
        <w:t xml:space="preserve">not </w:t>
      </w:r>
      <w:r w:rsidR="003E5C7D">
        <w:rPr>
          <w:rFonts w:cs="Times New Roman"/>
          <w:szCs w:val="22"/>
        </w:rPr>
        <w:t>reflect</w:t>
      </w:r>
      <w:r w:rsidR="004572A4">
        <w:rPr>
          <w:rFonts w:cs="Times New Roman"/>
          <w:szCs w:val="22"/>
        </w:rPr>
        <w:t xml:space="preserve"> the </w:t>
      </w:r>
      <w:r w:rsidR="004572A4" w:rsidRPr="00EB4ED5">
        <w:rPr>
          <w:rFonts w:cs="Times New Roman"/>
          <w:b/>
          <w:bCs w:val="0"/>
          <w:szCs w:val="22"/>
        </w:rPr>
        <w:t>confounding issues</w:t>
      </w:r>
      <w:r w:rsidR="008738B1">
        <w:rPr>
          <w:rFonts w:cs="Times New Roman"/>
          <w:szCs w:val="22"/>
        </w:rPr>
        <w:t>.</w:t>
      </w:r>
    </w:p>
    <w:p w14:paraId="7A7852F9" w14:textId="5EEDA244" w:rsidR="00E01616" w:rsidRPr="00034D72" w:rsidRDefault="00E01616" w:rsidP="00660BB8">
      <w:pPr>
        <w:pStyle w:val="Heading2"/>
      </w:pPr>
      <w:bookmarkStart w:id="189" w:name="_Toc111368017"/>
      <w:bookmarkStart w:id="190" w:name="_Toc121035145"/>
      <w:r>
        <w:t>There Is Zero</w:t>
      </w:r>
      <w:r w:rsidRPr="00034D72">
        <w:t xml:space="preserve"> </w:t>
      </w:r>
      <w:r w:rsidR="00AF48C1">
        <w:t xml:space="preserve">Hard </w:t>
      </w:r>
      <w:r>
        <w:t xml:space="preserve">Evidence for </w:t>
      </w:r>
      <w:r w:rsidR="00AF48C1">
        <w:t>a</w:t>
      </w:r>
      <w:r w:rsidRPr="00034D72">
        <w:t xml:space="preserve"> </w:t>
      </w:r>
      <w:r>
        <w:t>SARS-CoV-2 Zoonosis (Virus</w:t>
      </w:r>
      <w:r w:rsidR="00891A19">
        <w:t xml:space="preserve"> Progenitor</w:t>
      </w:r>
      <w:r>
        <w:t xml:space="preserve"> or </w:t>
      </w:r>
      <w:r w:rsidR="00891A19">
        <w:t xml:space="preserve">Animal </w:t>
      </w:r>
      <w:r>
        <w:t>Host)</w:t>
      </w:r>
      <w:bookmarkEnd w:id="184"/>
      <w:bookmarkEnd w:id="185"/>
      <w:bookmarkEnd w:id="186"/>
      <w:bookmarkEnd w:id="187"/>
      <w:bookmarkEnd w:id="188"/>
      <w:bookmarkEnd w:id="189"/>
      <w:bookmarkEnd w:id="190"/>
    </w:p>
    <w:p w14:paraId="77387F85" w14:textId="1281046B" w:rsidR="00862280" w:rsidRPr="0099799B" w:rsidRDefault="00E01616" w:rsidP="00E01616">
      <w:r w:rsidRPr="0099799B">
        <w:rPr>
          <w:szCs w:val="22"/>
        </w:rPr>
        <w:t>A significant evolutionary gap exists between SARS-CoV-2</w:t>
      </w:r>
      <w:r>
        <w:rPr>
          <w:szCs w:val="22"/>
        </w:rPr>
        <w:t xml:space="preserve">’s </w:t>
      </w:r>
      <w:r w:rsidRPr="0099799B">
        <w:rPr>
          <w:szCs w:val="22"/>
        </w:rPr>
        <w:t xml:space="preserve">closest known coronavirus 2B-lineage bat origin RaTG13 and BANAL-52 strains (i.e., </w:t>
      </w:r>
      <w:r w:rsidRPr="0099799B">
        <w:t xml:space="preserve">~ </w:t>
      </w:r>
      <w:r w:rsidRPr="0099799B">
        <w:rPr>
          <w:szCs w:val="22"/>
        </w:rPr>
        <w:t>96% average genetic similarity),</w:t>
      </w:r>
      <w:r w:rsidRPr="0099799B">
        <w:rPr>
          <w:rStyle w:val="EndnoteReference"/>
          <w:szCs w:val="22"/>
        </w:rPr>
        <w:endnoteReference w:id="369"/>
      </w:r>
      <w:r w:rsidRPr="0099799B">
        <w:rPr>
          <w:szCs w:val="22"/>
        </w:rPr>
        <w:t xml:space="preserve"> which represents decades of evolutionary divergence.</w:t>
      </w:r>
      <w:r w:rsidRPr="0099799B">
        <w:rPr>
          <w:rStyle w:val="EndnoteReference"/>
          <w:szCs w:val="22"/>
        </w:rPr>
        <w:endnoteReference w:id="370"/>
      </w:r>
      <w:r w:rsidRPr="0099799B">
        <w:rPr>
          <w:szCs w:val="22"/>
          <w:vertAlign w:val="superscript"/>
        </w:rPr>
        <w:t>,</w:t>
      </w:r>
      <w:r w:rsidRPr="0099799B">
        <w:rPr>
          <w:rStyle w:val="EndnoteReference"/>
          <w:szCs w:val="22"/>
        </w:rPr>
        <w:endnoteReference w:id="371"/>
      </w:r>
      <w:r w:rsidRPr="0099799B">
        <w:rPr>
          <w:szCs w:val="22"/>
          <w:vertAlign w:val="superscript"/>
        </w:rPr>
        <w:t xml:space="preserve"> </w:t>
      </w:r>
      <w:r w:rsidRPr="0099799B">
        <w:t xml:space="preserve">A coronavirus isolated from Malayan pangolins shared the same spike </w:t>
      </w:r>
      <w:r w:rsidRPr="0099799B">
        <w:lastRenderedPageBreak/>
        <w:t xml:space="preserve">protein receptor binding domain (RBD) sequence as SARS-CoV-2, indicating pangolins </w:t>
      </w:r>
      <w:r>
        <w:t>could</w:t>
      </w:r>
      <w:r w:rsidRPr="0099799B">
        <w:t xml:space="preserve"> </w:t>
      </w:r>
      <w:r>
        <w:t xml:space="preserve">potentially </w:t>
      </w:r>
      <w:r w:rsidRPr="0099799B">
        <w:t>have acted as an intermediate SARS-CoV-2 host between bats and humans</w:t>
      </w:r>
      <w:r>
        <w:t xml:space="preserve"> until more closely scrutinized</w:t>
      </w:r>
      <w:r w:rsidRPr="0099799B">
        <w:t xml:space="preserve">. </w:t>
      </w:r>
      <w:r>
        <w:t>Even though</w:t>
      </w:r>
      <w:r w:rsidRPr="0099799B">
        <w:t xml:space="preserve"> pangolin coronaviruses have a high spike protein RBD sequence similarity to SARS-CoV-2</w:t>
      </w:r>
      <w:r w:rsidR="00F95681">
        <w:t>,</w:t>
      </w:r>
      <w:r w:rsidRPr="0099799B">
        <w:t xml:space="preserve"> their whole genome is only ~ 90% similar.</w:t>
      </w:r>
      <w:r w:rsidRPr="0099799B">
        <w:rPr>
          <w:rStyle w:val="EndnoteReference"/>
        </w:rPr>
        <w:endnoteReference w:id="372"/>
      </w:r>
      <w:r w:rsidRPr="0099799B">
        <w:t xml:space="preserve"> However, unlike SARS-CoV-2</w:t>
      </w:r>
      <w:r w:rsidR="00F95681">
        <w:t>,</w:t>
      </w:r>
      <w:r w:rsidRPr="0099799B">
        <w:t xml:space="preserve"> all pangolin</w:t>
      </w:r>
      <w:r>
        <w:t xml:space="preserve">-CoVs </w:t>
      </w:r>
      <w:r w:rsidRPr="0099799B">
        <w:t xml:space="preserve">identified to date lack a </w:t>
      </w:r>
      <w:r w:rsidR="004572A4">
        <w:t>uniquely encoded Arginine-doublet containing</w:t>
      </w:r>
      <w:r w:rsidR="00A914AF">
        <w:t xml:space="preserve"> </w:t>
      </w:r>
      <w:r w:rsidRPr="0099799B">
        <w:t>furin cleavage site between S1 and S2 sub-units</w:t>
      </w:r>
      <w:r w:rsidR="00F95681">
        <w:t>. At the same time,</w:t>
      </w:r>
      <w:r w:rsidRPr="0099799B">
        <w:t xml:space="preserve"> no </w:t>
      </w:r>
      <w:r w:rsidR="00A914AF">
        <w:t>progenitor</w:t>
      </w:r>
      <w:r w:rsidRPr="0099799B">
        <w:t xml:space="preserve"> virus has been found in pangolins</w:t>
      </w:r>
      <w:r w:rsidR="00742549">
        <w:t xml:space="preserve">. This </w:t>
      </w:r>
      <w:r w:rsidRPr="0099799B">
        <w:t>suggest</w:t>
      </w:r>
      <w:r w:rsidR="00742549">
        <w:t>s</w:t>
      </w:r>
      <w:r w:rsidRPr="0099799B">
        <w:t xml:space="preserve"> </w:t>
      </w:r>
      <w:r>
        <w:t>pangolins</w:t>
      </w:r>
      <w:r w:rsidRPr="0099799B">
        <w:t xml:space="preserve"> were not the origi</w:t>
      </w:r>
      <w:r>
        <w:t>n of SARS-CoV-2</w:t>
      </w:r>
      <w:r w:rsidRPr="0099799B">
        <w:t>.</w:t>
      </w:r>
      <w:r w:rsidRPr="0099799B">
        <w:rPr>
          <w:rStyle w:val="EndnoteReference"/>
        </w:rPr>
        <w:endnoteReference w:id="373"/>
      </w:r>
    </w:p>
    <w:p w14:paraId="1BAC410C" w14:textId="7A932DA5" w:rsidR="00E01616" w:rsidRPr="006E139D" w:rsidRDefault="00E01616" w:rsidP="00E01616">
      <w:pPr>
        <w:rPr>
          <w:szCs w:val="22"/>
          <w:vertAlign w:val="superscript"/>
        </w:rPr>
      </w:pPr>
      <w:r w:rsidRPr="00D27EC4">
        <w:rPr>
          <w:szCs w:val="22"/>
        </w:rPr>
        <w:t>Despite extensive sampling</w:t>
      </w:r>
      <w:r>
        <w:rPr>
          <w:szCs w:val="22"/>
        </w:rPr>
        <w:t xml:space="preserve"> of animals at the </w:t>
      </w:r>
      <w:r w:rsidRPr="00D27EC4">
        <w:rPr>
          <w:szCs w:val="22"/>
        </w:rPr>
        <w:t>Huanan seafood market</w:t>
      </w:r>
      <w:r>
        <w:rPr>
          <w:szCs w:val="22"/>
        </w:rPr>
        <w:t xml:space="preserve"> and with its </w:t>
      </w:r>
      <w:r w:rsidRPr="00D27EC4">
        <w:rPr>
          <w:szCs w:val="22"/>
        </w:rPr>
        <w:t>market suppliers</w:t>
      </w:r>
      <w:r>
        <w:rPr>
          <w:szCs w:val="22"/>
        </w:rPr>
        <w:t xml:space="preserve"> and the testing of </w:t>
      </w:r>
      <w:r w:rsidRPr="004572A4">
        <w:rPr>
          <w:b/>
          <w:bCs w:val="0"/>
          <w:szCs w:val="22"/>
        </w:rPr>
        <w:t>80,000 wildlife (&gt;200 animal species</w:t>
      </w:r>
      <w:r>
        <w:rPr>
          <w:szCs w:val="22"/>
        </w:rPr>
        <w:t>, including pangolins)</w:t>
      </w:r>
      <w:r w:rsidRPr="00712B50">
        <w:rPr>
          <w:szCs w:val="22"/>
        </w:rPr>
        <w:t>, livestock</w:t>
      </w:r>
      <w:r>
        <w:rPr>
          <w:szCs w:val="22"/>
        </w:rPr>
        <w:t>,</w:t>
      </w:r>
      <w:r w:rsidRPr="00712B50">
        <w:rPr>
          <w:szCs w:val="22"/>
        </w:rPr>
        <w:t xml:space="preserve"> and poultry samples from 31 provinces in China</w:t>
      </w:r>
      <w:r>
        <w:rPr>
          <w:szCs w:val="22"/>
        </w:rPr>
        <w:t>,</w:t>
      </w:r>
      <w:r w:rsidRPr="00712B50">
        <w:rPr>
          <w:szCs w:val="22"/>
        </w:rPr>
        <w:t xml:space="preserve"> </w:t>
      </w:r>
      <w:r w:rsidRPr="00EE6DE0">
        <w:rPr>
          <w:szCs w:val="22"/>
        </w:rPr>
        <w:t>no</w:t>
      </w:r>
      <w:r>
        <w:rPr>
          <w:szCs w:val="22"/>
        </w:rPr>
        <w:t>ne tested positive for the virus and/or</w:t>
      </w:r>
      <w:r w:rsidRPr="00EE6DE0">
        <w:rPr>
          <w:szCs w:val="22"/>
        </w:rPr>
        <w:t xml:space="preserve"> SARS-CoV-2-specific antibodies</w:t>
      </w:r>
      <w:r>
        <w:rPr>
          <w:szCs w:val="22"/>
        </w:rPr>
        <w:t>.</w:t>
      </w:r>
      <w:r>
        <w:rPr>
          <w:rStyle w:val="EndnoteReference"/>
          <w:szCs w:val="22"/>
        </w:rPr>
        <w:endnoteReference w:id="374"/>
      </w:r>
      <w:r>
        <w:rPr>
          <w:szCs w:val="22"/>
        </w:rPr>
        <w:t xml:space="preserve"> I</w:t>
      </w:r>
      <w:r>
        <w:t>n my view, in the absence of a genetically closer</w:t>
      </w:r>
      <w:r w:rsidRPr="00CC14FC">
        <w:t xml:space="preserve"> </w:t>
      </w:r>
      <w:r>
        <w:rPr>
          <w:szCs w:val="22"/>
        </w:rPr>
        <w:t xml:space="preserve">zoonotic </w:t>
      </w:r>
      <w:r w:rsidRPr="00CC14FC">
        <w:rPr>
          <w:szCs w:val="22"/>
        </w:rPr>
        <w:t>SARS-CoV-</w:t>
      </w:r>
      <w:r>
        <w:rPr>
          <w:szCs w:val="22"/>
        </w:rPr>
        <w:t>2</w:t>
      </w:r>
      <w:r w:rsidRPr="00CC14FC">
        <w:rPr>
          <w:szCs w:val="22"/>
        </w:rPr>
        <w:t xml:space="preserve"> </w:t>
      </w:r>
      <w:r>
        <w:rPr>
          <w:szCs w:val="22"/>
        </w:rPr>
        <w:t xml:space="preserve">progenitor </w:t>
      </w:r>
      <w:r>
        <w:t xml:space="preserve">and associated animal host, there is </w:t>
      </w:r>
      <w:r w:rsidRPr="006A6A5A">
        <w:rPr>
          <w:b/>
        </w:rPr>
        <w:t>zero evidence for a zoonosis</w:t>
      </w:r>
      <w:r>
        <w:rPr>
          <w:bCs w:val="0"/>
        </w:rPr>
        <w:t xml:space="preserve"> cause of the COVID-19 pandemic</w:t>
      </w:r>
      <w:r>
        <w:t xml:space="preserve">. </w:t>
      </w:r>
    </w:p>
    <w:p w14:paraId="3A481BF0" w14:textId="5EDF1424" w:rsidR="00E01616" w:rsidRPr="009E26AF" w:rsidRDefault="00E01616" w:rsidP="00E01616">
      <w:r w:rsidRPr="000C215D">
        <w:rPr>
          <w:szCs w:val="22"/>
        </w:rPr>
        <w:t xml:space="preserve">According to the scientist famed for identifying SARS-CoV-2, </w:t>
      </w:r>
      <w:r>
        <w:rPr>
          <w:szCs w:val="22"/>
        </w:rPr>
        <w:t xml:space="preserve">Dr. Zheng-Li Shi, </w:t>
      </w:r>
      <w:r w:rsidRPr="000C215D">
        <w:rPr>
          <w:szCs w:val="22"/>
        </w:rPr>
        <w:t xml:space="preserve">its closest relative was RaTG13, </w:t>
      </w:r>
      <w:r w:rsidRPr="00635877">
        <w:rPr>
          <w:szCs w:val="22"/>
        </w:rPr>
        <w:t>a bat coronavirus</w:t>
      </w:r>
      <w:r>
        <w:rPr>
          <w:szCs w:val="22"/>
        </w:rPr>
        <w:t xml:space="preserve">, which was </w:t>
      </w:r>
      <w:r w:rsidRPr="00635877">
        <w:rPr>
          <w:szCs w:val="22"/>
        </w:rPr>
        <w:t>96</w:t>
      </w:r>
      <w:r>
        <w:rPr>
          <w:szCs w:val="22"/>
        </w:rPr>
        <w:t>.2</w:t>
      </w:r>
      <w:r w:rsidRPr="00635877">
        <w:rPr>
          <w:szCs w:val="22"/>
        </w:rPr>
        <w:t>% identical at the whole</w:t>
      </w:r>
      <w:r>
        <w:rPr>
          <w:szCs w:val="22"/>
        </w:rPr>
        <w:t xml:space="preserve"> </w:t>
      </w:r>
      <w:r w:rsidRPr="00635877">
        <w:rPr>
          <w:szCs w:val="22"/>
        </w:rPr>
        <w:t>genome level</w:t>
      </w:r>
      <w:r>
        <w:rPr>
          <w:szCs w:val="22"/>
        </w:rPr>
        <w:t xml:space="preserve"> with SARS-CoV-2.</w:t>
      </w:r>
      <w:r w:rsidRPr="000C215D">
        <w:rPr>
          <w:szCs w:val="22"/>
        </w:rPr>
        <w:t xml:space="preserve"> The spike protein encoded S gene for SARS-CoV-2</w:t>
      </w:r>
      <w:r w:rsidR="00217413">
        <w:rPr>
          <w:szCs w:val="22"/>
        </w:rPr>
        <w:t>,</w:t>
      </w:r>
      <w:r w:rsidRPr="000C215D">
        <w:rPr>
          <w:szCs w:val="22"/>
        </w:rPr>
        <w:t xml:space="preserve"> and RaTG13 are longer than </w:t>
      </w:r>
      <w:r w:rsidR="00906E8C">
        <w:rPr>
          <w:szCs w:val="22"/>
        </w:rPr>
        <w:t>other bats'</w:t>
      </w:r>
      <w:r w:rsidRPr="000C215D">
        <w:rPr>
          <w:szCs w:val="22"/>
        </w:rPr>
        <w:t xml:space="preserve"> SARSr-CoVs, indicating a potential link. </w:t>
      </w:r>
      <w:r w:rsidRPr="009E26AF">
        <w:t xml:space="preserve">However, RaTG13 does not possess </w:t>
      </w:r>
      <w:r w:rsidR="00E45417">
        <w:t>a</w:t>
      </w:r>
      <w:r w:rsidRPr="009E26AF">
        <w:t xml:space="preserve"> furin cleavage site, a SARS-CoV-2-like receptor binding domain (RBD</w:t>
      </w:r>
      <w:r w:rsidR="0094398B" w:rsidRPr="009E26AF">
        <w:t>)</w:t>
      </w:r>
      <w:r w:rsidR="00217413">
        <w:t>,</w:t>
      </w:r>
      <w:r w:rsidR="0094398B">
        <w:t xml:space="preserve"> and</w:t>
      </w:r>
      <w:r w:rsidRPr="009E26AF">
        <w:t xml:space="preserve"> </w:t>
      </w:r>
      <w:r w:rsidR="0094398B">
        <w:t xml:space="preserve">it </w:t>
      </w:r>
      <w:r w:rsidRPr="009E26AF">
        <w:t>does not bind to human ACE2</w:t>
      </w:r>
      <w:r>
        <w:t xml:space="preserve"> with high affinity</w:t>
      </w:r>
      <w:r w:rsidRPr="009E26AF">
        <w:t>.</w:t>
      </w:r>
      <w:r w:rsidRPr="009E26AF">
        <w:rPr>
          <w:rStyle w:val="EndnoteReference"/>
        </w:rPr>
        <w:endnoteReference w:id="375"/>
      </w:r>
      <w:r w:rsidRPr="009E26AF">
        <w:t xml:space="preserve"> </w:t>
      </w:r>
      <w:r w:rsidR="00606294">
        <w:rPr>
          <w:szCs w:val="22"/>
        </w:rPr>
        <w:t>T</w:t>
      </w:r>
      <w:r w:rsidR="00606294" w:rsidRPr="00566449">
        <w:rPr>
          <w:szCs w:val="22"/>
        </w:rPr>
        <w:t xml:space="preserve">he major differences in the S gene </w:t>
      </w:r>
      <w:r w:rsidR="00606294">
        <w:rPr>
          <w:szCs w:val="22"/>
        </w:rPr>
        <w:t>between SARS-CoV-2 and SARS-CoV-1</w:t>
      </w:r>
      <w:r w:rsidR="00606294" w:rsidRPr="00566449">
        <w:rPr>
          <w:szCs w:val="22"/>
        </w:rPr>
        <w:t xml:space="preserve"> </w:t>
      </w:r>
      <w:r w:rsidR="00606294">
        <w:rPr>
          <w:szCs w:val="22"/>
        </w:rPr>
        <w:t>were</w:t>
      </w:r>
      <w:r w:rsidR="00606294" w:rsidRPr="00566449">
        <w:rPr>
          <w:szCs w:val="22"/>
        </w:rPr>
        <w:t xml:space="preserve"> </w:t>
      </w:r>
      <w:r w:rsidR="00606294" w:rsidRPr="009E26AF">
        <w:rPr>
          <w:szCs w:val="22"/>
        </w:rPr>
        <w:t>three short insertions in the N-terminal domain and changes in four out of five key residues in the receptor-binding domain.</w:t>
      </w:r>
      <w:r w:rsidR="00606294" w:rsidRPr="009E26AF">
        <w:rPr>
          <w:szCs w:val="22"/>
          <w:vertAlign w:val="superscript"/>
        </w:rPr>
        <w:endnoteReference w:id="376"/>
      </w:r>
    </w:p>
    <w:p w14:paraId="7B6490F6" w14:textId="2F1499EC" w:rsidR="00E01616" w:rsidRPr="009E26AF" w:rsidRDefault="00E01616" w:rsidP="00E01616">
      <w:pPr>
        <w:rPr>
          <w:szCs w:val="22"/>
        </w:rPr>
      </w:pPr>
      <w:r w:rsidRPr="009E26AF">
        <w:t xml:space="preserve">Dr. Shi’s </w:t>
      </w:r>
      <w:r>
        <w:rPr>
          <w:szCs w:val="22"/>
        </w:rPr>
        <w:t>time</w:t>
      </w:r>
      <w:r w:rsidRPr="009E26AF">
        <w:rPr>
          <w:szCs w:val="22"/>
        </w:rPr>
        <w:t>-intensive research</w:t>
      </w:r>
      <w:r>
        <w:rPr>
          <w:szCs w:val="22"/>
        </w:rPr>
        <w:t xml:space="preserve"> </w:t>
      </w:r>
      <w:r w:rsidRPr="009E26AF">
        <w:rPr>
          <w:szCs w:val="22"/>
        </w:rPr>
        <w:t xml:space="preserve">findings </w:t>
      </w:r>
      <w:r w:rsidR="00606294">
        <w:rPr>
          <w:szCs w:val="22"/>
        </w:rPr>
        <w:t xml:space="preserve">claiming a bat zoonosis origin </w:t>
      </w:r>
      <w:r w:rsidRPr="009E26AF">
        <w:rPr>
          <w:szCs w:val="22"/>
        </w:rPr>
        <w:t xml:space="preserve">were submitted to </w:t>
      </w:r>
      <w:r w:rsidR="000B3D28">
        <w:rPr>
          <w:szCs w:val="22"/>
        </w:rPr>
        <w:t xml:space="preserve">the </w:t>
      </w:r>
      <w:r w:rsidRPr="009E26AF">
        <w:rPr>
          <w:szCs w:val="22"/>
        </w:rPr>
        <w:t xml:space="preserve">Nature journal the same day China’s National Health Commission confirmed human-to-human </w:t>
      </w:r>
      <w:r>
        <w:rPr>
          <w:szCs w:val="22"/>
        </w:rPr>
        <w:t xml:space="preserve">transmission </w:t>
      </w:r>
      <w:r w:rsidRPr="009E26AF">
        <w:rPr>
          <w:szCs w:val="22"/>
        </w:rPr>
        <w:t xml:space="preserve">(20/01/2020). Dr. Shi was forced to publish an addendum to their bat-zoonosis origin </w:t>
      </w:r>
      <w:r w:rsidRPr="00E45417">
        <w:rPr>
          <w:b/>
          <w:bCs w:val="0"/>
          <w:szCs w:val="22"/>
        </w:rPr>
        <w:t>narrative-leading publication</w:t>
      </w:r>
      <w:r w:rsidRPr="009E26AF">
        <w:rPr>
          <w:szCs w:val="22"/>
        </w:rPr>
        <w:t xml:space="preserve"> revealing that RaTG13 was ID4991,</w:t>
      </w:r>
      <w:r w:rsidRPr="009E26AF">
        <w:rPr>
          <w:szCs w:val="22"/>
          <w:vertAlign w:val="superscript"/>
        </w:rPr>
        <w:endnoteReference w:id="377"/>
      </w:r>
      <w:r w:rsidRPr="009E26AF">
        <w:rPr>
          <w:szCs w:val="22"/>
        </w:rPr>
        <w:t xml:space="preserve">  which Shi et al. had discovered in 2012-2013</w:t>
      </w:r>
      <w:r>
        <w:rPr>
          <w:szCs w:val="22"/>
        </w:rPr>
        <w:t>.</w:t>
      </w:r>
      <w:r w:rsidRPr="009E26AF">
        <w:rPr>
          <w:rStyle w:val="EndnoteReference"/>
          <w:szCs w:val="22"/>
        </w:rPr>
        <w:endnoteReference w:id="378"/>
      </w:r>
      <w:r w:rsidRPr="009E26AF">
        <w:rPr>
          <w:szCs w:val="22"/>
        </w:rPr>
        <w:t xml:space="preserve"> </w:t>
      </w:r>
      <w:r>
        <w:rPr>
          <w:szCs w:val="22"/>
        </w:rPr>
        <w:t xml:space="preserve">In reality, </w:t>
      </w:r>
      <w:r w:rsidRPr="009E26AF">
        <w:rPr>
          <w:szCs w:val="22"/>
        </w:rPr>
        <w:t>the full genome sequence was obtained in 2018</w:t>
      </w:r>
      <w:r>
        <w:rPr>
          <w:szCs w:val="22"/>
        </w:rPr>
        <w:t xml:space="preserve"> and</w:t>
      </w:r>
      <w:r w:rsidRPr="009E26AF">
        <w:rPr>
          <w:szCs w:val="22"/>
        </w:rPr>
        <w:t xml:space="preserve"> not as stated in January 2020. </w:t>
      </w:r>
      <w:r>
        <w:rPr>
          <w:szCs w:val="22"/>
        </w:rPr>
        <w:t xml:space="preserve">With that misstep, was Dr. Shi covering something up, and was this relevant to SARS-CoV-2 origin? </w:t>
      </w:r>
      <w:r w:rsidRPr="009E26AF">
        <w:rPr>
          <w:szCs w:val="22"/>
        </w:rPr>
        <w:t>The following preprint details the contentious issues necessitating Dr. Shi’s addendum and concluded, “</w:t>
      </w:r>
      <w:r w:rsidRPr="009E26AF">
        <w:rPr>
          <w:i/>
          <w:iCs/>
          <w:szCs w:val="22"/>
        </w:rPr>
        <w:t>This paper was rushed to make a premature connection between bat coronavirus and SARS-CoV-2, drawing a potential bat origin scenario to support SARS-CoV-2 zoonotic transmission from bat to human</w:t>
      </w:r>
      <w:r w:rsidRPr="009E26AF">
        <w:rPr>
          <w:szCs w:val="22"/>
        </w:rPr>
        <w:t>.”</w:t>
      </w:r>
      <w:r w:rsidRPr="009E26AF">
        <w:rPr>
          <w:rStyle w:val="EndnoteReference"/>
          <w:szCs w:val="22"/>
        </w:rPr>
        <w:endnoteReference w:id="379"/>
      </w:r>
    </w:p>
    <w:p w14:paraId="5C1A3835" w14:textId="563183EC" w:rsidR="00E01616" w:rsidRPr="00B8476E" w:rsidRDefault="00E01616" w:rsidP="00E01616">
      <w:pPr>
        <w:rPr>
          <w:strike/>
          <w:szCs w:val="22"/>
        </w:rPr>
      </w:pPr>
      <w:r>
        <w:rPr>
          <w:szCs w:val="22"/>
        </w:rPr>
        <w:t xml:space="preserve">In the absence of a genetically similar </w:t>
      </w:r>
      <w:r w:rsidRPr="00B775B9">
        <w:rPr>
          <w:szCs w:val="22"/>
        </w:rPr>
        <w:t>bat SARSr-CoV</w:t>
      </w:r>
      <w:r>
        <w:rPr>
          <w:szCs w:val="22"/>
        </w:rPr>
        <w:t xml:space="preserve"> </w:t>
      </w:r>
      <w:r w:rsidR="00463772">
        <w:rPr>
          <w:szCs w:val="22"/>
        </w:rPr>
        <w:t xml:space="preserve">(i.e., &gt;&gt;96.2%) </w:t>
      </w:r>
      <w:r>
        <w:rPr>
          <w:szCs w:val="22"/>
        </w:rPr>
        <w:t xml:space="preserve">and a confirmed bat host harboring that </w:t>
      </w:r>
      <w:r w:rsidR="00463772">
        <w:rPr>
          <w:szCs w:val="22"/>
        </w:rPr>
        <w:t xml:space="preserve">SARS-CoV-2 progenitor </w:t>
      </w:r>
      <w:r>
        <w:rPr>
          <w:szCs w:val="22"/>
        </w:rPr>
        <w:t>virus</w:t>
      </w:r>
      <w:r w:rsidR="00463772">
        <w:rPr>
          <w:szCs w:val="22"/>
        </w:rPr>
        <w:t>,</w:t>
      </w:r>
      <w:r>
        <w:rPr>
          <w:szCs w:val="22"/>
        </w:rPr>
        <w:t xml:space="preserve"> </w:t>
      </w:r>
      <w:r w:rsidRPr="002B3FB2">
        <w:rPr>
          <w:szCs w:val="22"/>
        </w:rPr>
        <w:t>i</w:t>
      </w:r>
      <w:r>
        <w:rPr>
          <w:szCs w:val="22"/>
        </w:rPr>
        <w:t>t i</w:t>
      </w:r>
      <w:r w:rsidRPr="002B3FB2">
        <w:rPr>
          <w:szCs w:val="22"/>
        </w:rPr>
        <w:t>s</w:t>
      </w:r>
      <w:r>
        <w:rPr>
          <w:szCs w:val="22"/>
        </w:rPr>
        <w:t xml:space="preserve"> important to understand how Dr. Shi et al. created that </w:t>
      </w:r>
      <w:r w:rsidRPr="00891669">
        <w:rPr>
          <w:b/>
          <w:bCs w:val="0"/>
          <w:szCs w:val="22"/>
        </w:rPr>
        <w:t>speculative zoonosis link</w:t>
      </w:r>
      <w:r>
        <w:rPr>
          <w:szCs w:val="22"/>
        </w:rPr>
        <w:t xml:space="preserve"> to bats and the local</w:t>
      </w:r>
      <w:r w:rsidRPr="00156F8F">
        <w:t xml:space="preserve"> </w:t>
      </w:r>
      <w:r w:rsidRPr="00156F8F">
        <w:rPr>
          <w:szCs w:val="22"/>
        </w:rPr>
        <w:t>Huanan seafood market</w:t>
      </w:r>
      <w:r w:rsidR="00391915">
        <w:rPr>
          <w:szCs w:val="22"/>
        </w:rPr>
        <w:t xml:space="preserve">. </w:t>
      </w:r>
      <w:r>
        <w:rPr>
          <w:szCs w:val="22"/>
        </w:rPr>
        <w:t>Firstly</w:t>
      </w:r>
      <w:r w:rsidR="00391915" w:rsidRPr="00391915">
        <w:rPr>
          <w:szCs w:val="22"/>
        </w:rPr>
        <w:t xml:space="preserve"> </w:t>
      </w:r>
      <w:r w:rsidR="00391915">
        <w:rPr>
          <w:szCs w:val="22"/>
        </w:rPr>
        <w:t>Dr. Shi stated</w:t>
      </w:r>
      <w:r>
        <w:rPr>
          <w:szCs w:val="22"/>
        </w:rPr>
        <w:t>, “</w:t>
      </w:r>
      <w:r w:rsidRPr="00B775B9">
        <w:rPr>
          <w:i/>
          <w:iCs/>
          <w:szCs w:val="22"/>
        </w:rPr>
        <w:t>Previous studies have shown that some bat SARSr-CoVs have the potential to infect humans</w:t>
      </w:r>
      <w:r>
        <w:rPr>
          <w:szCs w:val="22"/>
        </w:rPr>
        <w:t xml:space="preserve">.” Two of three studies cited in support of that quoted statement were based on coronavirus gain-of-function research using human cell lines </w:t>
      </w:r>
      <w:r>
        <w:rPr>
          <w:szCs w:val="22"/>
        </w:rPr>
        <w:lastRenderedPageBreak/>
        <w:t>expressing ACE2 receptors conducted by Wuhan-IV, the University of North Carolina at Chapel Hill, and others, with Ralph Baric as the corresponding author in both cases.</w:t>
      </w:r>
      <w:r w:rsidRPr="0025569A">
        <w:rPr>
          <w:rStyle w:val="EndnoteReference"/>
          <w:szCs w:val="22"/>
        </w:rPr>
        <w:endnoteReference w:id="380"/>
      </w:r>
      <w:r w:rsidRPr="00B775B9">
        <w:rPr>
          <w:szCs w:val="22"/>
          <w:vertAlign w:val="superscript"/>
        </w:rPr>
        <w:t>,</w:t>
      </w:r>
      <w:r w:rsidRPr="0025569A">
        <w:rPr>
          <w:rStyle w:val="EndnoteReference"/>
          <w:szCs w:val="22"/>
        </w:rPr>
        <w:endnoteReference w:id="381"/>
      </w:r>
      <w:r>
        <w:rPr>
          <w:szCs w:val="22"/>
        </w:rPr>
        <w:t xml:space="preserve"> The third cited publication created the link between bat </w:t>
      </w:r>
      <w:r w:rsidRPr="009F3F2B">
        <w:rPr>
          <w:szCs w:val="22"/>
        </w:rPr>
        <w:t>SARSr-CoVs</w:t>
      </w:r>
      <w:r>
        <w:rPr>
          <w:szCs w:val="22"/>
        </w:rPr>
        <w:t xml:space="preserve"> and a SARS-CoV-1 zoonosis (ACE2 receptor-mediated), which was affiliated with Wuhan-IV </w:t>
      </w:r>
      <w:r w:rsidR="00E45417">
        <w:rPr>
          <w:szCs w:val="22"/>
        </w:rPr>
        <w:t xml:space="preserve">and with </w:t>
      </w:r>
      <w:r>
        <w:rPr>
          <w:szCs w:val="22"/>
        </w:rPr>
        <w:t xml:space="preserve">Dr. Shi as the corresponding author and </w:t>
      </w:r>
      <w:r w:rsidR="00391915">
        <w:rPr>
          <w:szCs w:val="22"/>
        </w:rPr>
        <w:t>Dr. Daszak</w:t>
      </w:r>
      <w:r>
        <w:rPr>
          <w:szCs w:val="22"/>
        </w:rPr>
        <w:t>, among others.</w:t>
      </w:r>
      <w:r w:rsidRPr="0025569A">
        <w:rPr>
          <w:rStyle w:val="EndnoteReference"/>
          <w:szCs w:val="22"/>
        </w:rPr>
        <w:endnoteReference w:id="382"/>
      </w:r>
      <w:r>
        <w:rPr>
          <w:szCs w:val="22"/>
        </w:rPr>
        <w:t xml:space="preserve"> The second speculative zoonosis link was created by the following </w:t>
      </w:r>
      <w:r w:rsidR="00E45417">
        <w:rPr>
          <w:szCs w:val="22"/>
        </w:rPr>
        <w:t xml:space="preserve">uncertain-vague </w:t>
      </w:r>
      <w:r>
        <w:rPr>
          <w:szCs w:val="22"/>
        </w:rPr>
        <w:t>quote, “</w:t>
      </w:r>
      <w:r w:rsidRPr="00B775B9">
        <w:rPr>
          <w:i/>
          <w:iCs/>
          <w:szCs w:val="22"/>
        </w:rPr>
        <w:t>It appears that most of the early cases had contact history with the original seafood market</w:t>
      </w:r>
      <w:r w:rsidR="005009BC">
        <w:rPr>
          <w:i/>
          <w:iCs/>
          <w:szCs w:val="22"/>
        </w:rPr>
        <w:t>.</w:t>
      </w:r>
      <w:r>
        <w:rPr>
          <w:szCs w:val="22"/>
        </w:rPr>
        <w:t>”</w:t>
      </w:r>
    </w:p>
    <w:p w14:paraId="6D7D0E6B" w14:textId="3CBE8283" w:rsidR="008C2EA1" w:rsidRDefault="00E01616" w:rsidP="006C2F2B">
      <w:pPr>
        <w:rPr>
          <w:rFonts w:cs="Times New Roman"/>
        </w:rPr>
      </w:pPr>
      <w:r>
        <w:rPr>
          <w:szCs w:val="22"/>
        </w:rPr>
        <w:t xml:space="preserve">In my view, these </w:t>
      </w:r>
      <w:r w:rsidR="00B8476E">
        <w:rPr>
          <w:szCs w:val="22"/>
        </w:rPr>
        <w:t xml:space="preserve">prior </w:t>
      </w:r>
      <w:r>
        <w:rPr>
          <w:szCs w:val="22"/>
        </w:rPr>
        <w:t xml:space="preserve">cited publications </w:t>
      </w:r>
      <w:r w:rsidRPr="00CE611F">
        <w:rPr>
          <w:b/>
          <w:bCs w:val="0"/>
          <w:szCs w:val="22"/>
        </w:rPr>
        <w:t>provide</w:t>
      </w:r>
      <w:r w:rsidR="00B8476E" w:rsidRPr="00CE611F">
        <w:rPr>
          <w:b/>
          <w:bCs w:val="0"/>
          <w:szCs w:val="22"/>
        </w:rPr>
        <w:t xml:space="preserve"> zero hard </w:t>
      </w:r>
      <w:r w:rsidRPr="00CE611F">
        <w:rPr>
          <w:b/>
          <w:bCs w:val="0"/>
          <w:szCs w:val="22"/>
        </w:rPr>
        <w:t>evidence</w:t>
      </w:r>
      <w:r>
        <w:rPr>
          <w:szCs w:val="22"/>
        </w:rPr>
        <w:t xml:space="preserve"> of a </w:t>
      </w:r>
      <w:r w:rsidR="00B8476E">
        <w:rPr>
          <w:szCs w:val="22"/>
        </w:rPr>
        <w:t xml:space="preserve">Huanan market </w:t>
      </w:r>
      <w:r w:rsidR="006C2F2B">
        <w:rPr>
          <w:szCs w:val="22"/>
        </w:rPr>
        <w:t xml:space="preserve">bat </w:t>
      </w:r>
      <w:r>
        <w:rPr>
          <w:szCs w:val="22"/>
        </w:rPr>
        <w:t>zoonosis, but rather highlight</w:t>
      </w:r>
      <w:r w:rsidR="00D6667F">
        <w:rPr>
          <w:szCs w:val="22"/>
        </w:rPr>
        <w:t xml:space="preserve"> the</w:t>
      </w:r>
      <w:r>
        <w:rPr>
          <w:szCs w:val="22"/>
        </w:rPr>
        <w:t xml:space="preserve"> </w:t>
      </w:r>
      <w:r w:rsidRPr="003A3742">
        <w:rPr>
          <w:b/>
          <w:bCs w:val="0"/>
          <w:szCs w:val="22"/>
        </w:rPr>
        <w:t>key protagonists</w:t>
      </w:r>
      <w:r>
        <w:rPr>
          <w:szCs w:val="22"/>
        </w:rPr>
        <w:t xml:space="preserve"> in a US-China coronavirus gain-of-function research network</w:t>
      </w:r>
      <w:r w:rsidR="006C2F2B">
        <w:rPr>
          <w:szCs w:val="22"/>
        </w:rPr>
        <w:t>.</w:t>
      </w:r>
      <w:r w:rsidR="006C2F2B">
        <w:rPr>
          <w:rFonts w:cs="Times New Roman"/>
        </w:rPr>
        <w:t xml:space="preserve"> T</w:t>
      </w:r>
      <w:r w:rsidR="008C2EA1" w:rsidRPr="004008F5">
        <w:rPr>
          <w:rFonts w:cs="Times New Roman"/>
        </w:rPr>
        <w:t xml:space="preserve">he </w:t>
      </w:r>
      <w:r w:rsidR="008C2EA1" w:rsidRPr="004008F5">
        <w:rPr>
          <w:rFonts w:cs="Times New Roman"/>
          <w:szCs w:val="22"/>
        </w:rPr>
        <w:t>Wuhan Institute of Virology (</w:t>
      </w:r>
      <w:r w:rsidR="008C2EA1" w:rsidRPr="004008F5">
        <w:rPr>
          <w:rFonts w:cs="Times New Roman"/>
        </w:rPr>
        <w:t>Dr. Shi</w:t>
      </w:r>
      <w:r w:rsidR="008C2EA1">
        <w:rPr>
          <w:rFonts w:cs="Times New Roman"/>
        </w:rPr>
        <w:t xml:space="preserve"> et al.</w:t>
      </w:r>
      <w:r w:rsidR="008C2EA1" w:rsidRPr="004008F5">
        <w:rPr>
          <w:rStyle w:val="EndnoteReference"/>
          <w:rFonts w:eastAsiaTheme="majorEastAsia" w:cs="Times New Roman"/>
        </w:rPr>
        <w:endnoteReference w:id="383"/>
      </w:r>
      <w:r w:rsidR="008C2EA1" w:rsidRPr="004008F5">
        <w:rPr>
          <w:rFonts w:cs="Times New Roman"/>
          <w:szCs w:val="22"/>
        </w:rPr>
        <w:t>) and other Research Institutes in China, and t</w:t>
      </w:r>
      <w:r w:rsidR="00993FBB">
        <w:rPr>
          <w:rFonts w:cs="Times New Roman"/>
          <w:szCs w:val="22"/>
        </w:rPr>
        <w:t xml:space="preserve">he </w:t>
      </w:r>
      <w:r w:rsidR="008C2EA1" w:rsidRPr="004008F5">
        <w:rPr>
          <w:rFonts w:cs="Times New Roman"/>
          <w:szCs w:val="22"/>
        </w:rPr>
        <w:t>University of North Carolina at Chapel Hill (UNCCH, Dr. Ralph Baric</w:t>
      </w:r>
      <w:r w:rsidR="008C2EA1">
        <w:rPr>
          <w:rFonts w:cs="Times New Roman"/>
          <w:szCs w:val="22"/>
        </w:rPr>
        <w:t xml:space="preserve"> et al.</w:t>
      </w:r>
      <w:r w:rsidR="008C2EA1" w:rsidRPr="008636C4">
        <w:rPr>
          <w:rStyle w:val="EndnoteReference"/>
          <w:rFonts w:cs="Times New Roman"/>
          <w:szCs w:val="22"/>
        </w:rPr>
        <w:endnoteReference w:id="384"/>
      </w:r>
      <w:r w:rsidR="008C2EA1" w:rsidRPr="008636C4">
        <w:rPr>
          <w:rFonts w:cs="Times New Roman"/>
          <w:szCs w:val="22"/>
          <w:vertAlign w:val="superscript"/>
        </w:rPr>
        <w:t>,</w:t>
      </w:r>
      <w:r w:rsidR="008C2EA1" w:rsidRPr="008636C4">
        <w:rPr>
          <w:rStyle w:val="EndnoteReference"/>
          <w:rFonts w:eastAsiaTheme="majorEastAsia" w:cs="Times New Roman"/>
        </w:rPr>
        <w:endnoteReference w:id="385"/>
      </w:r>
      <w:r w:rsidR="008C2EA1" w:rsidRPr="008636C4">
        <w:rPr>
          <w:rFonts w:cs="Times New Roman"/>
          <w:vertAlign w:val="superscript"/>
        </w:rPr>
        <w:t>,</w:t>
      </w:r>
      <w:r w:rsidR="008C2EA1" w:rsidRPr="008636C4">
        <w:rPr>
          <w:rStyle w:val="EndnoteReference"/>
          <w:rFonts w:eastAsiaTheme="majorEastAsia" w:cs="Times New Roman"/>
        </w:rPr>
        <w:endnoteReference w:id="386"/>
      </w:r>
      <w:r w:rsidR="008C2EA1" w:rsidRPr="008636C4">
        <w:rPr>
          <w:rFonts w:cs="Times New Roman"/>
          <w:vertAlign w:val="superscript"/>
        </w:rPr>
        <w:t>,</w:t>
      </w:r>
      <w:r w:rsidR="008C2EA1" w:rsidRPr="008636C4">
        <w:rPr>
          <w:rStyle w:val="EndnoteReference"/>
          <w:rFonts w:eastAsiaTheme="majorEastAsia" w:cs="Times New Roman"/>
        </w:rPr>
        <w:endnoteReference w:id="387"/>
      </w:r>
      <w:r w:rsidR="008C2EA1" w:rsidRPr="008636C4">
        <w:rPr>
          <w:rFonts w:cs="Times New Roman"/>
          <w:szCs w:val="22"/>
        </w:rPr>
        <w:t xml:space="preserve">) </w:t>
      </w:r>
      <w:r w:rsidR="008C2EA1" w:rsidRPr="004008F5">
        <w:rPr>
          <w:rFonts w:cs="Times New Roman"/>
          <w:szCs w:val="22"/>
        </w:rPr>
        <w:t xml:space="preserve">represented </w:t>
      </w:r>
      <w:r w:rsidR="008C2EA1">
        <w:rPr>
          <w:rFonts w:cs="Times New Roman"/>
          <w:szCs w:val="22"/>
        </w:rPr>
        <w:t xml:space="preserve">known </w:t>
      </w:r>
      <w:r w:rsidR="008C2EA1" w:rsidRPr="004008F5">
        <w:rPr>
          <w:rFonts w:cs="Times New Roman"/>
          <w:szCs w:val="22"/>
        </w:rPr>
        <w:t xml:space="preserve">global epicenters for </w:t>
      </w:r>
      <w:r w:rsidR="008C2EA1" w:rsidRPr="004008F5">
        <w:rPr>
          <w:rFonts w:cs="Times New Roman"/>
        </w:rPr>
        <w:t xml:space="preserve">coronavirus gain-of-function research, in which </w:t>
      </w:r>
      <w:r w:rsidR="008C2EA1" w:rsidRPr="004008F5">
        <w:rPr>
          <w:rFonts w:cs="Times New Roman"/>
          <w:szCs w:val="22"/>
        </w:rPr>
        <w:t>Dr. Daszak collaborated (publication list</w:t>
      </w:r>
      <w:r w:rsidR="008C2EA1" w:rsidRPr="004008F5">
        <w:rPr>
          <w:rStyle w:val="EndnoteReference"/>
          <w:rFonts w:cs="Times New Roman"/>
          <w:szCs w:val="22"/>
        </w:rPr>
        <w:endnoteReference w:id="388"/>
      </w:r>
      <w:r w:rsidR="008C2EA1" w:rsidRPr="004008F5">
        <w:rPr>
          <w:rFonts w:cs="Times New Roman"/>
          <w:szCs w:val="22"/>
        </w:rPr>
        <w:t>)</w:t>
      </w:r>
      <w:r w:rsidR="008C2EA1" w:rsidRPr="004008F5">
        <w:rPr>
          <w:rFonts w:cs="Times New Roman"/>
        </w:rPr>
        <w:t>.</w:t>
      </w:r>
      <w:r w:rsidR="008C2EA1" w:rsidRPr="008636C4">
        <w:rPr>
          <w:rStyle w:val="EndnoteReference"/>
          <w:rFonts w:eastAsiaTheme="majorEastAsia" w:cs="Times New Roman"/>
        </w:rPr>
        <w:endnoteReference w:id="389"/>
      </w:r>
      <w:r w:rsidR="008C2EA1" w:rsidRPr="008636C4">
        <w:rPr>
          <w:rFonts w:cs="Times New Roman"/>
          <w:vertAlign w:val="superscript"/>
        </w:rPr>
        <w:t>,</w:t>
      </w:r>
      <w:r w:rsidR="008C2EA1" w:rsidRPr="008636C4">
        <w:rPr>
          <w:rStyle w:val="EndnoteReference"/>
          <w:rFonts w:eastAsiaTheme="majorEastAsia" w:cs="Times New Roman"/>
        </w:rPr>
        <w:endnoteReference w:id="390"/>
      </w:r>
      <w:r w:rsidR="008C2EA1" w:rsidRPr="008636C4">
        <w:rPr>
          <w:rFonts w:cs="Times New Roman"/>
          <w:vertAlign w:val="superscript"/>
        </w:rPr>
        <w:t>,</w:t>
      </w:r>
      <w:r w:rsidR="008C2EA1" w:rsidRPr="008636C4">
        <w:rPr>
          <w:rStyle w:val="EndnoteReference"/>
          <w:rFonts w:eastAsiaTheme="majorEastAsia" w:cs="Times New Roman"/>
        </w:rPr>
        <w:endnoteReference w:id="391"/>
      </w:r>
      <w:r w:rsidR="008C2EA1" w:rsidRPr="008636C4">
        <w:rPr>
          <w:rFonts w:cs="Times New Roman"/>
          <w:vertAlign w:val="superscript"/>
        </w:rPr>
        <w:t>,</w:t>
      </w:r>
      <w:r w:rsidR="008C2EA1" w:rsidRPr="008636C4">
        <w:rPr>
          <w:rStyle w:val="EndnoteReference"/>
          <w:rFonts w:eastAsiaTheme="majorEastAsia" w:cs="Times New Roman"/>
        </w:rPr>
        <w:endnoteReference w:id="392"/>
      </w:r>
      <w:r w:rsidR="008C2EA1" w:rsidRPr="008636C4">
        <w:rPr>
          <w:rFonts w:cs="Times New Roman"/>
          <w:vertAlign w:val="superscript"/>
        </w:rPr>
        <w:t>,</w:t>
      </w:r>
      <w:r w:rsidR="008C2EA1" w:rsidRPr="008636C4">
        <w:rPr>
          <w:rStyle w:val="EndnoteReference"/>
          <w:rFonts w:eastAsiaTheme="majorEastAsia" w:cs="Times New Roman"/>
        </w:rPr>
        <w:endnoteReference w:id="393"/>
      </w:r>
      <w:r w:rsidR="008C2EA1" w:rsidRPr="008636C4">
        <w:rPr>
          <w:rFonts w:cs="Times New Roman"/>
          <w:vertAlign w:val="superscript"/>
        </w:rPr>
        <w:t>,</w:t>
      </w:r>
      <w:r w:rsidR="008C2EA1" w:rsidRPr="008636C4">
        <w:rPr>
          <w:rStyle w:val="EndnoteReference"/>
          <w:szCs w:val="22"/>
        </w:rPr>
        <w:endnoteReference w:id="394"/>
      </w:r>
      <w:r w:rsidR="008C2EA1" w:rsidRPr="008636C4">
        <w:rPr>
          <w:rFonts w:cs="Times New Roman"/>
          <w:vertAlign w:val="superscript"/>
        </w:rPr>
        <w:t>,</w:t>
      </w:r>
      <w:r w:rsidR="008C2EA1" w:rsidRPr="008636C4">
        <w:rPr>
          <w:rStyle w:val="EndnoteReference"/>
          <w:rFonts w:eastAsiaTheme="majorEastAsia" w:cs="Times New Roman"/>
        </w:rPr>
        <w:endnoteReference w:id="395"/>
      </w:r>
      <w:r w:rsidR="008C2EA1" w:rsidRPr="004008F5">
        <w:rPr>
          <w:rFonts w:cs="Times New Roman"/>
        </w:rPr>
        <w:t xml:space="preserve"> </w:t>
      </w:r>
      <w:r w:rsidR="00993FBB">
        <w:rPr>
          <w:rFonts w:cs="Times New Roman"/>
        </w:rPr>
        <w:t xml:space="preserve">The NIH </w:t>
      </w:r>
      <w:r w:rsidR="00906E8C">
        <w:rPr>
          <w:rFonts w:cs="Times New Roman"/>
        </w:rPr>
        <w:t>has</w:t>
      </w:r>
      <w:r w:rsidR="00993FBB">
        <w:rPr>
          <w:rFonts w:cs="Times New Roman"/>
        </w:rPr>
        <w:t xml:space="preserve"> funded Dr. Bar</w:t>
      </w:r>
      <w:r w:rsidR="00D6667F">
        <w:rPr>
          <w:rFonts w:cs="Times New Roman"/>
        </w:rPr>
        <w:t>ic</w:t>
      </w:r>
      <w:r w:rsidR="00993FBB">
        <w:rPr>
          <w:rFonts w:cs="Times New Roman"/>
        </w:rPr>
        <w:t xml:space="preserve">’s gain-of-function, zoonosis, and </w:t>
      </w:r>
      <w:r w:rsidR="008D2072">
        <w:rPr>
          <w:rFonts w:cs="Times New Roman"/>
        </w:rPr>
        <w:t xml:space="preserve">his </w:t>
      </w:r>
      <w:r w:rsidR="00993FBB">
        <w:rPr>
          <w:rFonts w:cs="Times New Roman"/>
        </w:rPr>
        <w:t>other research to the tune of $16</w:t>
      </w:r>
      <w:r w:rsidR="001B2150">
        <w:rPr>
          <w:rFonts w:cs="Times New Roman"/>
        </w:rPr>
        <w:t>0-plus</w:t>
      </w:r>
      <w:r w:rsidR="00993FBB">
        <w:rPr>
          <w:rFonts w:cs="Times New Roman"/>
        </w:rPr>
        <w:t xml:space="preserve"> million since 1986, making him </w:t>
      </w:r>
      <w:r w:rsidR="001B2150">
        <w:rPr>
          <w:rFonts w:cs="Times New Roman"/>
        </w:rPr>
        <w:t xml:space="preserve">a coronavirus </w:t>
      </w:r>
      <w:r w:rsidR="00993FBB" w:rsidRPr="00993FBB">
        <w:rPr>
          <w:rFonts w:cs="Times New Roman"/>
        </w:rPr>
        <w:t xml:space="preserve">gain-of-function </w:t>
      </w:r>
      <w:r w:rsidR="001B2150">
        <w:rPr>
          <w:rFonts w:cs="Times New Roman"/>
        </w:rPr>
        <w:t>expert with</w:t>
      </w:r>
      <w:r w:rsidR="00FA4E21">
        <w:rPr>
          <w:rFonts w:cs="Times New Roman"/>
        </w:rPr>
        <w:t xml:space="preserve"> few</w:t>
      </w:r>
      <w:r w:rsidR="001B2150">
        <w:rPr>
          <w:rFonts w:cs="Times New Roman"/>
        </w:rPr>
        <w:t xml:space="preserve"> peer</w:t>
      </w:r>
      <w:r w:rsidR="00993FBB" w:rsidRPr="00993FBB">
        <w:rPr>
          <w:rFonts w:cs="Times New Roman"/>
        </w:rPr>
        <w:t>.</w:t>
      </w:r>
      <w:r w:rsidR="00993FBB">
        <w:rPr>
          <w:rStyle w:val="EndnoteReference"/>
          <w:rFonts w:cs="Times New Roman"/>
        </w:rPr>
        <w:endnoteReference w:id="396"/>
      </w:r>
      <w:r w:rsidR="00993FBB">
        <w:rPr>
          <w:rFonts w:cs="Times New Roman"/>
        </w:rPr>
        <w:t xml:space="preserve"> </w:t>
      </w:r>
      <w:r w:rsidR="008C2EA1" w:rsidRPr="004008F5">
        <w:rPr>
          <w:rFonts w:cs="Times New Roman"/>
        </w:rPr>
        <w:t xml:space="preserve">Much of </w:t>
      </w:r>
      <w:r w:rsidR="001B2150">
        <w:rPr>
          <w:rFonts w:cs="Times New Roman"/>
        </w:rPr>
        <w:t>this collaborative network’s</w:t>
      </w:r>
      <w:r w:rsidR="008C2EA1" w:rsidRPr="004008F5">
        <w:rPr>
          <w:rFonts w:cs="Times New Roman"/>
        </w:rPr>
        <w:t xml:space="preserve"> research was focused on modifying the spike protein of coronaviruses that </w:t>
      </w:r>
      <w:r w:rsidR="008C2EA1" w:rsidRPr="00083102">
        <w:rPr>
          <w:rFonts w:cs="Times New Roman"/>
          <w:b/>
          <w:bCs w:val="0"/>
        </w:rPr>
        <w:t>could not infect humans so that they could</w:t>
      </w:r>
      <w:r w:rsidR="008C2EA1" w:rsidRPr="005009BC">
        <w:rPr>
          <w:rFonts w:cs="Times New Roman"/>
        </w:rPr>
        <w:t xml:space="preserve"> without the need for a zoonotic event</w:t>
      </w:r>
      <w:r w:rsidR="008C2EA1" w:rsidRPr="005E13EE">
        <w:rPr>
          <w:rFonts w:cs="Times New Roman"/>
        </w:rPr>
        <w:t>.</w:t>
      </w:r>
      <w:r w:rsidR="008C2EA1" w:rsidRPr="004008F5">
        <w:rPr>
          <w:rFonts w:cs="Times New Roman"/>
        </w:rPr>
        <w:t xml:space="preserve"> </w:t>
      </w:r>
    </w:p>
    <w:p w14:paraId="7F06BAD9" w14:textId="2B5C78F8" w:rsidR="00E01616" w:rsidRPr="00803412" w:rsidRDefault="00E01616" w:rsidP="00660BB8">
      <w:pPr>
        <w:pStyle w:val="Heading2"/>
      </w:pPr>
      <w:bookmarkStart w:id="191" w:name="_Toc111368018"/>
      <w:bookmarkStart w:id="192" w:name="_Toc121035146"/>
      <w:bookmarkStart w:id="193" w:name="_Toc510678532"/>
      <w:bookmarkStart w:id="194" w:name="_Toc510880036"/>
      <w:bookmarkStart w:id="195" w:name="_Toc512275165"/>
      <w:bookmarkStart w:id="196" w:name="_Toc512360383"/>
      <w:bookmarkStart w:id="197" w:name="_Toc516645069"/>
      <w:r w:rsidRPr="00803412">
        <w:rPr>
          <w:rFonts w:eastAsiaTheme="majorEastAsia"/>
        </w:rPr>
        <w:t>SARS-CoV-2 Spike Protein Bristles with Gain-of-Function Technology</w:t>
      </w:r>
      <w:r>
        <w:rPr>
          <w:rFonts w:eastAsiaTheme="majorEastAsia"/>
        </w:rPr>
        <w:t xml:space="preserve"> that Enabled-Enhanced Human Infectivity</w:t>
      </w:r>
      <w:bookmarkEnd w:id="191"/>
      <w:r w:rsidR="00906E8C">
        <w:rPr>
          <w:rFonts w:eastAsiaTheme="majorEastAsia"/>
        </w:rPr>
        <w:t xml:space="preserve"> and Pathogenicity</w:t>
      </w:r>
      <w:bookmarkEnd w:id="192"/>
    </w:p>
    <w:bookmarkEnd w:id="193"/>
    <w:bookmarkEnd w:id="194"/>
    <w:bookmarkEnd w:id="195"/>
    <w:bookmarkEnd w:id="196"/>
    <w:bookmarkEnd w:id="197"/>
    <w:p w14:paraId="403B1623" w14:textId="46347634" w:rsidR="00E01616" w:rsidRPr="00310DEB" w:rsidRDefault="00E01616" w:rsidP="00E01616">
      <w:pPr>
        <w:rPr>
          <w:color w:val="0432FF"/>
          <w:szCs w:val="22"/>
        </w:rPr>
      </w:pPr>
      <w:r w:rsidRPr="00651CC5">
        <w:t xml:space="preserve">Researchers examined how SARS-CoV-2 </w:t>
      </w:r>
      <w:r>
        <w:t xml:space="preserve">spike protein </w:t>
      </w:r>
      <w:r w:rsidRPr="00651CC5">
        <w:t>binds to the ACE2 receptor of various animal species</w:t>
      </w:r>
      <w:r>
        <w:t xml:space="preserve"> in an attempt to understand </w:t>
      </w:r>
      <w:r w:rsidR="00302EB7">
        <w:t xml:space="preserve">the </w:t>
      </w:r>
      <w:r>
        <w:t>SARS-CoV-2 potential species of origin</w:t>
      </w:r>
      <w:r w:rsidRPr="00651CC5">
        <w:t>. Surprisingly, they found that SARS-CoV-2’s spike protein binds the strongest to human ACE2 receptors (December 2019 strain</w:t>
      </w:r>
      <w:r>
        <w:t>s</w:t>
      </w:r>
      <w:r w:rsidRPr="00651CC5">
        <w:t>, human&gt;</w:t>
      </w:r>
      <w:r w:rsidR="0094398B">
        <w:t xml:space="preserve"> </w:t>
      </w:r>
      <w:r w:rsidRPr="00651CC5">
        <w:t>pangolin&gt;</w:t>
      </w:r>
      <w:r w:rsidR="0094398B">
        <w:t xml:space="preserve"> </w:t>
      </w:r>
      <w:r w:rsidRPr="00651CC5">
        <w:t>dog</w:t>
      </w:r>
      <w:r w:rsidR="0094398B" w:rsidRPr="00651CC5">
        <w:t>&gt;</w:t>
      </w:r>
      <w:r w:rsidR="0094398B">
        <w:t xml:space="preserve"> </w:t>
      </w:r>
      <w:r w:rsidR="0094398B" w:rsidRPr="00651CC5">
        <w:t>monkey&gt;</w:t>
      </w:r>
      <w:r w:rsidR="0094398B">
        <w:t xml:space="preserve"> </w:t>
      </w:r>
      <w:r w:rsidR="0094398B" w:rsidRPr="00651CC5">
        <w:t>hamster</w:t>
      </w:r>
      <w:r w:rsidRPr="00651CC5">
        <w:t>&gt;</w:t>
      </w:r>
      <w:r w:rsidR="0094398B">
        <w:t xml:space="preserve"> </w:t>
      </w:r>
      <w:r w:rsidRPr="00651CC5">
        <w:t>ferret&gt;</w:t>
      </w:r>
      <w:r w:rsidR="0094398B">
        <w:t xml:space="preserve"> </w:t>
      </w:r>
      <w:r w:rsidRPr="00651CC5">
        <w:t>cat&gt;</w:t>
      </w:r>
      <w:r w:rsidR="0094398B">
        <w:t xml:space="preserve"> </w:t>
      </w:r>
      <w:r w:rsidRPr="00651CC5">
        <w:t>tiger&gt;</w:t>
      </w:r>
      <w:r w:rsidR="0094398B">
        <w:t xml:space="preserve"> </w:t>
      </w:r>
      <w:r w:rsidRPr="00651CC5">
        <w:t>bat&gt;</w:t>
      </w:r>
      <w:r w:rsidR="0094398B">
        <w:t xml:space="preserve"> </w:t>
      </w:r>
      <w:r w:rsidRPr="00651CC5">
        <w:t>civet&gt;</w:t>
      </w:r>
      <w:r w:rsidR="0094398B">
        <w:t xml:space="preserve"> </w:t>
      </w:r>
      <w:r w:rsidRPr="00651CC5">
        <w:t>horse&gt; cow&gt; snake&gt;</w:t>
      </w:r>
      <w:r w:rsidR="0094398B">
        <w:t xml:space="preserve"> </w:t>
      </w:r>
      <w:r w:rsidRPr="00651CC5">
        <w:t>mouse).</w:t>
      </w:r>
      <w:r w:rsidR="0094398B">
        <w:t xml:space="preserve"> </w:t>
      </w:r>
      <w:r w:rsidRPr="00651CC5">
        <w:t xml:space="preserve">Typically, a zoonotic virus exhibits the </w:t>
      </w:r>
      <w:r w:rsidRPr="00CE611F">
        <w:rPr>
          <w:b/>
          <w:bCs w:val="0"/>
        </w:rPr>
        <w:t>highest binding affinity</w:t>
      </w:r>
      <w:r w:rsidRPr="00651CC5">
        <w:t xml:space="preserve"> initially for its </w:t>
      </w:r>
      <w:r w:rsidRPr="003A3742">
        <w:rPr>
          <w:b/>
          <w:bCs w:val="0"/>
        </w:rPr>
        <w:t>originating host species</w:t>
      </w:r>
      <w:r w:rsidRPr="00651CC5">
        <w:t xml:space="preserve"> and lower initial affinity </w:t>
      </w:r>
      <w:r>
        <w:t>for</w:t>
      </w:r>
      <w:r w:rsidRPr="00651CC5">
        <w:t xml:space="preserve"> receptors of </w:t>
      </w:r>
      <w:r w:rsidR="00302EB7">
        <w:t>the</w:t>
      </w:r>
      <w:r w:rsidRPr="00651CC5">
        <w:t xml:space="preserve"> new host species until it </w:t>
      </w:r>
      <w:r w:rsidR="0094398B">
        <w:t>mutationally adapts</w:t>
      </w:r>
      <w:r w:rsidRPr="00651CC5">
        <w:t xml:space="preserve">. This study’s </w:t>
      </w:r>
      <w:r>
        <w:t>results</w:t>
      </w:r>
      <w:r w:rsidRPr="00651CC5">
        <w:t xml:space="preserve"> suggest that SARS-CoV-2 spike RBD evolved by selection on a human-like ACE2, not a pangolin</w:t>
      </w:r>
      <w:r>
        <w:t xml:space="preserve">, </w:t>
      </w:r>
      <w:r w:rsidRPr="00651CC5">
        <w:t>bat</w:t>
      </w:r>
      <w:r>
        <w:t>, or mouse ACE2 receptor</w:t>
      </w:r>
      <w:r w:rsidRPr="00651CC5">
        <w:t>.</w:t>
      </w:r>
      <w:r w:rsidRPr="00651CC5">
        <w:rPr>
          <w:rStyle w:val="EndnoteReference"/>
        </w:rPr>
        <w:endnoteReference w:id="397"/>
      </w:r>
      <w:r w:rsidRPr="00651CC5">
        <w:t xml:space="preserve"> The first preprint version of this paper went further, concluding, “</w:t>
      </w:r>
      <w:r w:rsidRPr="00651CC5">
        <w:rPr>
          <w:i/>
          <w:iCs/>
        </w:rPr>
        <w:t>the data indicate that SARS-CoV-2 is uniquely adapted to infect humans, raising important questions as to whether it arose in nature by a rare chance event or whether its origins might lie elsewhere.</w:t>
      </w:r>
      <w:r w:rsidRPr="00651CC5">
        <w:t>”</w:t>
      </w:r>
      <w:r w:rsidRPr="00651CC5">
        <w:rPr>
          <w:rStyle w:val="EndnoteReference"/>
        </w:rPr>
        <w:endnoteReference w:id="398"/>
      </w:r>
      <w:r w:rsidRPr="00651CC5">
        <w:t xml:space="preserve"> </w:t>
      </w:r>
      <w:r w:rsidRPr="00651CC5">
        <w:rPr>
          <w:szCs w:val="22"/>
        </w:rPr>
        <w:t>A</w:t>
      </w:r>
      <w:r w:rsidRPr="00651CC5">
        <w:t xml:space="preserve"> </w:t>
      </w:r>
      <w:r w:rsidR="00302EB7">
        <w:t xml:space="preserve">potential </w:t>
      </w:r>
      <w:r>
        <w:t>genetic-engineering</w:t>
      </w:r>
      <w:r w:rsidRPr="00651CC5">
        <w:t xml:space="preserve"> origin was </w:t>
      </w:r>
      <w:r w:rsidR="00217413">
        <w:t>initially</w:t>
      </w:r>
      <w:r w:rsidR="00302EB7">
        <w:t xml:space="preserve"> </w:t>
      </w:r>
      <w:r>
        <w:t>proposed</w:t>
      </w:r>
      <w:r w:rsidRPr="00651CC5">
        <w:t xml:space="preserve"> </w:t>
      </w:r>
      <w:r w:rsidR="00302EB7">
        <w:t xml:space="preserve">for SARS-CoV-2 </w:t>
      </w:r>
      <w:r w:rsidRPr="00651CC5">
        <w:t xml:space="preserve">in </w:t>
      </w:r>
      <w:r w:rsidR="00CE611F">
        <w:t>an</w:t>
      </w:r>
      <w:r w:rsidRPr="00651CC5">
        <w:t xml:space="preserve"> FOI-disclosed email to NIH Director </w:t>
      </w:r>
      <w:r>
        <w:t xml:space="preserve">Dr. </w:t>
      </w:r>
      <w:r w:rsidRPr="00651CC5">
        <w:t>Anthony Fauci</w:t>
      </w:r>
      <w:r w:rsidR="00302EB7">
        <w:t xml:space="preserve"> (pg.3187, 31/01/2020),</w:t>
      </w:r>
      <w:r w:rsidRPr="00651CC5">
        <w:rPr>
          <w:rStyle w:val="EndnoteReference"/>
        </w:rPr>
        <w:endnoteReference w:id="399"/>
      </w:r>
      <w:r w:rsidRPr="00651CC5">
        <w:t xml:space="preserve"> b</w:t>
      </w:r>
      <w:r w:rsidR="00302EB7">
        <w:t xml:space="preserve">ut this </w:t>
      </w:r>
      <w:r w:rsidR="00217413">
        <w:t>provisional</w:t>
      </w:r>
      <w:r w:rsidR="00857835">
        <w:t xml:space="preserve"> </w:t>
      </w:r>
      <w:r w:rsidR="00302EB7">
        <w:t xml:space="preserve">opinion changed </w:t>
      </w:r>
      <w:r w:rsidR="00A914AF">
        <w:t>for</w:t>
      </w:r>
      <w:r w:rsidR="00302EB7">
        <w:t xml:space="preserve"> their </w:t>
      </w:r>
      <w:r w:rsidR="00217413" w:rsidRPr="00217413">
        <w:t>prestigious</w:t>
      </w:r>
      <w:r w:rsidR="00217413">
        <w:t xml:space="preserve"> </w:t>
      </w:r>
      <w:r w:rsidR="00302EB7">
        <w:t xml:space="preserve">Nature Medicine publication </w:t>
      </w:r>
      <w:r w:rsidRPr="00651CC5">
        <w:t>“The proximal origin of SARS-CoV-2”</w:t>
      </w:r>
      <w:r w:rsidR="00302EB7">
        <w:t>.</w:t>
      </w:r>
      <w:r w:rsidRPr="00651CC5">
        <w:rPr>
          <w:rStyle w:val="EndnoteReference"/>
        </w:rPr>
        <w:endnoteReference w:id="400"/>
      </w:r>
    </w:p>
    <w:p w14:paraId="35CD0792" w14:textId="375F2BB5" w:rsidR="00E01616" w:rsidRDefault="00E01616" w:rsidP="00DB5678">
      <w:pPr>
        <w:adjustRightInd w:val="0"/>
        <w:snapToGrid w:val="0"/>
        <w:spacing w:after="240"/>
        <w:rPr>
          <w:szCs w:val="22"/>
        </w:rPr>
      </w:pPr>
      <w:r>
        <w:rPr>
          <w:rFonts w:cs="Times New Roman"/>
        </w:rPr>
        <w:t>A</w:t>
      </w:r>
      <w:r w:rsidRPr="00BB414A">
        <w:rPr>
          <w:rFonts w:cs="Times New Roman"/>
        </w:rPr>
        <w:t xml:space="preserve">ny claim that SARS-CoV-2 could not </w:t>
      </w:r>
      <w:r>
        <w:rPr>
          <w:rFonts w:cs="Times New Roman"/>
        </w:rPr>
        <w:t xml:space="preserve">have </w:t>
      </w:r>
      <w:r w:rsidRPr="00BB414A">
        <w:rPr>
          <w:rFonts w:cs="Times New Roman"/>
        </w:rPr>
        <w:t>be</w:t>
      </w:r>
      <w:r>
        <w:rPr>
          <w:rFonts w:cs="Times New Roman"/>
        </w:rPr>
        <w:t>en</w:t>
      </w:r>
      <w:r w:rsidRPr="00BB414A">
        <w:rPr>
          <w:rFonts w:cs="Times New Roman"/>
        </w:rPr>
        <w:t xml:space="preserve"> </w:t>
      </w:r>
      <w:r>
        <w:rPr>
          <w:rFonts w:cs="Times New Roman"/>
        </w:rPr>
        <w:t>hu</w:t>
      </w:r>
      <w:r w:rsidRPr="00BB414A">
        <w:rPr>
          <w:rFonts w:cs="Times New Roman"/>
        </w:rPr>
        <w:t xml:space="preserve">man-made because </w:t>
      </w:r>
      <w:r>
        <w:rPr>
          <w:rFonts w:cs="Times New Roman"/>
        </w:rPr>
        <w:t>there were no</w:t>
      </w:r>
      <w:r w:rsidRPr="00BB414A">
        <w:rPr>
          <w:rFonts w:cs="Times New Roman"/>
        </w:rPr>
        <w:t xml:space="preserve"> genetic modification markers </w:t>
      </w:r>
      <w:r>
        <w:rPr>
          <w:rFonts w:cs="Times New Roman"/>
        </w:rPr>
        <w:t>is</w:t>
      </w:r>
      <w:r w:rsidR="00EB200E">
        <w:rPr>
          <w:rFonts w:cs="Times New Roman"/>
        </w:rPr>
        <w:t xml:space="preserve"> </w:t>
      </w:r>
      <w:r w:rsidRPr="00C4232D">
        <w:rPr>
          <w:rFonts w:cs="Times New Roman"/>
        </w:rPr>
        <w:t>without merit</w:t>
      </w:r>
      <w:r w:rsidR="007E6E3A" w:rsidRPr="00C4232D">
        <w:rPr>
          <w:rFonts w:cs="Times New Roman"/>
        </w:rPr>
        <w:t xml:space="preserve"> on</w:t>
      </w:r>
      <w:r w:rsidR="007E6E3A">
        <w:rPr>
          <w:rFonts w:cs="Times New Roman"/>
        </w:rPr>
        <w:t xml:space="preserve"> two counts.</w:t>
      </w:r>
      <w:r w:rsidRPr="00BB414A">
        <w:rPr>
          <w:rFonts w:cs="Times New Roman"/>
        </w:rPr>
        <w:t xml:space="preserve"> </w:t>
      </w:r>
      <w:r w:rsidR="00931237">
        <w:rPr>
          <w:rFonts w:cs="Times New Roman"/>
        </w:rPr>
        <w:t xml:space="preserve">Firstly, </w:t>
      </w:r>
      <w:r w:rsidRPr="00BB414A">
        <w:rPr>
          <w:rFonts w:cs="Times New Roman"/>
        </w:rPr>
        <w:t xml:space="preserve">Dr. Ralph Baric </w:t>
      </w:r>
      <w:r>
        <w:rPr>
          <w:rFonts w:cs="Times New Roman"/>
        </w:rPr>
        <w:t>et al.</w:t>
      </w:r>
      <w:r w:rsidRPr="00BB414A">
        <w:rPr>
          <w:rFonts w:cs="Times New Roman"/>
        </w:rPr>
        <w:t xml:space="preserve"> </w:t>
      </w:r>
      <w:r>
        <w:rPr>
          <w:rFonts w:cs="Times New Roman"/>
        </w:rPr>
        <w:t xml:space="preserve">had </w:t>
      </w:r>
      <w:r w:rsidRPr="00BB414A">
        <w:rPr>
          <w:rFonts w:cs="Times New Roman"/>
        </w:rPr>
        <w:t>create</w:t>
      </w:r>
      <w:r>
        <w:rPr>
          <w:rFonts w:cs="Times New Roman"/>
        </w:rPr>
        <w:t>d</w:t>
      </w:r>
      <w:r w:rsidRPr="00BB414A">
        <w:rPr>
          <w:rFonts w:cs="Times New Roman"/>
        </w:rPr>
        <w:t xml:space="preserve"> a method that</w:t>
      </w:r>
      <w:r w:rsidR="00972C3B">
        <w:rPr>
          <w:rFonts w:cs="Times New Roman"/>
        </w:rPr>
        <w:t xml:space="preserve"> supposedly</w:t>
      </w:r>
      <w:r w:rsidRPr="00BB414A">
        <w:rPr>
          <w:rFonts w:cs="Times New Roman"/>
        </w:rPr>
        <w:t xml:space="preserve"> </w:t>
      </w:r>
      <w:r w:rsidRPr="00363DBD">
        <w:rPr>
          <w:rFonts w:cs="Times New Roman"/>
          <w:b/>
          <w:bCs w:val="0"/>
        </w:rPr>
        <w:lastRenderedPageBreak/>
        <w:t>left no trace of genetic modification</w:t>
      </w:r>
      <w:r w:rsidRPr="00BB414A">
        <w:rPr>
          <w:rFonts w:cs="Times New Roman"/>
        </w:rPr>
        <w:t xml:space="preserve"> as early as 2005</w:t>
      </w:r>
      <w:r w:rsidR="00217413">
        <w:rPr>
          <w:rFonts w:cs="Times New Roman"/>
        </w:rPr>
        <w:t>,</w:t>
      </w:r>
      <w:r w:rsidRPr="00BB414A">
        <w:rPr>
          <w:rFonts w:cs="Times New Roman"/>
        </w:rPr>
        <w:t xml:space="preserve"> and by 2016 W</w:t>
      </w:r>
      <w:r w:rsidR="00E65307">
        <w:rPr>
          <w:rFonts w:cs="Times New Roman"/>
        </w:rPr>
        <w:t>uhan-</w:t>
      </w:r>
      <w:r w:rsidRPr="00BB414A">
        <w:rPr>
          <w:rFonts w:cs="Times New Roman"/>
        </w:rPr>
        <w:t xml:space="preserve">IV scientists </w:t>
      </w:r>
      <w:r>
        <w:rPr>
          <w:rFonts w:cs="Times New Roman"/>
        </w:rPr>
        <w:t xml:space="preserve">had </w:t>
      </w:r>
      <w:r w:rsidRPr="00BB414A">
        <w:rPr>
          <w:rFonts w:cs="Times New Roman"/>
        </w:rPr>
        <w:t xml:space="preserve">acquired </w:t>
      </w:r>
      <w:r>
        <w:rPr>
          <w:rFonts w:cs="Times New Roman"/>
        </w:rPr>
        <w:t>that</w:t>
      </w:r>
      <w:r w:rsidRPr="00BB414A">
        <w:rPr>
          <w:rFonts w:cs="Times New Roman"/>
        </w:rPr>
        <w:t xml:space="preserve"> capability</w:t>
      </w:r>
      <w:r>
        <w:rPr>
          <w:rFonts w:cs="Times New Roman"/>
        </w:rPr>
        <w:t xml:space="preserve"> (2001-2016)</w:t>
      </w:r>
      <w:r w:rsidRPr="00BB414A">
        <w:rPr>
          <w:rFonts w:cs="Times New Roman"/>
        </w:rPr>
        <w:t>.</w:t>
      </w:r>
      <w:r w:rsidRPr="005273CC">
        <w:rPr>
          <w:rStyle w:val="EndnoteReference"/>
          <w:szCs w:val="22"/>
        </w:rPr>
        <w:endnoteReference w:id="401"/>
      </w:r>
      <w:r w:rsidRPr="005273CC">
        <w:rPr>
          <w:szCs w:val="22"/>
          <w:vertAlign w:val="superscript"/>
        </w:rPr>
        <w:t>,</w:t>
      </w:r>
      <w:r w:rsidRPr="005273CC">
        <w:rPr>
          <w:rStyle w:val="EndnoteReference"/>
          <w:szCs w:val="22"/>
        </w:rPr>
        <w:endnoteReference w:id="402"/>
      </w:r>
      <w:r>
        <w:rPr>
          <w:szCs w:val="22"/>
          <w:vertAlign w:val="superscript"/>
        </w:rPr>
        <w:t>,</w:t>
      </w:r>
      <w:r w:rsidRPr="005273CC">
        <w:rPr>
          <w:rStyle w:val="EndnoteReference"/>
          <w:szCs w:val="22"/>
        </w:rPr>
        <w:endnoteReference w:id="403"/>
      </w:r>
      <w:r w:rsidRPr="005273CC">
        <w:rPr>
          <w:szCs w:val="22"/>
          <w:vertAlign w:val="superscript"/>
        </w:rPr>
        <w:t>,</w:t>
      </w:r>
      <w:r w:rsidRPr="005273CC">
        <w:rPr>
          <w:rStyle w:val="EndnoteReference"/>
          <w:szCs w:val="22"/>
        </w:rPr>
        <w:endnoteReference w:id="404"/>
      </w:r>
      <w:r>
        <w:rPr>
          <w:szCs w:val="22"/>
          <w:vertAlign w:val="superscript"/>
        </w:rPr>
        <w:t>,</w:t>
      </w:r>
      <w:r w:rsidRPr="005273CC">
        <w:rPr>
          <w:rStyle w:val="EndnoteReference"/>
          <w:szCs w:val="22"/>
        </w:rPr>
        <w:endnoteReference w:id="405"/>
      </w:r>
      <w:r>
        <w:rPr>
          <w:rFonts w:cs="Times New Roman"/>
        </w:rPr>
        <w:t xml:space="preserve"> SARS-CoV-2’s </w:t>
      </w:r>
      <w:r>
        <w:rPr>
          <w:szCs w:val="22"/>
        </w:rPr>
        <w:t>furin cleavage site and other functional sequences described below c</w:t>
      </w:r>
      <w:r w:rsidRPr="00440C29">
        <w:rPr>
          <w:szCs w:val="22"/>
        </w:rPr>
        <w:t xml:space="preserve">ould have been added </w:t>
      </w:r>
      <w:r>
        <w:rPr>
          <w:szCs w:val="22"/>
        </w:rPr>
        <w:t xml:space="preserve">using established </w:t>
      </w:r>
      <w:r w:rsidR="00B43DCA">
        <w:rPr>
          <w:szCs w:val="22"/>
        </w:rPr>
        <w:t>patented</w:t>
      </w:r>
      <w:r w:rsidRPr="00440C29">
        <w:rPr>
          <w:szCs w:val="22"/>
        </w:rPr>
        <w:t xml:space="preserve"> know-how</w:t>
      </w:r>
      <w:r>
        <w:rPr>
          <w:szCs w:val="22"/>
        </w:rPr>
        <w:t xml:space="preserve"> (2005)</w:t>
      </w:r>
      <w:r w:rsidRPr="00440C29">
        <w:rPr>
          <w:szCs w:val="22"/>
        </w:rPr>
        <w:t>,</w:t>
      </w:r>
      <w:r w:rsidRPr="00440C29">
        <w:rPr>
          <w:rStyle w:val="EndnoteReference"/>
          <w:szCs w:val="22"/>
        </w:rPr>
        <w:endnoteReference w:id="406"/>
      </w:r>
      <w:r w:rsidRPr="00440C29">
        <w:rPr>
          <w:szCs w:val="22"/>
        </w:rPr>
        <w:t xml:space="preserve"> combined with </w:t>
      </w:r>
      <w:r>
        <w:rPr>
          <w:szCs w:val="22"/>
        </w:rPr>
        <w:t xml:space="preserve">the prior cited </w:t>
      </w:r>
      <w:r w:rsidRPr="00612DEF">
        <w:rPr>
          <w:szCs w:val="22"/>
        </w:rPr>
        <w:t>traceless genetic modification</w:t>
      </w:r>
      <w:r w:rsidRPr="00440C29">
        <w:rPr>
          <w:szCs w:val="22"/>
        </w:rPr>
        <w:t xml:space="preserve"> and recombinant coronavirus methods,</w:t>
      </w:r>
      <w:r>
        <w:rPr>
          <w:szCs w:val="22"/>
          <w:vertAlign w:val="superscript"/>
        </w:rPr>
        <w:t xml:space="preserve"> </w:t>
      </w:r>
      <w:r>
        <w:rPr>
          <w:szCs w:val="22"/>
        </w:rPr>
        <w:t>and</w:t>
      </w:r>
      <w:r w:rsidRPr="00440C29">
        <w:rPr>
          <w:szCs w:val="22"/>
        </w:rPr>
        <w:t xml:space="preserve"> other patented </w:t>
      </w:r>
      <w:r>
        <w:rPr>
          <w:szCs w:val="22"/>
        </w:rPr>
        <w:t>methods</w:t>
      </w:r>
      <w:r w:rsidRPr="00440C29">
        <w:rPr>
          <w:szCs w:val="22"/>
        </w:rPr>
        <w:t xml:space="preserve"> covered by 4,000+ coronavirus patents.</w:t>
      </w:r>
      <w:r w:rsidRPr="00440C29">
        <w:rPr>
          <w:rStyle w:val="EndnoteReference"/>
          <w:szCs w:val="22"/>
        </w:rPr>
        <w:endnoteReference w:id="407"/>
      </w:r>
      <w:r w:rsidR="00972C3B">
        <w:rPr>
          <w:szCs w:val="22"/>
        </w:rPr>
        <w:t xml:space="preserve"> </w:t>
      </w:r>
      <w:r w:rsidR="00931237">
        <w:rPr>
          <w:szCs w:val="22"/>
        </w:rPr>
        <w:t>Secondly</w:t>
      </w:r>
      <w:r w:rsidR="00972C3B">
        <w:rPr>
          <w:szCs w:val="22"/>
        </w:rPr>
        <w:t>, according to a recent preprint</w:t>
      </w:r>
      <w:r w:rsidR="00217413">
        <w:rPr>
          <w:szCs w:val="22"/>
        </w:rPr>
        <w:t>,</w:t>
      </w:r>
      <w:r w:rsidR="00972C3B">
        <w:rPr>
          <w:szCs w:val="22"/>
        </w:rPr>
        <w:t xml:space="preserve"> </w:t>
      </w:r>
      <w:r w:rsidR="00217413">
        <w:rPr>
          <w:szCs w:val="22"/>
        </w:rPr>
        <w:t xml:space="preserve">the </w:t>
      </w:r>
      <w:r w:rsidR="00972C3B" w:rsidRPr="00972C3B">
        <w:rPr>
          <w:szCs w:val="22"/>
        </w:rPr>
        <w:t>SARS-C</w:t>
      </w:r>
      <w:r w:rsidR="00972C3B">
        <w:rPr>
          <w:szCs w:val="22"/>
        </w:rPr>
        <w:t>o</w:t>
      </w:r>
      <w:r w:rsidR="00972C3B" w:rsidRPr="00972C3B">
        <w:rPr>
          <w:szCs w:val="22"/>
        </w:rPr>
        <w:t xml:space="preserve">V-2 </w:t>
      </w:r>
      <w:r w:rsidR="00931237" w:rsidRPr="00972C3B">
        <w:rPr>
          <w:szCs w:val="22"/>
        </w:rPr>
        <w:t xml:space="preserve">genome </w:t>
      </w:r>
      <w:r w:rsidR="00972C3B" w:rsidRPr="00972C3B">
        <w:rPr>
          <w:szCs w:val="22"/>
        </w:rPr>
        <w:t xml:space="preserve">contains </w:t>
      </w:r>
      <w:r w:rsidR="00217413">
        <w:rPr>
          <w:szCs w:val="22"/>
        </w:rPr>
        <w:t>a</w:t>
      </w:r>
      <w:r w:rsidR="00931237">
        <w:rPr>
          <w:szCs w:val="22"/>
        </w:rPr>
        <w:t xml:space="preserve"> </w:t>
      </w:r>
      <w:r w:rsidR="00972C3B" w:rsidRPr="00972C3B">
        <w:rPr>
          <w:szCs w:val="22"/>
        </w:rPr>
        <w:t xml:space="preserve">pattern of </w:t>
      </w:r>
      <w:r w:rsidR="00972C3B" w:rsidRPr="007E6E3A">
        <w:rPr>
          <w:b/>
          <w:bCs w:val="0"/>
          <w:szCs w:val="22"/>
        </w:rPr>
        <w:t>unique restriction endonuclease recognition sites</w:t>
      </w:r>
      <w:r w:rsidR="00972C3B">
        <w:rPr>
          <w:szCs w:val="22"/>
        </w:rPr>
        <w:t xml:space="preserve">, which permit </w:t>
      </w:r>
      <w:r w:rsidR="00972C3B" w:rsidRPr="00972C3B">
        <w:rPr>
          <w:szCs w:val="22"/>
        </w:rPr>
        <w:t xml:space="preserve">efficient dis- and re-assembly of </w:t>
      </w:r>
      <w:r w:rsidR="00E65307">
        <w:rPr>
          <w:szCs w:val="22"/>
        </w:rPr>
        <w:t>a</w:t>
      </w:r>
      <w:r w:rsidR="00972C3B" w:rsidRPr="00972C3B">
        <w:rPr>
          <w:szCs w:val="22"/>
        </w:rPr>
        <w:t xml:space="preserve"> viral genome </w:t>
      </w:r>
      <w:r w:rsidR="00DB5678">
        <w:rPr>
          <w:szCs w:val="22"/>
        </w:rPr>
        <w:t>typical</w:t>
      </w:r>
      <w:r w:rsidR="00972C3B" w:rsidRPr="00972C3B">
        <w:rPr>
          <w:szCs w:val="22"/>
        </w:rPr>
        <w:t xml:space="preserve"> of </w:t>
      </w:r>
      <w:r w:rsidR="00972C3B">
        <w:rPr>
          <w:szCs w:val="22"/>
        </w:rPr>
        <w:t xml:space="preserve">a reverse genetic system </w:t>
      </w:r>
      <w:r w:rsidR="00DB5678">
        <w:rPr>
          <w:szCs w:val="22"/>
        </w:rPr>
        <w:t>and</w:t>
      </w:r>
      <w:r w:rsidR="00972C3B">
        <w:rPr>
          <w:szCs w:val="22"/>
        </w:rPr>
        <w:t xml:space="preserve"> </w:t>
      </w:r>
      <w:r w:rsidR="00972C3B" w:rsidRPr="00972C3B">
        <w:rPr>
          <w:szCs w:val="22"/>
        </w:rPr>
        <w:t>synthetic virus.</w:t>
      </w:r>
      <w:r w:rsidR="00DB5678">
        <w:rPr>
          <w:szCs w:val="22"/>
        </w:rPr>
        <w:t xml:space="preserve"> </w:t>
      </w:r>
      <w:r w:rsidR="00931237">
        <w:rPr>
          <w:szCs w:val="22"/>
        </w:rPr>
        <w:t>It was</w:t>
      </w:r>
      <w:r w:rsidR="00DB5678">
        <w:rPr>
          <w:szCs w:val="22"/>
        </w:rPr>
        <w:t xml:space="preserve"> concluded </w:t>
      </w:r>
      <w:r w:rsidR="00217413">
        <w:rPr>
          <w:szCs w:val="22"/>
        </w:rPr>
        <w:t xml:space="preserve">that </w:t>
      </w:r>
      <w:r w:rsidR="00DB5678" w:rsidRPr="00DB5678">
        <w:rPr>
          <w:szCs w:val="22"/>
        </w:rPr>
        <w:t xml:space="preserve">SARS-CoV-2 </w:t>
      </w:r>
      <w:r w:rsidR="00DB5678">
        <w:rPr>
          <w:szCs w:val="22"/>
        </w:rPr>
        <w:t>was</w:t>
      </w:r>
      <w:r w:rsidR="00DB5678" w:rsidRPr="00DB5678">
        <w:rPr>
          <w:szCs w:val="22"/>
        </w:rPr>
        <w:t xml:space="preserve"> </w:t>
      </w:r>
      <w:r w:rsidR="007E6E3A">
        <w:rPr>
          <w:szCs w:val="22"/>
        </w:rPr>
        <w:t xml:space="preserve">probably </w:t>
      </w:r>
      <w:r w:rsidR="00DB5678" w:rsidRPr="00DB5678">
        <w:rPr>
          <w:szCs w:val="22"/>
        </w:rPr>
        <w:t xml:space="preserve">an infectious clone </w:t>
      </w:r>
      <w:r w:rsidR="00DB5678" w:rsidRPr="008D2072">
        <w:rPr>
          <w:b/>
          <w:bCs w:val="0"/>
          <w:szCs w:val="22"/>
        </w:rPr>
        <w:t>made in the lab</w:t>
      </w:r>
      <w:r w:rsidR="00DB5678" w:rsidRPr="00DB5678">
        <w:rPr>
          <w:szCs w:val="22"/>
        </w:rPr>
        <w:t>.</w:t>
      </w:r>
      <w:r w:rsidR="00972C3B">
        <w:rPr>
          <w:rStyle w:val="EndnoteReference"/>
          <w:szCs w:val="22"/>
        </w:rPr>
        <w:endnoteReference w:id="408"/>
      </w:r>
    </w:p>
    <w:p w14:paraId="15A83120" w14:textId="58458BF8" w:rsidR="00E01616" w:rsidRPr="00CE57E9" w:rsidRDefault="00E01616" w:rsidP="00894214">
      <w:pPr>
        <w:rPr>
          <w:szCs w:val="22"/>
        </w:rPr>
      </w:pPr>
      <w:r w:rsidRPr="003A30B9">
        <w:rPr>
          <w:szCs w:val="22"/>
        </w:rPr>
        <w:t xml:space="preserve">SARS-CoV-2 spike protein and its receptor binding domain (RBD) have some unique biomolecular features </w:t>
      </w:r>
      <w:r w:rsidRPr="003A30B9">
        <w:rPr>
          <w:b/>
        </w:rPr>
        <w:t>without evolutionary precedent</w:t>
      </w:r>
      <w:r w:rsidRPr="003A30B9">
        <w:rPr>
          <w:bCs w:val="0"/>
        </w:rPr>
        <w:t xml:space="preserve"> </w:t>
      </w:r>
      <w:r w:rsidRPr="003A30B9">
        <w:t>among</w:t>
      </w:r>
      <w:r w:rsidR="00CE57E9">
        <w:t xml:space="preserve"> </w:t>
      </w:r>
      <w:r w:rsidR="00CE57E9" w:rsidRPr="00CE611F">
        <w:rPr>
          <w:b/>
          <w:bCs w:val="0"/>
        </w:rPr>
        <w:t>(1)</w:t>
      </w:r>
      <w:r w:rsidR="00CE57E9">
        <w:t xml:space="preserve"> </w:t>
      </w:r>
      <w:r w:rsidRPr="003A30B9">
        <w:t xml:space="preserve">all B-lineage beta-coronaviruses (i.e., </w:t>
      </w:r>
      <w:r w:rsidRPr="003A30B9">
        <w:rPr>
          <w:i/>
        </w:rPr>
        <w:t>furin cleavage site, or FCS</w:t>
      </w:r>
      <w:r w:rsidRPr="003A30B9">
        <w:t xml:space="preserve">), or </w:t>
      </w:r>
      <w:r w:rsidR="00CE57E9" w:rsidRPr="00CE611F">
        <w:rPr>
          <w:b/>
          <w:bCs w:val="0"/>
        </w:rPr>
        <w:t>(2)</w:t>
      </w:r>
      <w:r w:rsidR="00CE57E9">
        <w:t xml:space="preserve"> </w:t>
      </w:r>
      <w:r w:rsidRPr="003A30B9">
        <w:t xml:space="preserve">all coronaviruses (i.e., </w:t>
      </w:r>
      <w:r w:rsidRPr="003A30B9">
        <w:rPr>
          <w:i/>
        </w:rPr>
        <w:t>HIV-1 sequences</w:t>
      </w:r>
      <w:r w:rsidRPr="003A30B9">
        <w:rPr>
          <w:szCs w:val="22"/>
        </w:rPr>
        <w:t>)</w:t>
      </w:r>
      <w:r w:rsidR="00B708CB">
        <w:rPr>
          <w:szCs w:val="22"/>
        </w:rPr>
        <w:t xml:space="preserve">, or </w:t>
      </w:r>
      <w:r w:rsidR="00CE57E9" w:rsidRPr="00CE611F">
        <w:rPr>
          <w:b/>
          <w:bCs w:val="0"/>
          <w:szCs w:val="22"/>
        </w:rPr>
        <w:t>(3)</w:t>
      </w:r>
      <w:r w:rsidR="00CE57E9">
        <w:rPr>
          <w:szCs w:val="22"/>
        </w:rPr>
        <w:t xml:space="preserve"> in </w:t>
      </w:r>
      <w:r w:rsidR="00B708CB">
        <w:rPr>
          <w:szCs w:val="22"/>
        </w:rPr>
        <w:t xml:space="preserve">all </w:t>
      </w:r>
      <w:r w:rsidR="00CE57E9">
        <w:rPr>
          <w:szCs w:val="22"/>
        </w:rPr>
        <w:t>viruses</w:t>
      </w:r>
      <w:r w:rsidR="00A47E55">
        <w:rPr>
          <w:szCs w:val="22"/>
        </w:rPr>
        <w:t>,</w:t>
      </w:r>
      <w:r w:rsidR="00CE57E9">
        <w:rPr>
          <w:szCs w:val="22"/>
        </w:rPr>
        <w:t xml:space="preserve"> </w:t>
      </w:r>
      <w:r w:rsidR="00A47E55">
        <w:rPr>
          <w:szCs w:val="22"/>
        </w:rPr>
        <w:t xml:space="preserve">and all viruses </w:t>
      </w:r>
      <w:r w:rsidR="00E11474">
        <w:rPr>
          <w:szCs w:val="22"/>
        </w:rPr>
        <w:t xml:space="preserve">that are </w:t>
      </w:r>
      <w:r w:rsidR="00CE57E9">
        <w:rPr>
          <w:szCs w:val="22"/>
        </w:rPr>
        <w:t>known to contain a</w:t>
      </w:r>
      <w:r w:rsidR="00B708CB">
        <w:rPr>
          <w:szCs w:val="22"/>
        </w:rPr>
        <w:t xml:space="preserve"> </w:t>
      </w:r>
      <w:r w:rsidR="00CE57E9" w:rsidRPr="004B4616">
        <w:rPr>
          <w:szCs w:val="22"/>
        </w:rPr>
        <w:t>furin cleavage site</w:t>
      </w:r>
      <w:r w:rsidR="00CE57E9">
        <w:rPr>
          <w:szCs w:val="22"/>
        </w:rPr>
        <w:t xml:space="preserve"> </w:t>
      </w:r>
      <w:r w:rsidR="00B708CB">
        <w:rPr>
          <w:szCs w:val="22"/>
        </w:rPr>
        <w:t>(</w:t>
      </w:r>
      <w:r w:rsidR="00CE57E9">
        <w:rPr>
          <w:szCs w:val="22"/>
        </w:rPr>
        <w:t xml:space="preserve">i.e., </w:t>
      </w:r>
      <w:r w:rsidR="00E11474">
        <w:rPr>
          <w:i/>
          <w:iCs/>
          <w:szCs w:val="22"/>
        </w:rPr>
        <w:t>A 2-in-1</w:t>
      </w:r>
      <w:r w:rsidR="00E11474" w:rsidRPr="00363443">
        <w:rPr>
          <w:i/>
          <w:iCs/>
          <w:szCs w:val="22"/>
        </w:rPr>
        <w:t xml:space="preserve"> </w:t>
      </w:r>
      <w:r w:rsidR="00E11474">
        <w:rPr>
          <w:i/>
          <w:iCs/>
          <w:szCs w:val="22"/>
        </w:rPr>
        <w:t>FCS</w:t>
      </w:r>
      <w:r w:rsidR="00E11474" w:rsidRPr="00363443">
        <w:rPr>
          <w:i/>
          <w:iCs/>
          <w:szCs w:val="22"/>
        </w:rPr>
        <w:t xml:space="preserve"> </w:t>
      </w:r>
      <w:r w:rsidR="00E11474">
        <w:rPr>
          <w:i/>
          <w:iCs/>
          <w:szCs w:val="22"/>
        </w:rPr>
        <w:t>comprising</w:t>
      </w:r>
      <w:r w:rsidR="00E11474" w:rsidRPr="00363443">
        <w:rPr>
          <w:i/>
          <w:iCs/>
          <w:szCs w:val="22"/>
        </w:rPr>
        <w:t xml:space="preserve"> </w:t>
      </w:r>
      <w:r w:rsidR="00E11474">
        <w:rPr>
          <w:i/>
          <w:iCs/>
          <w:szCs w:val="22"/>
        </w:rPr>
        <w:t>a uniquely encoded</w:t>
      </w:r>
      <w:r w:rsidR="00E11474" w:rsidRPr="00363443">
        <w:rPr>
          <w:i/>
          <w:iCs/>
          <w:szCs w:val="22"/>
        </w:rPr>
        <w:t xml:space="preserve"> </w:t>
      </w:r>
      <w:r w:rsidR="00E11474">
        <w:rPr>
          <w:i/>
          <w:iCs/>
          <w:szCs w:val="22"/>
        </w:rPr>
        <w:t>A</w:t>
      </w:r>
      <w:r w:rsidR="00E11474" w:rsidRPr="00363443">
        <w:rPr>
          <w:i/>
          <w:iCs/>
          <w:szCs w:val="22"/>
        </w:rPr>
        <w:t>rginine doublet</w:t>
      </w:r>
      <w:r w:rsidR="00E11474">
        <w:rPr>
          <w:i/>
          <w:iCs/>
          <w:szCs w:val="22"/>
        </w:rPr>
        <w:t xml:space="preserve"> contained within a longer nuclear localization signal motif.</w:t>
      </w:r>
      <w:r w:rsidR="00E11474" w:rsidRPr="001E479F">
        <w:rPr>
          <w:i/>
          <w:iCs/>
        </w:rPr>
        <w:t xml:space="preserve"> </w:t>
      </w:r>
      <w:r w:rsidR="00E11474">
        <w:rPr>
          <w:i/>
          <w:iCs/>
        </w:rPr>
        <w:t>A</w:t>
      </w:r>
      <w:r w:rsidR="00A47E55" w:rsidRPr="001E479F">
        <w:rPr>
          <w:i/>
          <w:iCs/>
        </w:rPr>
        <w:t xml:space="preserve"> </w:t>
      </w:r>
      <w:r w:rsidR="00A47E55" w:rsidRPr="001E479F">
        <w:rPr>
          <w:i/>
          <w:iCs/>
          <w:szCs w:val="22"/>
        </w:rPr>
        <w:t xml:space="preserve">Moderna patented </w:t>
      </w:r>
      <w:r w:rsidR="00A47E55">
        <w:rPr>
          <w:i/>
          <w:iCs/>
          <w:szCs w:val="22"/>
        </w:rPr>
        <w:t>a</w:t>
      </w:r>
      <w:r w:rsidR="00A47E55" w:rsidRPr="00894214">
        <w:rPr>
          <w:i/>
          <w:iCs/>
          <w:szCs w:val="22"/>
        </w:rPr>
        <w:t xml:space="preserve">rtificial sequence </w:t>
      </w:r>
      <w:r w:rsidR="00A47E55" w:rsidRPr="001E479F">
        <w:rPr>
          <w:i/>
          <w:iCs/>
          <w:szCs w:val="22"/>
        </w:rPr>
        <w:t xml:space="preserve">containing a 19-nucleotide </w:t>
      </w:r>
      <w:r w:rsidR="00A47E55">
        <w:rPr>
          <w:i/>
          <w:iCs/>
          <w:szCs w:val="22"/>
        </w:rPr>
        <w:t xml:space="preserve">sequence, which is the </w:t>
      </w:r>
      <w:r w:rsidR="00A47E55" w:rsidRPr="001E479F">
        <w:rPr>
          <w:i/>
          <w:iCs/>
          <w:szCs w:val="22"/>
        </w:rPr>
        <w:t xml:space="preserve">reverse complement </w:t>
      </w:r>
      <w:r w:rsidR="00A47E55">
        <w:rPr>
          <w:i/>
          <w:iCs/>
          <w:szCs w:val="22"/>
        </w:rPr>
        <w:t>of a</w:t>
      </w:r>
      <w:r w:rsidR="00E11474">
        <w:rPr>
          <w:i/>
          <w:iCs/>
          <w:szCs w:val="22"/>
        </w:rPr>
        <w:t xml:space="preserve"> virus-unprecedented</w:t>
      </w:r>
      <w:r w:rsidR="00A47E55">
        <w:rPr>
          <w:i/>
          <w:iCs/>
          <w:szCs w:val="22"/>
        </w:rPr>
        <w:t xml:space="preserve"> </w:t>
      </w:r>
      <w:r w:rsidR="00E11474">
        <w:rPr>
          <w:i/>
          <w:iCs/>
          <w:szCs w:val="22"/>
        </w:rPr>
        <w:t>19-nucleotide</w:t>
      </w:r>
      <w:r w:rsidR="00A47E55">
        <w:rPr>
          <w:i/>
          <w:iCs/>
          <w:szCs w:val="22"/>
        </w:rPr>
        <w:t xml:space="preserve"> sequence containing and flanking </w:t>
      </w:r>
      <w:r w:rsidR="00A47E55" w:rsidRPr="001E479F">
        <w:rPr>
          <w:i/>
          <w:iCs/>
          <w:szCs w:val="22"/>
        </w:rPr>
        <w:t>the FCS</w:t>
      </w:r>
      <w:r w:rsidR="00E11474">
        <w:rPr>
          <w:i/>
          <w:iCs/>
          <w:szCs w:val="22"/>
        </w:rPr>
        <w:t>.</w:t>
      </w:r>
      <w:r w:rsidR="00CE57E9">
        <w:rPr>
          <w:szCs w:val="22"/>
        </w:rPr>
        <w:t>)</w:t>
      </w:r>
      <w:r w:rsidRPr="003A30B9">
        <w:rPr>
          <w:szCs w:val="22"/>
        </w:rPr>
        <w:t xml:space="preserve">. These </w:t>
      </w:r>
      <w:r w:rsidR="00363443">
        <w:rPr>
          <w:szCs w:val="22"/>
        </w:rPr>
        <w:t>features</w:t>
      </w:r>
      <w:r w:rsidRPr="003A30B9">
        <w:rPr>
          <w:szCs w:val="22"/>
        </w:rPr>
        <w:t xml:space="preserve"> </w:t>
      </w:r>
      <w:r w:rsidR="004572A4">
        <w:rPr>
          <w:szCs w:val="22"/>
        </w:rPr>
        <w:t xml:space="preserve">(cited below) </w:t>
      </w:r>
      <w:r w:rsidRPr="003A30B9">
        <w:t>increased human-ACE2-receptor binding affinity 10-20-fold over the human-infecting SARS-CoV</w:t>
      </w:r>
      <w:r w:rsidR="00CE611F">
        <w:t>-1</w:t>
      </w:r>
      <w:r w:rsidRPr="003A30B9">
        <w:t xml:space="preserve"> (2002)</w:t>
      </w:r>
      <w:r w:rsidR="00641F2C">
        <w:t xml:space="preserve"> and were </w:t>
      </w:r>
      <w:r w:rsidR="00217413">
        <w:t>critical</w:t>
      </w:r>
      <w:r w:rsidR="00641F2C">
        <w:t xml:space="preserve"> to its </w:t>
      </w:r>
      <w:r w:rsidR="00CE57E9">
        <w:t xml:space="preserve">infectivity and </w:t>
      </w:r>
      <w:r w:rsidR="00641F2C">
        <w:t>pathogenicity</w:t>
      </w:r>
      <w:r w:rsidRPr="003A30B9">
        <w:rPr>
          <w:szCs w:val="22"/>
        </w:rPr>
        <w:t>.</w:t>
      </w:r>
      <w:r w:rsidRPr="003A30B9">
        <w:rPr>
          <w:rStyle w:val="EndnoteReference"/>
        </w:rPr>
        <w:endnoteReference w:id="409"/>
      </w:r>
      <w:r w:rsidRPr="003A30B9">
        <w:rPr>
          <w:vertAlign w:val="superscript"/>
        </w:rPr>
        <w:t>,</w:t>
      </w:r>
      <w:r w:rsidRPr="003A30B9">
        <w:rPr>
          <w:rStyle w:val="EndnoteReference"/>
        </w:rPr>
        <w:endnoteReference w:id="410"/>
      </w:r>
      <w:r w:rsidRPr="003A30B9">
        <w:rPr>
          <w:rStyle w:val="EndnoteReference"/>
          <w:szCs w:val="22"/>
        </w:rPr>
        <w:t xml:space="preserve"> </w:t>
      </w:r>
      <w:r w:rsidRPr="003A30B9">
        <w:t xml:space="preserve">The spike protein and its RBD is the same part of the virus that researchers like </w:t>
      </w:r>
      <w:r w:rsidR="00906E8C" w:rsidRPr="003A30B9">
        <w:t>Dr. Peter Daszak</w:t>
      </w:r>
      <w:r w:rsidR="00906E8C">
        <w:t xml:space="preserve"> (EcoHealth Alliance)</w:t>
      </w:r>
      <w:r w:rsidR="00906E8C" w:rsidRPr="003A30B9">
        <w:t xml:space="preserve">, </w:t>
      </w:r>
      <w:r w:rsidR="00E65307" w:rsidRPr="003A30B9">
        <w:t xml:space="preserve">Dr. Ralph Baric </w:t>
      </w:r>
      <w:r w:rsidR="00E65307">
        <w:t>and</w:t>
      </w:r>
      <w:r w:rsidR="00E65307" w:rsidRPr="003A30B9">
        <w:t xml:space="preserve"> colleagues, </w:t>
      </w:r>
      <w:r w:rsidR="00E65307">
        <w:t xml:space="preserve">and </w:t>
      </w:r>
      <w:r w:rsidRPr="003A30B9">
        <w:t>Dr. Zheng-Li Shi and colleagues, among other researchers</w:t>
      </w:r>
      <w:r w:rsidR="007F78B8">
        <w:t>,</w:t>
      </w:r>
      <w:r w:rsidRPr="003A30B9">
        <w:t xml:space="preserve"> were </w:t>
      </w:r>
      <w:r w:rsidRPr="003A30B9">
        <w:rPr>
          <w:b/>
          <w:bCs w:val="0"/>
        </w:rPr>
        <w:t>genetically modifying</w:t>
      </w:r>
      <w:r w:rsidRPr="003A30B9">
        <w:t xml:space="preserve"> and replacing </w:t>
      </w:r>
      <w:r w:rsidR="00906E8C">
        <w:t>since</w:t>
      </w:r>
      <w:r w:rsidR="00257F5E">
        <w:t xml:space="preserve"> at least</w:t>
      </w:r>
      <w:r w:rsidRPr="003A30B9">
        <w:t xml:space="preserve"> 2015.</w:t>
      </w:r>
    </w:p>
    <w:p w14:paraId="34442048" w14:textId="03FB3647" w:rsidR="00817EC2" w:rsidRDefault="00817EC2" w:rsidP="004C5C79">
      <w:pPr>
        <w:pStyle w:val="Heading3"/>
      </w:pPr>
      <w:bookmarkStart w:id="198" w:name="_Toc121035147"/>
      <w:r>
        <w:t>SARS-CoV-2</w:t>
      </w:r>
      <w:r w:rsidR="00A92F34">
        <w:t xml:space="preserve"> Spike Protein</w:t>
      </w:r>
      <w:r w:rsidR="00A77013">
        <w:t>’s</w:t>
      </w:r>
      <w:r>
        <w:t xml:space="preserve"> </w:t>
      </w:r>
      <w:r w:rsidR="00217413">
        <w:t xml:space="preserve">Unique </w:t>
      </w:r>
      <w:r w:rsidR="007F78B8">
        <w:t>2-</w:t>
      </w:r>
      <w:r w:rsidR="00906E8C">
        <w:t>in</w:t>
      </w:r>
      <w:r w:rsidR="007F78B8">
        <w:t xml:space="preserve">-1 </w:t>
      </w:r>
      <w:r>
        <w:t xml:space="preserve">Furin Cleavage Site </w:t>
      </w:r>
      <w:r w:rsidR="007F78B8">
        <w:t>and Nuclear L</w:t>
      </w:r>
      <w:r w:rsidR="007F78B8" w:rsidRPr="007F78B8">
        <w:t xml:space="preserve">ocalization </w:t>
      </w:r>
      <w:r w:rsidR="007F78B8">
        <w:t>S</w:t>
      </w:r>
      <w:r w:rsidR="007F78B8" w:rsidRPr="007F78B8">
        <w:t>ignal</w:t>
      </w:r>
      <w:r w:rsidR="00906E8C">
        <w:t xml:space="preserve"> </w:t>
      </w:r>
      <w:r w:rsidR="00040C3D">
        <w:t xml:space="preserve">are </w:t>
      </w:r>
      <w:r w:rsidR="00906E8C">
        <w:t>Unprecedented</w:t>
      </w:r>
      <w:r w:rsidR="00040C3D">
        <w:t xml:space="preserve"> </w:t>
      </w:r>
      <w:r w:rsidR="00217413">
        <w:t xml:space="preserve">in Nature </w:t>
      </w:r>
      <w:r w:rsidR="00040C3D">
        <w:t>and</w:t>
      </w:r>
      <w:r w:rsidR="00A77013">
        <w:t xml:space="preserve"> </w:t>
      </w:r>
      <w:r w:rsidR="0072040C">
        <w:t xml:space="preserve">Potentially </w:t>
      </w:r>
      <w:r w:rsidR="00217413">
        <w:t>Infringe</w:t>
      </w:r>
      <w:r w:rsidR="00A77013">
        <w:t xml:space="preserve"> Patents</w:t>
      </w:r>
      <w:bookmarkEnd w:id="198"/>
    </w:p>
    <w:p w14:paraId="12124820" w14:textId="1FFC9E68" w:rsidR="00A53974" w:rsidRPr="00A47E55" w:rsidRDefault="00641F2C" w:rsidP="00A47E55">
      <w:pPr>
        <w:rPr>
          <w:szCs w:val="22"/>
        </w:rPr>
      </w:pPr>
      <w:r w:rsidRPr="00A47E55">
        <w:rPr>
          <w:szCs w:val="22"/>
        </w:rPr>
        <w:t xml:space="preserve">The addition of </w:t>
      </w:r>
      <w:r w:rsidR="002774E0" w:rsidRPr="00A47E55">
        <w:rPr>
          <w:szCs w:val="22"/>
        </w:rPr>
        <w:t>a</w:t>
      </w:r>
      <w:r w:rsidRPr="00A47E55">
        <w:rPr>
          <w:szCs w:val="22"/>
        </w:rPr>
        <w:t xml:space="preserve"> </w:t>
      </w:r>
      <w:r w:rsidR="002774E0" w:rsidRPr="00A47E55">
        <w:rPr>
          <w:szCs w:val="22"/>
        </w:rPr>
        <w:t>furin cleavage site</w:t>
      </w:r>
      <w:r w:rsidRPr="00A47E55">
        <w:rPr>
          <w:szCs w:val="22"/>
        </w:rPr>
        <w:t xml:space="preserve"> to SARS-CoV-2’s progenitor was potentially inspired by its natural use by highly pathogenic HIV, Ebola, and Marburg viruses.</w:t>
      </w:r>
      <w:r w:rsidRPr="00A47E55">
        <w:rPr>
          <w:rStyle w:val="EndnoteReference"/>
          <w:szCs w:val="22"/>
        </w:rPr>
        <w:endnoteReference w:id="411"/>
      </w:r>
      <w:r w:rsidRPr="00A47E55">
        <w:rPr>
          <w:szCs w:val="22"/>
        </w:rPr>
        <w:t xml:space="preserve"> Furin is a cell membrane-bound protease utilized by SARS-COV-2 to cleave the spike protein S1 and S2 sub-units at the FCS to activate ACE2-mediated cell entry. Furin determines SARS-CoV-2 species range, human transmissibility,</w:t>
      </w:r>
      <w:r w:rsidRPr="00A47E55">
        <w:rPr>
          <w:rStyle w:val="EndnoteReference"/>
          <w:szCs w:val="22"/>
        </w:rPr>
        <w:endnoteReference w:id="412"/>
      </w:r>
      <w:r w:rsidRPr="00A47E55">
        <w:rPr>
          <w:szCs w:val="22"/>
        </w:rPr>
        <w:t xml:space="preserve"> and pathogenesis.</w:t>
      </w:r>
      <w:r w:rsidR="00B91305" w:rsidRPr="00A47E55">
        <w:rPr>
          <w:rStyle w:val="EndnoteReference"/>
          <w:szCs w:val="22"/>
        </w:rPr>
        <w:endnoteReference w:id="413"/>
      </w:r>
      <w:r w:rsidR="00B91305" w:rsidRPr="00A47E55">
        <w:rPr>
          <w:szCs w:val="22"/>
          <w:vertAlign w:val="superscript"/>
        </w:rPr>
        <w:t>,</w:t>
      </w:r>
      <w:r w:rsidR="00B91305" w:rsidRPr="00A47E55">
        <w:rPr>
          <w:rStyle w:val="EndnoteReference"/>
          <w:szCs w:val="22"/>
        </w:rPr>
        <w:endnoteReference w:id="414"/>
      </w:r>
      <w:r w:rsidRPr="00A47E55">
        <w:rPr>
          <w:szCs w:val="22"/>
        </w:rPr>
        <w:t xml:space="preserve"> </w:t>
      </w:r>
      <w:r w:rsidRPr="00857835">
        <w:rPr>
          <w:b/>
          <w:bCs w:val="0"/>
          <w:szCs w:val="22"/>
        </w:rPr>
        <w:t>Increased serum furin levels</w:t>
      </w:r>
      <w:r w:rsidRPr="00A47E55">
        <w:rPr>
          <w:szCs w:val="22"/>
        </w:rPr>
        <w:t xml:space="preserve"> are evident in obese and diabetic patients, males, </w:t>
      </w:r>
      <w:r w:rsidR="00217413">
        <w:rPr>
          <w:szCs w:val="22"/>
        </w:rPr>
        <w:t xml:space="preserve">and </w:t>
      </w:r>
      <w:r w:rsidRPr="00857835">
        <w:rPr>
          <w:b/>
          <w:bCs w:val="0"/>
          <w:szCs w:val="22"/>
        </w:rPr>
        <w:t>the elderly</w:t>
      </w:r>
      <w:r w:rsidRPr="00A47E55">
        <w:rPr>
          <w:szCs w:val="22"/>
        </w:rPr>
        <w:t xml:space="preserve">, </w:t>
      </w:r>
      <w:r w:rsidR="00F45406">
        <w:rPr>
          <w:szCs w:val="22"/>
        </w:rPr>
        <w:t xml:space="preserve">which are </w:t>
      </w:r>
      <w:r w:rsidR="00931237">
        <w:rPr>
          <w:szCs w:val="22"/>
        </w:rPr>
        <w:t xml:space="preserve">among </w:t>
      </w:r>
      <w:r w:rsidR="00A47E55" w:rsidRPr="00A47E55">
        <w:rPr>
          <w:szCs w:val="22"/>
        </w:rPr>
        <w:t xml:space="preserve">the </w:t>
      </w:r>
      <w:r w:rsidR="00A47E55" w:rsidRPr="00857835">
        <w:rPr>
          <w:b/>
          <w:bCs w:val="0"/>
          <w:szCs w:val="22"/>
        </w:rPr>
        <w:t>most prevalent comorbidities</w:t>
      </w:r>
      <w:r w:rsidR="00A47E55" w:rsidRPr="00A47E55">
        <w:rPr>
          <w:szCs w:val="22"/>
        </w:rPr>
        <w:t xml:space="preserve"> and biggest risk factors associated with severe COVID-19 outcomes. </w:t>
      </w:r>
      <w:r w:rsidR="00AF4C2D">
        <w:rPr>
          <w:rFonts w:cs="Times New Roman"/>
          <w:szCs w:val="22"/>
        </w:rPr>
        <w:t xml:space="preserve">Thus, the spike protein pathogenesis mechanisms reviewed in section 1.3.3 </w:t>
      </w:r>
      <w:r w:rsidR="00FB0C0F">
        <w:rPr>
          <w:szCs w:val="22"/>
        </w:rPr>
        <w:t>M</w:t>
      </w:r>
      <w:r w:rsidR="00FB0C0F" w:rsidRPr="00A47E55">
        <w:rPr>
          <w:szCs w:val="22"/>
        </w:rPr>
        <w:t>echanism</w:t>
      </w:r>
      <w:r w:rsidR="00FB0C0F">
        <w:rPr>
          <w:szCs w:val="22"/>
        </w:rPr>
        <w:t>-</w:t>
      </w:r>
      <w:r w:rsidR="00FB0C0F" w:rsidRPr="00A47E55">
        <w:rPr>
          <w:szCs w:val="22"/>
        </w:rPr>
        <w:t>1</w:t>
      </w:r>
      <w:r w:rsidR="00FB0C0F">
        <w:rPr>
          <w:szCs w:val="22"/>
        </w:rPr>
        <w:t xml:space="preserve"> </w:t>
      </w:r>
      <w:r w:rsidR="00A53974" w:rsidRPr="002772CF">
        <w:rPr>
          <w:bCs w:val="0"/>
          <w:szCs w:val="22"/>
        </w:rPr>
        <w:t xml:space="preserve">place upregulated furin and ACE2-receptors </w:t>
      </w:r>
      <w:r w:rsidR="00FB0C0F">
        <w:rPr>
          <w:bCs w:val="0"/>
          <w:szCs w:val="22"/>
        </w:rPr>
        <w:t>plus</w:t>
      </w:r>
      <w:r w:rsidR="00A53974" w:rsidRPr="002772CF">
        <w:rPr>
          <w:bCs w:val="0"/>
          <w:szCs w:val="22"/>
        </w:rPr>
        <w:t xml:space="preserve"> prevalent comorbidities </w:t>
      </w:r>
      <w:r w:rsidR="00A53974">
        <w:rPr>
          <w:bCs w:val="0"/>
          <w:szCs w:val="22"/>
        </w:rPr>
        <w:t xml:space="preserve">in tissues and organs common to all three factors </w:t>
      </w:r>
      <w:r w:rsidR="00A53974" w:rsidRPr="00FB0C0F">
        <w:rPr>
          <w:b/>
          <w:szCs w:val="22"/>
        </w:rPr>
        <w:t>center stage</w:t>
      </w:r>
      <w:r w:rsidR="00217413">
        <w:rPr>
          <w:b/>
          <w:szCs w:val="22"/>
        </w:rPr>
        <w:t>. At the same time,</w:t>
      </w:r>
      <w:r w:rsidR="00A53974" w:rsidRPr="00E34D4C">
        <w:rPr>
          <w:rFonts w:cs="Times New Roman"/>
          <w:szCs w:val="22"/>
        </w:rPr>
        <w:t xml:space="preserve"> </w:t>
      </w:r>
      <w:r w:rsidR="00A53974">
        <w:rPr>
          <w:rFonts w:cs="Times New Roman"/>
          <w:szCs w:val="22"/>
        </w:rPr>
        <w:t>SARS-CoV-2 provided its</w:t>
      </w:r>
      <w:r w:rsidR="00A53974">
        <w:rPr>
          <w:szCs w:val="22"/>
        </w:rPr>
        <w:t xml:space="preserve"> genetically inserted furin cleavage site</w:t>
      </w:r>
      <w:r w:rsidR="00AF4C2D">
        <w:rPr>
          <w:szCs w:val="22"/>
        </w:rPr>
        <w:t xml:space="preserve">, among other features, </w:t>
      </w:r>
      <w:r w:rsidR="00A53974">
        <w:rPr>
          <w:szCs w:val="22"/>
        </w:rPr>
        <w:t>to catalyze and enhance infectivity and pathogenicity</w:t>
      </w:r>
      <w:r w:rsidR="00A53974" w:rsidRPr="00E34D4C">
        <w:rPr>
          <w:rFonts w:cs="Times New Roman"/>
          <w:szCs w:val="22"/>
        </w:rPr>
        <w:t>.</w:t>
      </w:r>
    </w:p>
    <w:p w14:paraId="70715E3B" w14:textId="0D3CFB39" w:rsidR="00E01616" w:rsidRPr="00440C29" w:rsidRDefault="00E01616" w:rsidP="00437FC9">
      <w:pPr>
        <w:rPr>
          <w:szCs w:val="22"/>
        </w:rPr>
      </w:pPr>
      <w:r w:rsidRPr="00437FC9">
        <w:rPr>
          <w:szCs w:val="22"/>
        </w:rPr>
        <w:t xml:space="preserve">In 2018 Dr. Daszak (EcoHealth Alliance) tried to obtain funding from the US Defense Advanced Research </w:t>
      </w:r>
      <w:r w:rsidRPr="00437FC9">
        <w:rPr>
          <w:szCs w:val="22"/>
        </w:rPr>
        <w:lastRenderedPageBreak/>
        <w:t>Projects Agency (DARPA) for creating genetically modified bat SARS-related coronaviruses</w:t>
      </w:r>
      <w:r w:rsidR="00437FC9">
        <w:rPr>
          <w:szCs w:val="22"/>
        </w:rPr>
        <w:t xml:space="preserve"> with </w:t>
      </w:r>
      <w:r w:rsidR="001A65AD">
        <w:rPr>
          <w:szCs w:val="22"/>
        </w:rPr>
        <w:t>spillover</w:t>
      </w:r>
      <w:r w:rsidR="00437FC9">
        <w:rPr>
          <w:szCs w:val="22"/>
        </w:rPr>
        <w:t xml:space="preserve"> potential (SARSr-CoV, </w:t>
      </w:r>
      <w:r w:rsidR="00437FC9" w:rsidRPr="000E014B">
        <w:rPr>
          <w:szCs w:val="22"/>
        </w:rPr>
        <w:t>Project DEFUSE</w:t>
      </w:r>
      <w:r w:rsidR="00437FC9">
        <w:rPr>
          <w:szCs w:val="22"/>
        </w:rPr>
        <w:t xml:space="preserve">). </w:t>
      </w:r>
      <w:r w:rsidR="00281261" w:rsidRPr="00437FC9">
        <w:rPr>
          <w:szCs w:val="22"/>
        </w:rPr>
        <w:t xml:space="preserve">Dr. Daszak </w:t>
      </w:r>
      <w:r w:rsidR="00281261" w:rsidRPr="00437FC9">
        <w:rPr>
          <w:b/>
          <w:bCs w:val="0"/>
          <w:szCs w:val="22"/>
        </w:rPr>
        <w:t>sought to graft</w:t>
      </w:r>
      <w:r w:rsidR="00281261" w:rsidRPr="00437FC9">
        <w:rPr>
          <w:szCs w:val="22"/>
        </w:rPr>
        <w:t xml:space="preserve"> </w:t>
      </w:r>
      <w:r w:rsidR="00281261" w:rsidRPr="00437FC9">
        <w:rPr>
          <w:b/>
          <w:bCs w:val="0"/>
          <w:szCs w:val="22"/>
        </w:rPr>
        <w:t>human-specific</w:t>
      </w:r>
      <w:r w:rsidR="00281261" w:rsidRPr="00437FC9">
        <w:rPr>
          <w:szCs w:val="22"/>
        </w:rPr>
        <w:t xml:space="preserve"> protease cleavage sites into bat SARS-like coronavirus spike proteins and evaluate their growth potential in human cell lines after he had analyzed “</w:t>
      </w:r>
      <w:r w:rsidR="00281261" w:rsidRPr="00437FC9">
        <w:rPr>
          <w:i/>
          <w:iCs/>
          <w:szCs w:val="22"/>
        </w:rPr>
        <w:t xml:space="preserve">all SARS-CoV S gene sequences for appropriately conserved proteolytic cleavage sites in S2 and for the presence of </w:t>
      </w:r>
      <w:r w:rsidR="00281261" w:rsidRPr="00437FC9">
        <w:rPr>
          <w:b/>
          <w:bCs w:val="0"/>
          <w:i/>
          <w:iCs/>
          <w:szCs w:val="22"/>
        </w:rPr>
        <w:t>potential furin cleavage sites</w:t>
      </w:r>
      <w:r w:rsidR="005E2082">
        <w:rPr>
          <w:b/>
          <w:bCs w:val="0"/>
          <w:i/>
          <w:iCs/>
          <w:szCs w:val="22"/>
        </w:rPr>
        <w:t>.</w:t>
      </w:r>
      <w:r w:rsidR="00281261" w:rsidRPr="00437FC9">
        <w:rPr>
          <w:szCs w:val="22"/>
        </w:rPr>
        <w:t>”</w:t>
      </w:r>
      <w:r w:rsidR="00437FC9">
        <w:rPr>
          <w:szCs w:val="22"/>
        </w:rPr>
        <w:t xml:space="preserve"> Dr. Daszak planned to create and assess multiple </w:t>
      </w:r>
      <w:r w:rsidR="00437FC9" w:rsidRPr="008B5CAC">
        <w:rPr>
          <w:szCs w:val="22"/>
        </w:rPr>
        <w:t xml:space="preserve">human </w:t>
      </w:r>
      <w:r w:rsidR="001A65AD" w:rsidRPr="008B5CAC">
        <w:rPr>
          <w:szCs w:val="22"/>
        </w:rPr>
        <w:t>codon-optimized</w:t>
      </w:r>
      <w:r w:rsidR="00437FC9" w:rsidRPr="008B5CAC">
        <w:rPr>
          <w:szCs w:val="22"/>
        </w:rPr>
        <w:t xml:space="preserve"> SARSr-CoV</w:t>
      </w:r>
      <w:r w:rsidR="00931237">
        <w:rPr>
          <w:szCs w:val="22"/>
        </w:rPr>
        <w:t>s</w:t>
      </w:r>
      <w:r w:rsidR="00437FC9">
        <w:rPr>
          <w:szCs w:val="22"/>
        </w:rPr>
        <w:t xml:space="preserve">, including </w:t>
      </w:r>
      <w:r w:rsidR="00437FC9" w:rsidRPr="00931237">
        <w:rPr>
          <w:b/>
          <w:bCs w:val="0"/>
          <w:szCs w:val="22"/>
        </w:rPr>
        <w:t>with receptor</w:t>
      </w:r>
      <w:r w:rsidR="00FB0C0F">
        <w:rPr>
          <w:b/>
          <w:bCs w:val="0"/>
          <w:szCs w:val="22"/>
        </w:rPr>
        <w:t xml:space="preserve"> </w:t>
      </w:r>
      <w:r w:rsidR="00437FC9" w:rsidRPr="00931237">
        <w:rPr>
          <w:b/>
          <w:bCs w:val="0"/>
          <w:szCs w:val="22"/>
        </w:rPr>
        <w:t>binding</w:t>
      </w:r>
      <w:r w:rsidR="00FB0C0F">
        <w:rPr>
          <w:b/>
          <w:bCs w:val="0"/>
          <w:szCs w:val="22"/>
        </w:rPr>
        <w:t xml:space="preserve"> domain</w:t>
      </w:r>
      <w:r w:rsidR="00437FC9" w:rsidRPr="00931237">
        <w:rPr>
          <w:b/>
          <w:bCs w:val="0"/>
          <w:szCs w:val="22"/>
        </w:rPr>
        <w:t xml:space="preserve"> </w:t>
      </w:r>
      <w:r w:rsidR="00931237">
        <w:rPr>
          <w:b/>
          <w:bCs w:val="0"/>
          <w:szCs w:val="22"/>
        </w:rPr>
        <w:t xml:space="preserve">and </w:t>
      </w:r>
      <w:r w:rsidR="00931237" w:rsidRPr="00931237">
        <w:rPr>
          <w:b/>
          <w:bCs w:val="0"/>
          <w:szCs w:val="22"/>
        </w:rPr>
        <w:t xml:space="preserve">N-terminal </w:t>
      </w:r>
      <w:r w:rsidR="00437FC9" w:rsidRPr="00931237">
        <w:rPr>
          <w:b/>
          <w:bCs w:val="0"/>
          <w:szCs w:val="22"/>
        </w:rPr>
        <w:t>domain modifications</w:t>
      </w:r>
      <w:r w:rsidR="00437FC9">
        <w:rPr>
          <w:szCs w:val="22"/>
        </w:rPr>
        <w:t xml:space="preserve">, for changes in their infectivity and pathogenicity </w:t>
      </w:r>
      <w:r w:rsidR="00437FC9" w:rsidRPr="00437FC9">
        <w:rPr>
          <w:szCs w:val="22"/>
        </w:rPr>
        <w:t>(pg.13</w:t>
      </w:r>
      <w:r w:rsidR="00437FC9">
        <w:rPr>
          <w:szCs w:val="22"/>
        </w:rPr>
        <w:t>, 17</w:t>
      </w:r>
      <w:r w:rsidR="00437FC9" w:rsidRPr="00437FC9">
        <w:rPr>
          <w:szCs w:val="22"/>
        </w:rPr>
        <w:t>).</w:t>
      </w:r>
      <w:r w:rsidR="00281261" w:rsidRPr="00437FC9">
        <w:rPr>
          <w:szCs w:val="22"/>
        </w:rPr>
        <w:t xml:space="preserve"> </w:t>
      </w:r>
      <w:r w:rsidR="00437FC9">
        <w:rPr>
          <w:szCs w:val="22"/>
        </w:rPr>
        <w:t>He planned to subcontract work to Drs. Baric and Shi, among others (pg.3).</w:t>
      </w:r>
      <w:r w:rsidR="00437FC9" w:rsidRPr="00437FC9">
        <w:rPr>
          <w:rStyle w:val="EndnoteReference"/>
          <w:szCs w:val="22"/>
        </w:rPr>
        <w:endnoteReference w:id="415"/>
      </w:r>
      <w:r w:rsidR="008B5CAC">
        <w:rPr>
          <w:szCs w:val="22"/>
        </w:rPr>
        <w:t xml:space="preserve"> </w:t>
      </w:r>
      <w:r w:rsidR="00217413">
        <w:rPr>
          <w:szCs w:val="22"/>
        </w:rPr>
        <w:t>Dr. Daszak’s</w:t>
      </w:r>
      <w:r w:rsidR="00281261" w:rsidRPr="00437FC9">
        <w:rPr>
          <w:szCs w:val="22"/>
        </w:rPr>
        <w:t xml:space="preserve"> </w:t>
      </w:r>
      <w:r w:rsidR="00437FC9">
        <w:rPr>
          <w:szCs w:val="22"/>
        </w:rPr>
        <w:t xml:space="preserve">project DEFUSE </w:t>
      </w:r>
      <w:r w:rsidR="00281261" w:rsidRPr="00437FC9">
        <w:rPr>
          <w:szCs w:val="22"/>
        </w:rPr>
        <w:t>f</w:t>
      </w:r>
      <w:r w:rsidR="00281261">
        <w:rPr>
          <w:szCs w:val="22"/>
        </w:rPr>
        <w:t xml:space="preserve">unding application </w:t>
      </w:r>
      <w:r w:rsidRPr="00440C29">
        <w:rPr>
          <w:szCs w:val="22"/>
        </w:rPr>
        <w:t xml:space="preserve">was rejected </w:t>
      </w:r>
      <w:r>
        <w:rPr>
          <w:szCs w:val="22"/>
        </w:rPr>
        <w:t>by DARPA</w:t>
      </w:r>
      <w:r w:rsidR="009A59ED">
        <w:rPr>
          <w:szCs w:val="22"/>
        </w:rPr>
        <w:t xml:space="preserve"> </w:t>
      </w:r>
      <w:r w:rsidRPr="00440C29">
        <w:rPr>
          <w:szCs w:val="22"/>
        </w:rPr>
        <w:t>due to</w:t>
      </w:r>
      <w:r>
        <w:rPr>
          <w:szCs w:val="22"/>
        </w:rPr>
        <w:t xml:space="preserve"> their</w:t>
      </w:r>
      <w:r w:rsidRPr="00440C29">
        <w:rPr>
          <w:szCs w:val="22"/>
        </w:rPr>
        <w:t xml:space="preserve"> safety concerns</w:t>
      </w:r>
      <w:r w:rsidR="00217413">
        <w:rPr>
          <w:szCs w:val="22"/>
        </w:rPr>
        <w:t xml:space="preserve"> </w:t>
      </w:r>
      <w:r>
        <w:rPr>
          <w:szCs w:val="22"/>
        </w:rPr>
        <w:t>because it involved gain-of-function/dual-use research; “</w:t>
      </w:r>
      <w:r w:rsidRPr="00BF3AD0">
        <w:rPr>
          <w:i/>
          <w:szCs w:val="22"/>
        </w:rPr>
        <w:t>EcoHealth Alliance unsuccessfully proposed the use of bat</w:t>
      </w:r>
      <w:r>
        <w:rPr>
          <w:i/>
          <w:szCs w:val="22"/>
        </w:rPr>
        <w:t xml:space="preserve"> </w:t>
      </w:r>
      <w:r w:rsidRPr="00BF3AD0">
        <w:rPr>
          <w:i/>
          <w:szCs w:val="22"/>
        </w:rPr>
        <w:t xml:space="preserve">SARSr-CoV backbones and not the human evolved SARS-CoV in what looks like a </w:t>
      </w:r>
      <w:r w:rsidRPr="008B619F">
        <w:rPr>
          <w:b/>
          <w:bCs w:val="0"/>
          <w:iCs/>
          <w:szCs w:val="22"/>
        </w:rPr>
        <w:t>deliberate attempt</w:t>
      </w:r>
      <w:r w:rsidRPr="00BF3AD0">
        <w:rPr>
          <w:i/>
          <w:szCs w:val="22"/>
        </w:rPr>
        <w:t xml:space="preserve"> at circumnavigating the restrictions of the P3CO framework and related DURC restrictions</w:t>
      </w:r>
      <w:r>
        <w:rPr>
          <w:szCs w:val="22"/>
        </w:rPr>
        <w:t>”.</w:t>
      </w:r>
      <w:r w:rsidRPr="00C8430F">
        <w:rPr>
          <w:rStyle w:val="EndnoteReference"/>
          <w:szCs w:val="22"/>
        </w:rPr>
        <w:endnoteReference w:id="416"/>
      </w:r>
      <w:r w:rsidR="00641F2C">
        <w:rPr>
          <w:szCs w:val="22"/>
        </w:rPr>
        <w:t xml:space="preserve"> </w:t>
      </w:r>
    </w:p>
    <w:p w14:paraId="27EACBA1" w14:textId="35B2F190" w:rsidR="00363443" w:rsidRDefault="008B5CAC" w:rsidP="00363443">
      <w:pPr>
        <w:rPr>
          <w:szCs w:val="22"/>
        </w:rPr>
      </w:pPr>
      <w:r>
        <w:rPr>
          <w:szCs w:val="22"/>
        </w:rPr>
        <w:t>SARS-CoV-2’s</w:t>
      </w:r>
      <w:r w:rsidR="001D7246" w:rsidRPr="004B4616">
        <w:rPr>
          <w:szCs w:val="22"/>
        </w:rPr>
        <w:t xml:space="preserve"> FCS </w:t>
      </w:r>
      <w:r w:rsidR="00C10ED6">
        <w:rPr>
          <w:szCs w:val="22"/>
        </w:rPr>
        <w:t>comprises</w:t>
      </w:r>
      <w:r w:rsidR="001D7246" w:rsidRPr="004B4616">
        <w:rPr>
          <w:szCs w:val="22"/>
        </w:rPr>
        <w:t xml:space="preserve"> a</w:t>
      </w:r>
      <w:r w:rsidR="008D61DA">
        <w:rPr>
          <w:szCs w:val="22"/>
        </w:rPr>
        <w:t xml:space="preserve">n </w:t>
      </w:r>
      <w:r w:rsidR="00D20ACB">
        <w:rPr>
          <w:szCs w:val="22"/>
        </w:rPr>
        <w:t>A</w:t>
      </w:r>
      <w:r w:rsidR="001D7246" w:rsidRPr="004B4616">
        <w:rPr>
          <w:szCs w:val="22"/>
        </w:rPr>
        <w:t>rginine double-codon (CGG</w:t>
      </w:r>
      <w:r w:rsidR="008D61DA">
        <w:rPr>
          <w:szCs w:val="22"/>
        </w:rPr>
        <w:t>.</w:t>
      </w:r>
      <w:r w:rsidR="001D7246" w:rsidRPr="004B4616">
        <w:rPr>
          <w:szCs w:val="22"/>
        </w:rPr>
        <w:t>CGG) within a 12-nucleotide sequence</w:t>
      </w:r>
      <w:r w:rsidR="00C10ED6">
        <w:rPr>
          <w:szCs w:val="22"/>
        </w:rPr>
        <w:t xml:space="preserve"> encoding </w:t>
      </w:r>
      <w:r w:rsidR="00C10ED6" w:rsidRPr="00C10ED6">
        <w:rPr>
          <w:szCs w:val="22"/>
        </w:rPr>
        <w:t>Proline</w:t>
      </w:r>
      <w:r w:rsidR="00C10ED6">
        <w:rPr>
          <w:szCs w:val="22"/>
        </w:rPr>
        <w:t>-Arginine-Arginine-</w:t>
      </w:r>
      <w:r w:rsidR="00C10ED6" w:rsidRPr="00C10ED6">
        <w:rPr>
          <w:szCs w:val="22"/>
        </w:rPr>
        <w:t>Alanine (</w:t>
      </w:r>
      <w:r w:rsidR="008D61DA" w:rsidRPr="008F6783">
        <w:rPr>
          <w:szCs w:val="22"/>
        </w:rPr>
        <w:t>CCT.CGG.CGG.GCA</w:t>
      </w:r>
      <w:r w:rsidR="008D61DA">
        <w:rPr>
          <w:szCs w:val="22"/>
        </w:rPr>
        <w:t xml:space="preserve"> </w:t>
      </w:r>
      <w:r w:rsidR="008D61DA">
        <w:rPr>
          <w:szCs w:val="22"/>
        </w:rPr>
        <w:sym w:font="Symbol" w:char="F0AE"/>
      </w:r>
      <w:r w:rsidR="008D61DA">
        <w:rPr>
          <w:szCs w:val="22"/>
        </w:rPr>
        <w:t xml:space="preserve"> </w:t>
      </w:r>
      <w:r w:rsidR="00C10ED6" w:rsidRPr="00C10ED6">
        <w:rPr>
          <w:szCs w:val="22"/>
        </w:rPr>
        <w:t>PRRA)</w:t>
      </w:r>
      <w:r w:rsidR="00587FC3">
        <w:rPr>
          <w:szCs w:val="22"/>
        </w:rPr>
        <w:t xml:space="preserve">. </w:t>
      </w:r>
      <w:r w:rsidR="008D61DA">
        <w:rPr>
          <w:szCs w:val="22"/>
        </w:rPr>
        <w:t xml:space="preserve">While an FCS is </w:t>
      </w:r>
      <w:r w:rsidR="001D7246" w:rsidRPr="004B4616">
        <w:rPr>
          <w:b/>
          <w:bCs w:val="0"/>
        </w:rPr>
        <w:t>without evolutionary precedent</w:t>
      </w:r>
      <w:r w:rsidR="001D7246" w:rsidRPr="004B4616">
        <w:t xml:space="preserve"> in all B-lineage beta-coronaviruses</w:t>
      </w:r>
      <w:r w:rsidR="00D20ACB">
        <w:rPr>
          <w:szCs w:val="22"/>
        </w:rPr>
        <w:t>,</w:t>
      </w:r>
      <w:r w:rsidR="008D61DA" w:rsidRPr="004B4616">
        <w:rPr>
          <w:rStyle w:val="EndnoteReference"/>
          <w:szCs w:val="22"/>
        </w:rPr>
        <w:endnoteReference w:id="417"/>
      </w:r>
      <w:r w:rsidR="008D61DA" w:rsidRPr="004B4616">
        <w:rPr>
          <w:szCs w:val="22"/>
          <w:vertAlign w:val="superscript"/>
        </w:rPr>
        <w:t>,</w:t>
      </w:r>
      <w:r w:rsidR="008D61DA" w:rsidRPr="004B4616">
        <w:rPr>
          <w:rStyle w:val="EndnoteReference"/>
          <w:szCs w:val="22"/>
        </w:rPr>
        <w:endnoteReference w:id="418"/>
      </w:r>
      <w:r w:rsidR="008D61DA" w:rsidRPr="004B4616">
        <w:rPr>
          <w:szCs w:val="22"/>
          <w:vertAlign w:val="superscript"/>
        </w:rPr>
        <w:t>,</w:t>
      </w:r>
      <w:r w:rsidR="008D61DA" w:rsidRPr="004B4616">
        <w:rPr>
          <w:rStyle w:val="EndnoteReference"/>
          <w:szCs w:val="22"/>
        </w:rPr>
        <w:endnoteReference w:id="419"/>
      </w:r>
      <w:r w:rsidR="008D61DA">
        <w:rPr>
          <w:szCs w:val="22"/>
          <w:vertAlign w:val="superscript"/>
        </w:rPr>
        <w:t>,</w:t>
      </w:r>
      <w:r w:rsidR="008D61DA">
        <w:rPr>
          <w:rStyle w:val="EndnoteReference"/>
          <w:szCs w:val="22"/>
        </w:rPr>
        <w:endnoteReference w:id="420"/>
      </w:r>
      <w:r w:rsidR="008D61DA">
        <w:rPr>
          <w:szCs w:val="22"/>
          <w:vertAlign w:val="superscript"/>
        </w:rPr>
        <w:t>,</w:t>
      </w:r>
      <w:r w:rsidR="008D61DA">
        <w:rPr>
          <w:rStyle w:val="EndnoteReference"/>
          <w:szCs w:val="22"/>
        </w:rPr>
        <w:endnoteReference w:id="421"/>
      </w:r>
      <w:r w:rsidR="008D61DA">
        <w:rPr>
          <w:szCs w:val="22"/>
        </w:rPr>
        <w:t xml:space="preserve"> </w:t>
      </w:r>
      <w:r w:rsidR="001D7246" w:rsidRPr="004B4616">
        <w:rPr>
          <w:szCs w:val="22"/>
        </w:rPr>
        <w:t xml:space="preserve"> </w:t>
      </w:r>
      <w:r w:rsidR="008D61DA">
        <w:rPr>
          <w:szCs w:val="22"/>
        </w:rPr>
        <w:t xml:space="preserve">the </w:t>
      </w:r>
      <w:r w:rsidR="008D61DA" w:rsidRPr="008D61DA">
        <w:rPr>
          <w:b/>
          <w:bCs w:val="0"/>
          <w:szCs w:val="22"/>
        </w:rPr>
        <w:t>CGG-CGG encoded</w:t>
      </w:r>
      <w:r w:rsidR="008D61DA">
        <w:rPr>
          <w:szCs w:val="22"/>
        </w:rPr>
        <w:t xml:space="preserve"> Arginine doublet containing FCS is unprecedented in </w:t>
      </w:r>
      <w:r w:rsidR="00D55DFB" w:rsidRPr="00741819">
        <w:rPr>
          <w:b/>
          <w:bCs w:val="0"/>
          <w:szCs w:val="22"/>
        </w:rPr>
        <w:t xml:space="preserve">all </w:t>
      </w:r>
      <w:r w:rsidR="00641F2C" w:rsidRPr="00741819">
        <w:rPr>
          <w:b/>
          <w:bCs w:val="0"/>
          <w:szCs w:val="22"/>
        </w:rPr>
        <w:t xml:space="preserve">known </w:t>
      </w:r>
      <w:r w:rsidR="001D7246" w:rsidRPr="00741819">
        <w:rPr>
          <w:b/>
          <w:bCs w:val="0"/>
          <w:szCs w:val="22"/>
        </w:rPr>
        <w:t>viral</w:t>
      </w:r>
      <w:r w:rsidR="00466E30" w:rsidRPr="00741819">
        <w:rPr>
          <w:b/>
          <w:bCs w:val="0"/>
          <w:szCs w:val="22"/>
        </w:rPr>
        <w:t xml:space="preserve"> </w:t>
      </w:r>
      <w:r w:rsidR="00741819" w:rsidRPr="00741819">
        <w:rPr>
          <w:b/>
          <w:bCs w:val="0"/>
          <w:szCs w:val="22"/>
        </w:rPr>
        <w:t>FCS</w:t>
      </w:r>
      <w:r w:rsidR="008D61DA">
        <w:rPr>
          <w:szCs w:val="22"/>
        </w:rPr>
        <w:t>.</w:t>
      </w:r>
      <w:r w:rsidR="00363443">
        <w:rPr>
          <w:szCs w:val="22"/>
        </w:rPr>
        <w:t xml:space="preserve"> </w:t>
      </w:r>
      <w:r w:rsidR="00D20ACB">
        <w:rPr>
          <w:szCs w:val="22"/>
        </w:rPr>
        <w:t>Furthermore, o</w:t>
      </w:r>
      <w:r w:rsidR="00363443" w:rsidRPr="004B4616">
        <w:rPr>
          <w:szCs w:val="22"/>
        </w:rPr>
        <w:t>ut of the 42 Arginine amino acids in the SARS-CoV-2 spike protein</w:t>
      </w:r>
      <w:r w:rsidR="00217413">
        <w:rPr>
          <w:szCs w:val="22"/>
        </w:rPr>
        <w:t>,</w:t>
      </w:r>
      <w:r w:rsidR="00363443" w:rsidRPr="004B4616">
        <w:rPr>
          <w:szCs w:val="22"/>
        </w:rPr>
        <w:t xml:space="preserve"> </w:t>
      </w:r>
      <w:r w:rsidR="008D61DA" w:rsidRPr="008D61DA">
        <w:rPr>
          <w:szCs w:val="22"/>
        </w:rPr>
        <w:t>only two Arginines are encoded by the CGG codon, which</w:t>
      </w:r>
      <w:r w:rsidR="008D61DA">
        <w:rPr>
          <w:szCs w:val="22"/>
        </w:rPr>
        <w:t xml:space="preserve"> </w:t>
      </w:r>
      <w:r w:rsidR="00F45406">
        <w:rPr>
          <w:szCs w:val="22"/>
        </w:rPr>
        <w:t xml:space="preserve">is those </w:t>
      </w:r>
      <w:r w:rsidR="00217413">
        <w:rPr>
          <w:szCs w:val="22"/>
        </w:rPr>
        <w:t>encod</w:t>
      </w:r>
      <w:r w:rsidR="00F45406">
        <w:rPr>
          <w:szCs w:val="22"/>
        </w:rPr>
        <w:t>ing</w:t>
      </w:r>
      <w:r w:rsidR="008D61DA">
        <w:rPr>
          <w:szCs w:val="22"/>
        </w:rPr>
        <w:t xml:space="preserve"> the</w:t>
      </w:r>
      <w:r w:rsidR="008D61DA" w:rsidRPr="008D61DA">
        <w:rPr>
          <w:szCs w:val="22"/>
        </w:rPr>
        <w:t xml:space="preserve"> </w:t>
      </w:r>
      <w:r w:rsidR="008D61DA">
        <w:rPr>
          <w:szCs w:val="22"/>
        </w:rPr>
        <w:t>FCS.</w:t>
      </w:r>
      <w:r w:rsidR="008D61DA" w:rsidRPr="004B4616">
        <w:rPr>
          <w:rStyle w:val="EndnoteReference"/>
          <w:szCs w:val="22"/>
        </w:rPr>
        <w:endnoteReference w:id="422"/>
      </w:r>
      <w:r w:rsidR="008D61DA" w:rsidRPr="004B4616">
        <w:rPr>
          <w:szCs w:val="22"/>
        </w:rPr>
        <w:t xml:space="preserve"> </w:t>
      </w:r>
      <w:r w:rsidR="00363443">
        <w:rPr>
          <w:szCs w:val="22"/>
        </w:rPr>
        <w:t>This probably rule</w:t>
      </w:r>
      <w:r w:rsidR="008D61DA">
        <w:rPr>
          <w:szCs w:val="22"/>
        </w:rPr>
        <w:t>s</w:t>
      </w:r>
      <w:r w:rsidR="00363443">
        <w:rPr>
          <w:szCs w:val="22"/>
        </w:rPr>
        <w:t xml:space="preserve"> </w:t>
      </w:r>
      <w:r w:rsidR="00363443" w:rsidRPr="004B4616">
        <w:rPr>
          <w:szCs w:val="22"/>
        </w:rPr>
        <w:t>out a virus recombination as the mechanism for FCS acquisition by SARS-CoV-2</w:t>
      </w:r>
      <w:r w:rsidR="00363443">
        <w:rPr>
          <w:szCs w:val="22"/>
        </w:rPr>
        <w:t xml:space="preserve"> and suggests </w:t>
      </w:r>
      <w:r w:rsidR="008D61DA">
        <w:rPr>
          <w:szCs w:val="22"/>
        </w:rPr>
        <w:t xml:space="preserve">either </w:t>
      </w:r>
      <w:r w:rsidR="00741819">
        <w:rPr>
          <w:szCs w:val="22"/>
        </w:rPr>
        <w:t xml:space="preserve">a human genome </w:t>
      </w:r>
      <w:r w:rsidR="00363443">
        <w:rPr>
          <w:szCs w:val="22"/>
        </w:rPr>
        <w:t xml:space="preserve">origin </w:t>
      </w:r>
      <w:r w:rsidR="004572A4">
        <w:rPr>
          <w:szCs w:val="22"/>
        </w:rPr>
        <w:t>(i.e., mechanistically</w:t>
      </w:r>
      <w:r w:rsidR="00980651">
        <w:rPr>
          <w:szCs w:val="22"/>
        </w:rPr>
        <w:t>-theoretically possible</w:t>
      </w:r>
      <w:r w:rsidR="004572A4">
        <w:rPr>
          <w:szCs w:val="22"/>
        </w:rPr>
        <w:t xml:space="preserve">) </w:t>
      </w:r>
      <w:r w:rsidR="00363443">
        <w:rPr>
          <w:szCs w:val="22"/>
        </w:rPr>
        <w:t xml:space="preserve">or </w:t>
      </w:r>
      <w:r w:rsidR="005C5D5B">
        <w:rPr>
          <w:szCs w:val="22"/>
        </w:rPr>
        <w:t xml:space="preserve">origin by </w:t>
      </w:r>
      <w:r w:rsidR="00980651">
        <w:rPr>
          <w:b/>
          <w:bCs w:val="0"/>
          <w:szCs w:val="22"/>
        </w:rPr>
        <w:t>a human</w:t>
      </w:r>
      <w:r w:rsidR="00741819" w:rsidRPr="008D61DA">
        <w:rPr>
          <w:b/>
          <w:bCs w:val="0"/>
          <w:szCs w:val="22"/>
        </w:rPr>
        <w:t xml:space="preserve"> </w:t>
      </w:r>
      <w:r w:rsidR="00906E8C" w:rsidRPr="008B5CAC">
        <w:rPr>
          <w:b/>
          <w:bCs w:val="0"/>
          <w:szCs w:val="22"/>
        </w:rPr>
        <w:t xml:space="preserve">specifically </w:t>
      </w:r>
      <w:r w:rsidR="00741819" w:rsidRPr="008B5CAC">
        <w:rPr>
          <w:b/>
          <w:bCs w:val="0"/>
          <w:szCs w:val="22"/>
        </w:rPr>
        <w:t xml:space="preserve">wanting </w:t>
      </w:r>
      <w:r w:rsidRPr="008D61DA">
        <w:rPr>
          <w:szCs w:val="22"/>
        </w:rPr>
        <w:t>a</w:t>
      </w:r>
      <w:r w:rsidR="00931237" w:rsidRPr="008D61DA">
        <w:rPr>
          <w:szCs w:val="22"/>
        </w:rPr>
        <w:t xml:space="preserve"> </w:t>
      </w:r>
      <w:r w:rsidR="008D61DA" w:rsidRPr="008D61DA">
        <w:rPr>
          <w:szCs w:val="22"/>
        </w:rPr>
        <w:t xml:space="preserve">CGG-CGG encoded </w:t>
      </w:r>
      <w:r w:rsidRPr="008D61DA">
        <w:rPr>
          <w:szCs w:val="22"/>
        </w:rPr>
        <w:t xml:space="preserve">Arginine </w:t>
      </w:r>
      <w:r w:rsidR="00741819" w:rsidRPr="008D61DA">
        <w:rPr>
          <w:szCs w:val="22"/>
        </w:rPr>
        <w:t>FCS</w:t>
      </w:r>
      <w:r w:rsidR="00363443" w:rsidRPr="008B5CAC">
        <w:rPr>
          <w:szCs w:val="22"/>
        </w:rPr>
        <w:t xml:space="preserve">. </w:t>
      </w:r>
    </w:p>
    <w:p w14:paraId="49879414" w14:textId="13ADD8B6" w:rsidR="005C5D5B" w:rsidRPr="008F6783" w:rsidRDefault="00EC36E0" w:rsidP="00E01616">
      <w:pPr>
        <w:rPr>
          <w:szCs w:val="22"/>
        </w:rPr>
      </w:pPr>
      <w:r>
        <w:rPr>
          <w:szCs w:val="22"/>
        </w:rPr>
        <w:t>The plot thickens;</w:t>
      </w:r>
      <w:r w:rsidR="00E01616" w:rsidRPr="008F6783">
        <w:rPr>
          <w:szCs w:val="22"/>
        </w:rPr>
        <w:t xml:space="preserve"> </w:t>
      </w:r>
      <w:r>
        <w:rPr>
          <w:szCs w:val="22"/>
        </w:rPr>
        <w:t>A</w:t>
      </w:r>
      <w:r w:rsidR="00E01616" w:rsidRPr="008F6783">
        <w:rPr>
          <w:szCs w:val="22"/>
        </w:rPr>
        <w:t xml:space="preserve"> 19-nucleotide genome portion that includes and flanks both sides of the 12</w:t>
      </w:r>
      <w:r w:rsidR="006F2F63" w:rsidRPr="008F6783">
        <w:rPr>
          <w:szCs w:val="22"/>
        </w:rPr>
        <w:t>-</w:t>
      </w:r>
      <w:r w:rsidR="00E01616" w:rsidRPr="008F6783">
        <w:rPr>
          <w:szCs w:val="22"/>
        </w:rPr>
        <w:t xml:space="preserve">nucleotide FCS was 100% matched with a patented reverse complement </w:t>
      </w:r>
      <w:r w:rsidR="00CB5587" w:rsidRPr="008F6783">
        <w:rPr>
          <w:szCs w:val="22"/>
        </w:rPr>
        <w:t xml:space="preserve">artificial </w:t>
      </w:r>
      <w:r w:rsidR="00E01616" w:rsidRPr="008F6783">
        <w:rPr>
          <w:szCs w:val="22"/>
        </w:rPr>
        <w:t xml:space="preserve">sequence </w:t>
      </w:r>
      <w:r w:rsidR="00E01616" w:rsidRPr="008F6783">
        <w:rPr>
          <w:b/>
          <w:bCs w:val="0"/>
          <w:szCs w:val="22"/>
        </w:rPr>
        <w:t>owned by Moderna</w:t>
      </w:r>
      <w:r w:rsidR="00E01616" w:rsidRPr="008F6783">
        <w:rPr>
          <w:szCs w:val="22"/>
        </w:rPr>
        <w:t xml:space="preserve"> (i.e., US </w:t>
      </w:r>
      <w:r w:rsidR="00D5562F" w:rsidRPr="008F6783">
        <w:rPr>
          <w:szCs w:val="22"/>
        </w:rPr>
        <w:t xml:space="preserve">2016 </w:t>
      </w:r>
      <w:r w:rsidR="00E01616" w:rsidRPr="008F6783">
        <w:rPr>
          <w:szCs w:val="22"/>
        </w:rPr>
        <w:t xml:space="preserve">patent </w:t>
      </w:r>
      <w:r w:rsidR="00C10ED6" w:rsidRPr="008F6783">
        <w:rPr>
          <w:szCs w:val="22"/>
        </w:rPr>
        <w:t>US9587003B2</w:t>
      </w:r>
      <w:r w:rsidR="0032712F" w:rsidRPr="008F6783">
        <w:rPr>
          <w:szCs w:val="22"/>
        </w:rPr>
        <w:t>)</w:t>
      </w:r>
      <w:r w:rsidR="00741819" w:rsidRPr="008F6783">
        <w:rPr>
          <w:szCs w:val="22"/>
        </w:rPr>
        <w:t>.</w:t>
      </w:r>
      <w:r w:rsidR="00904B28" w:rsidRPr="008F6783">
        <w:rPr>
          <w:rStyle w:val="EndnoteReference"/>
          <w:szCs w:val="22"/>
        </w:rPr>
        <w:endnoteReference w:id="423"/>
      </w:r>
      <w:r w:rsidR="00D5562F" w:rsidRPr="008F6783">
        <w:rPr>
          <w:szCs w:val="22"/>
        </w:rPr>
        <w:t xml:space="preserve"> </w:t>
      </w:r>
      <w:r w:rsidR="00741819" w:rsidRPr="008F6783">
        <w:rPr>
          <w:szCs w:val="22"/>
        </w:rPr>
        <w:t>This patent</w:t>
      </w:r>
      <w:r w:rsidR="00D5562F" w:rsidRPr="008F6783">
        <w:rPr>
          <w:szCs w:val="22"/>
        </w:rPr>
        <w:t xml:space="preserve"> was a continuation of </w:t>
      </w:r>
      <w:r w:rsidR="00CB5587" w:rsidRPr="008F6783">
        <w:rPr>
          <w:szCs w:val="22"/>
        </w:rPr>
        <w:t xml:space="preserve">four </w:t>
      </w:r>
      <w:r w:rsidR="00D5562F" w:rsidRPr="008F6783">
        <w:rPr>
          <w:szCs w:val="22"/>
        </w:rPr>
        <w:t>other patents dating back to 2013</w:t>
      </w:r>
      <w:r w:rsidR="00E84C69" w:rsidRPr="008F6783">
        <w:rPr>
          <w:szCs w:val="22"/>
        </w:rPr>
        <w:t>.</w:t>
      </w:r>
      <w:r w:rsidR="00D5562F" w:rsidRPr="008F6783">
        <w:rPr>
          <w:rStyle w:val="EndnoteReference"/>
          <w:szCs w:val="22"/>
        </w:rPr>
        <w:endnoteReference w:id="424"/>
      </w:r>
      <w:r w:rsidR="00E84469" w:rsidRPr="008F6783">
        <w:rPr>
          <w:szCs w:val="22"/>
        </w:rPr>
        <w:t xml:space="preserve"> </w:t>
      </w:r>
      <w:r w:rsidR="005C5D5B" w:rsidRPr="008F6783">
        <w:rPr>
          <w:szCs w:val="22"/>
        </w:rPr>
        <w:t>C</w:t>
      </w:r>
      <w:r w:rsidR="0032712F" w:rsidRPr="008F6783">
        <w:rPr>
          <w:szCs w:val="22"/>
        </w:rPr>
        <w:t xml:space="preserve">ommon to all five patents </w:t>
      </w:r>
      <w:r w:rsidR="00A47E55" w:rsidRPr="008F6783">
        <w:rPr>
          <w:szCs w:val="22"/>
        </w:rPr>
        <w:t>are</w:t>
      </w:r>
      <w:r w:rsidR="0032712F" w:rsidRPr="008F6783">
        <w:rPr>
          <w:szCs w:val="22"/>
        </w:rPr>
        <w:t xml:space="preserve"> oncology-related polypeptides </w:t>
      </w:r>
      <w:r w:rsidR="00A47E55" w:rsidRPr="008F6783">
        <w:rPr>
          <w:szCs w:val="22"/>
        </w:rPr>
        <w:t>that</w:t>
      </w:r>
      <w:r w:rsidR="0032712F" w:rsidRPr="008F6783">
        <w:rPr>
          <w:szCs w:val="22"/>
        </w:rPr>
        <w:t xml:space="preserve"> comprise at least one protein cleavage signal and/or site, which </w:t>
      </w:r>
      <w:r w:rsidR="00FA25B6" w:rsidRPr="008F6783">
        <w:rPr>
          <w:szCs w:val="22"/>
        </w:rPr>
        <w:t>specifies</w:t>
      </w:r>
      <w:r w:rsidR="0032712F" w:rsidRPr="008F6783">
        <w:rPr>
          <w:szCs w:val="22"/>
        </w:rPr>
        <w:t xml:space="preserve"> the use of </w:t>
      </w:r>
      <w:r w:rsidR="0043655D" w:rsidRPr="008F6783">
        <w:rPr>
          <w:szCs w:val="22"/>
        </w:rPr>
        <w:t>a</w:t>
      </w:r>
      <w:r w:rsidR="0032712F" w:rsidRPr="008F6783">
        <w:rPr>
          <w:szCs w:val="22"/>
        </w:rPr>
        <w:t xml:space="preserve"> </w:t>
      </w:r>
      <w:r w:rsidR="00741819" w:rsidRPr="008F6783">
        <w:rPr>
          <w:b/>
          <w:bCs w:val="0"/>
          <w:szCs w:val="22"/>
        </w:rPr>
        <w:t>furin cleavage site</w:t>
      </w:r>
      <w:r w:rsidR="0032712F" w:rsidRPr="008F6783">
        <w:rPr>
          <w:szCs w:val="22"/>
        </w:rPr>
        <w:t xml:space="preserve">. </w:t>
      </w:r>
      <w:r w:rsidR="006060CF" w:rsidRPr="008F6783">
        <w:rPr>
          <w:szCs w:val="22"/>
        </w:rPr>
        <w:t xml:space="preserve">This patent </w:t>
      </w:r>
      <w:r w:rsidR="001A65AD" w:rsidRPr="008F6783">
        <w:rPr>
          <w:szCs w:val="22"/>
        </w:rPr>
        <w:t xml:space="preserve">also </w:t>
      </w:r>
      <w:r w:rsidR="006060CF" w:rsidRPr="008F6783">
        <w:rPr>
          <w:szCs w:val="22"/>
        </w:rPr>
        <w:t xml:space="preserve">covers </w:t>
      </w:r>
      <w:r w:rsidR="006060CF" w:rsidRPr="008F6783">
        <w:rPr>
          <w:b/>
          <w:bCs w:val="0"/>
          <w:szCs w:val="22"/>
        </w:rPr>
        <w:t>microRNA seed-complementary sites</w:t>
      </w:r>
      <w:r w:rsidR="006060CF" w:rsidRPr="008F6783">
        <w:rPr>
          <w:szCs w:val="22"/>
        </w:rPr>
        <w:t xml:space="preserve"> </w:t>
      </w:r>
      <w:r w:rsidR="006060CF" w:rsidRPr="008F6783">
        <w:t>comprising 19-25 nucleotide-long non</w:t>
      </w:r>
      <w:r w:rsidR="00906E8C" w:rsidRPr="008F6783">
        <w:t>-</w:t>
      </w:r>
      <w:r w:rsidR="006060CF" w:rsidRPr="008F6783">
        <w:t xml:space="preserve">coding RNAs containing a seed region, which is complementary to </w:t>
      </w:r>
      <w:r w:rsidR="0056745E" w:rsidRPr="008F6783">
        <w:t>a</w:t>
      </w:r>
      <w:r w:rsidR="006060CF" w:rsidRPr="008F6783">
        <w:t xml:space="preserve"> target sequence </w:t>
      </w:r>
      <w:r w:rsidR="00F45406">
        <w:t>that</w:t>
      </w:r>
      <w:r w:rsidR="006060CF" w:rsidRPr="008F6783">
        <w:t xml:space="preserve"> can </w:t>
      </w:r>
      <w:r w:rsidR="006060CF" w:rsidRPr="00857835">
        <w:rPr>
          <w:b/>
          <w:bCs w:val="0"/>
        </w:rPr>
        <w:t>down-regulate gene expression</w:t>
      </w:r>
      <w:r w:rsidR="006060CF" w:rsidRPr="008F6783">
        <w:t>.</w:t>
      </w:r>
      <w:r w:rsidR="006060CF" w:rsidRPr="008F6783">
        <w:rPr>
          <w:szCs w:val="22"/>
        </w:rPr>
        <w:t xml:space="preserve"> </w:t>
      </w:r>
      <w:r w:rsidR="00E84469" w:rsidRPr="008F6783">
        <w:rPr>
          <w:szCs w:val="22"/>
        </w:rPr>
        <w:t>Moderna</w:t>
      </w:r>
      <w:r w:rsidR="00894214" w:rsidRPr="008F6783">
        <w:rPr>
          <w:szCs w:val="22"/>
        </w:rPr>
        <w:t>’s</w:t>
      </w:r>
      <w:r w:rsidR="00E84469" w:rsidRPr="008F6783">
        <w:rPr>
          <w:szCs w:val="22"/>
        </w:rPr>
        <w:t xml:space="preserve"> patent</w:t>
      </w:r>
      <w:r w:rsidR="00EA46D1" w:rsidRPr="008F6783">
        <w:rPr>
          <w:szCs w:val="22"/>
        </w:rPr>
        <w:t>ed</w:t>
      </w:r>
      <w:r w:rsidR="00E84469" w:rsidRPr="008F6783">
        <w:rPr>
          <w:szCs w:val="22"/>
        </w:rPr>
        <w:t xml:space="preserve"> sequence</w:t>
      </w:r>
      <w:r w:rsidR="00CB5587" w:rsidRPr="008F6783">
        <w:rPr>
          <w:szCs w:val="22"/>
        </w:rPr>
        <w:t xml:space="preserve"> </w:t>
      </w:r>
      <w:r w:rsidR="00FA25B6" w:rsidRPr="008F6783">
        <w:rPr>
          <w:szCs w:val="22"/>
        </w:rPr>
        <w:t xml:space="preserve">listing </w:t>
      </w:r>
      <w:r w:rsidR="00E84C69" w:rsidRPr="008F6783">
        <w:rPr>
          <w:szCs w:val="22"/>
        </w:rPr>
        <w:t xml:space="preserve">in US9587003B2 </w:t>
      </w:r>
      <w:r w:rsidR="00EA46D1" w:rsidRPr="008F6783">
        <w:rPr>
          <w:szCs w:val="22"/>
        </w:rPr>
        <w:t>reveal</w:t>
      </w:r>
      <w:r w:rsidR="008A53D2" w:rsidRPr="008F6783">
        <w:rPr>
          <w:szCs w:val="22"/>
        </w:rPr>
        <w:t>ed</w:t>
      </w:r>
      <w:r w:rsidR="00EA46D1" w:rsidRPr="008F6783">
        <w:rPr>
          <w:szCs w:val="22"/>
        </w:rPr>
        <w:t xml:space="preserve"> </w:t>
      </w:r>
      <w:r w:rsidR="00FA25B6" w:rsidRPr="008F6783">
        <w:rPr>
          <w:szCs w:val="22"/>
        </w:rPr>
        <w:t>a</w:t>
      </w:r>
      <w:r w:rsidR="00E84C69" w:rsidRPr="008F6783">
        <w:rPr>
          <w:szCs w:val="22"/>
        </w:rPr>
        <w:t>n</w:t>
      </w:r>
      <w:r w:rsidR="00BE3065" w:rsidRPr="008F6783">
        <w:rPr>
          <w:szCs w:val="22"/>
        </w:rPr>
        <w:t xml:space="preserve"> </w:t>
      </w:r>
      <w:r w:rsidR="00E84C69" w:rsidRPr="008F6783">
        <w:rPr>
          <w:b/>
          <w:bCs w:val="0"/>
          <w:szCs w:val="22"/>
        </w:rPr>
        <w:t>artificial</w:t>
      </w:r>
      <w:r w:rsidR="00E84C69" w:rsidRPr="008F6783">
        <w:rPr>
          <w:szCs w:val="22"/>
        </w:rPr>
        <w:t xml:space="preserve"> sequence </w:t>
      </w:r>
      <w:r w:rsidR="00857835">
        <w:rPr>
          <w:szCs w:val="22"/>
        </w:rPr>
        <w:t xml:space="preserve">fragment </w:t>
      </w:r>
      <w:r w:rsidR="00445385" w:rsidRPr="008F6783">
        <w:rPr>
          <w:szCs w:val="22"/>
        </w:rPr>
        <w:t xml:space="preserve">comprising </w:t>
      </w:r>
      <w:r w:rsidR="008A53D2" w:rsidRPr="008F6783">
        <w:rPr>
          <w:szCs w:val="22"/>
        </w:rPr>
        <w:t>5′-CTACGTGCCCGCCGAGGAG-3′ (nt 2733-2751 of SEQ ID11652</w:t>
      </w:r>
      <w:r w:rsidR="008B5CAC">
        <w:rPr>
          <w:szCs w:val="22"/>
        </w:rPr>
        <w:t>, Ambati</w:t>
      </w:r>
      <w:r w:rsidR="00BC4E71">
        <w:rPr>
          <w:szCs w:val="22"/>
        </w:rPr>
        <w:t xml:space="preserve"> et al.</w:t>
      </w:r>
      <w:r w:rsidR="008B5CAC">
        <w:rPr>
          <w:szCs w:val="22"/>
        </w:rPr>
        <w:t>)</w:t>
      </w:r>
      <w:r w:rsidR="00D31377" w:rsidRPr="008F6783">
        <w:rPr>
          <w:szCs w:val="22"/>
        </w:rPr>
        <w:t>.</w:t>
      </w:r>
      <w:r w:rsidR="008A53D2" w:rsidRPr="008F6783">
        <w:rPr>
          <w:rStyle w:val="EndnoteReference"/>
          <w:szCs w:val="22"/>
        </w:rPr>
        <w:endnoteReference w:id="425"/>
      </w:r>
      <w:r w:rsidR="008A53D2" w:rsidRPr="008F6783">
        <w:rPr>
          <w:szCs w:val="22"/>
          <w:vertAlign w:val="superscript"/>
        </w:rPr>
        <w:t>,</w:t>
      </w:r>
      <w:r w:rsidR="00894214" w:rsidRPr="008F6783">
        <w:rPr>
          <w:rStyle w:val="EndnoteReference"/>
          <w:szCs w:val="22"/>
        </w:rPr>
        <w:endnoteReference w:id="426"/>
      </w:r>
      <w:r w:rsidR="00EA46D1" w:rsidRPr="008F6783">
        <w:rPr>
          <w:szCs w:val="22"/>
        </w:rPr>
        <w:t xml:space="preserve"> </w:t>
      </w:r>
      <w:r w:rsidR="00D31377" w:rsidRPr="008F6783">
        <w:rPr>
          <w:szCs w:val="22"/>
        </w:rPr>
        <w:t>This</w:t>
      </w:r>
      <w:r w:rsidR="00EA46D1" w:rsidRPr="008F6783">
        <w:rPr>
          <w:szCs w:val="22"/>
        </w:rPr>
        <w:t xml:space="preserve"> is the </w:t>
      </w:r>
      <w:r w:rsidR="00EA46D1" w:rsidRPr="008F6783">
        <w:rPr>
          <w:b/>
          <w:bCs w:val="0"/>
          <w:szCs w:val="22"/>
        </w:rPr>
        <w:t xml:space="preserve">reverse complement </w:t>
      </w:r>
      <w:r w:rsidR="00EA46D1" w:rsidRPr="008F6783">
        <w:rPr>
          <w:szCs w:val="22"/>
        </w:rPr>
        <w:t>of CTCCTCGGCGGGCACGTAG</w:t>
      </w:r>
      <w:r w:rsidR="00D31377" w:rsidRPr="008F6783">
        <w:rPr>
          <w:szCs w:val="22"/>
        </w:rPr>
        <w:t>,</w:t>
      </w:r>
      <w:r w:rsidR="00894214" w:rsidRPr="008F6783">
        <w:rPr>
          <w:rStyle w:val="EndnoteReference"/>
          <w:szCs w:val="22"/>
        </w:rPr>
        <w:endnoteReference w:id="427"/>
      </w:r>
      <w:r w:rsidR="00CB5587" w:rsidRPr="008F6783">
        <w:rPr>
          <w:szCs w:val="22"/>
          <w:vertAlign w:val="superscript"/>
        </w:rPr>
        <w:t xml:space="preserve"> </w:t>
      </w:r>
      <w:r w:rsidR="005C5D5B" w:rsidRPr="008F6783">
        <w:rPr>
          <w:szCs w:val="22"/>
        </w:rPr>
        <w:t xml:space="preserve">which is 100% matched with </w:t>
      </w:r>
      <w:r w:rsidR="00091DD5" w:rsidRPr="008F6783">
        <w:rPr>
          <w:szCs w:val="22"/>
        </w:rPr>
        <w:t xml:space="preserve">SARS-CoV-2 </w:t>
      </w:r>
      <w:r w:rsidR="00091DD5" w:rsidRPr="008F6783">
        <w:rPr>
          <w:rFonts w:cs="Times New Roman"/>
          <w:szCs w:val="22"/>
        </w:rPr>
        <w:t>Wuhan-Hu-1</w:t>
      </w:r>
      <w:r w:rsidR="000515C5" w:rsidRPr="008F6783">
        <w:rPr>
          <w:rFonts w:cs="Times New Roman"/>
          <w:szCs w:val="22"/>
        </w:rPr>
        <w:t xml:space="preserve"> strain </w:t>
      </w:r>
      <w:r w:rsidR="00EA46D1" w:rsidRPr="008F6783">
        <w:rPr>
          <w:szCs w:val="22"/>
        </w:rPr>
        <w:t>from nucleotide</w:t>
      </w:r>
      <w:r w:rsidR="008F6783" w:rsidRPr="008F6783">
        <w:rPr>
          <w:szCs w:val="22"/>
        </w:rPr>
        <w:t>s</w:t>
      </w:r>
      <w:r w:rsidR="00EA46D1" w:rsidRPr="008F6783">
        <w:rPr>
          <w:szCs w:val="22"/>
        </w:rPr>
        <w:t xml:space="preserve"> 23601-2361</w:t>
      </w:r>
      <w:r w:rsidR="00CB5587" w:rsidRPr="008F6783">
        <w:rPr>
          <w:szCs w:val="22"/>
        </w:rPr>
        <w:t>9</w:t>
      </w:r>
      <w:r w:rsidR="001A65AD" w:rsidRPr="008F6783">
        <w:rPr>
          <w:szCs w:val="22"/>
        </w:rPr>
        <w:t xml:space="preserve"> </w:t>
      </w:r>
      <w:r>
        <w:rPr>
          <w:szCs w:val="22"/>
        </w:rPr>
        <w:t>that</w:t>
      </w:r>
      <w:r w:rsidR="008F6783" w:rsidRPr="008F6783">
        <w:rPr>
          <w:szCs w:val="22"/>
        </w:rPr>
        <w:t xml:space="preserve"> encodes the PRRA furin cleavage site (CCT.CGG.CGG.GCA).</w:t>
      </w:r>
      <w:r w:rsidRPr="008F6783">
        <w:rPr>
          <w:rStyle w:val="EndnoteReference"/>
          <w:szCs w:val="22"/>
        </w:rPr>
        <w:endnoteReference w:id="428"/>
      </w:r>
      <w:r w:rsidR="008F6783" w:rsidRPr="008F6783">
        <w:rPr>
          <w:szCs w:val="22"/>
        </w:rPr>
        <w:t xml:space="preserve"> </w:t>
      </w:r>
      <w:r w:rsidR="00CB5587" w:rsidRPr="008F6783">
        <w:rPr>
          <w:szCs w:val="22"/>
        </w:rPr>
        <w:t>This 19</w:t>
      </w:r>
      <w:r w:rsidR="006A3021" w:rsidRPr="008F6783">
        <w:rPr>
          <w:szCs w:val="22"/>
        </w:rPr>
        <w:t>-</w:t>
      </w:r>
      <w:r w:rsidR="00CB5587" w:rsidRPr="008F6783">
        <w:rPr>
          <w:szCs w:val="22"/>
        </w:rPr>
        <w:t>nucleotide sequence</w:t>
      </w:r>
      <w:r w:rsidR="00E01616" w:rsidRPr="008F6783">
        <w:rPr>
          <w:szCs w:val="22"/>
        </w:rPr>
        <w:t xml:space="preserve"> is </w:t>
      </w:r>
      <w:r w:rsidR="00E01616" w:rsidRPr="008F6783">
        <w:rPr>
          <w:b/>
          <w:bCs w:val="0"/>
          <w:szCs w:val="22"/>
        </w:rPr>
        <w:t>without preceden</w:t>
      </w:r>
      <w:r w:rsidR="008B5CAC">
        <w:rPr>
          <w:b/>
          <w:bCs w:val="0"/>
          <w:szCs w:val="22"/>
        </w:rPr>
        <w:t>ce</w:t>
      </w:r>
      <w:r w:rsidR="00E01616" w:rsidRPr="008F6783">
        <w:rPr>
          <w:szCs w:val="22"/>
        </w:rPr>
        <w:t xml:space="preserve"> in any</w:t>
      </w:r>
      <w:r w:rsidR="005122A9" w:rsidRPr="008F6783">
        <w:rPr>
          <w:szCs w:val="22"/>
        </w:rPr>
        <w:t xml:space="preserve"> </w:t>
      </w:r>
      <w:r w:rsidR="008A53D2" w:rsidRPr="008F6783">
        <w:rPr>
          <w:szCs w:val="22"/>
        </w:rPr>
        <w:t>mammalian or viral genome in the BLAST database</w:t>
      </w:r>
      <w:r w:rsidR="005122A9" w:rsidRPr="008F6783">
        <w:rPr>
          <w:szCs w:val="22"/>
        </w:rPr>
        <w:t xml:space="preserve"> except</w:t>
      </w:r>
      <w:r w:rsidR="00E01616" w:rsidRPr="008F6783">
        <w:rPr>
          <w:szCs w:val="22"/>
        </w:rPr>
        <w:t xml:space="preserve"> </w:t>
      </w:r>
      <w:r w:rsidR="008A53D2" w:rsidRPr="008F6783">
        <w:rPr>
          <w:szCs w:val="22"/>
        </w:rPr>
        <w:t xml:space="preserve">in </w:t>
      </w:r>
      <w:r w:rsidR="00E01616" w:rsidRPr="008F6783">
        <w:rPr>
          <w:szCs w:val="22"/>
        </w:rPr>
        <w:t>SARS-CoV-2</w:t>
      </w:r>
      <w:r w:rsidR="005122A9" w:rsidRPr="008F6783">
        <w:rPr>
          <w:szCs w:val="22"/>
        </w:rPr>
        <w:t>.</w:t>
      </w:r>
      <w:r w:rsidR="00E84469" w:rsidRPr="008F6783">
        <w:rPr>
          <w:szCs w:val="22"/>
          <w:vertAlign w:val="superscript"/>
        </w:rPr>
        <w:t xml:space="preserve"> </w:t>
      </w:r>
      <w:r w:rsidR="005122A9" w:rsidRPr="008F6783">
        <w:rPr>
          <w:szCs w:val="22"/>
        </w:rPr>
        <w:t xml:space="preserve">The probability of this sequence being randomly present in a 30,000-nucleotide viral genome was </w:t>
      </w:r>
      <w:r w:rsidR="006A3021" w:rsidRPr="008F6783">
        <w:rPr>
          <w:szCs w:val="22"/>
        </w:rPr>
        <w:t xml:space="preserve">estimated at </w:t>
      </w:r>
      <w:r w:rsidR="005122A9" w:rsidRPr="008F6783">
        <w:rPr>
          <w:szCs w:val="22"/>
        </w:rPr>
        <w:t>3.21×10</w:t>
      </w:r>
      <w:r w:rsidR="005122A9" w:rsidRPr="008F6783">
        <w:rPr>
          <w:szCs w:val="22"/>
          <w:vertAlign w:val="superscript"/>
        </w:rPr>
        <w:t>−11</w:t>
      </w:r>
      <w:r w:rsidR="008B5CAC" w:rsidRPr="008B5CAC">
        <w:rPr>
          <w:szCs w:val="22"/>
        </w:rPr>
        <w:t xml:space="preserve"> (Ambati</w:t>
      </w:r>
      <w:r w:rsidR="00BC4E71">
        <w:rPr>
          <w:szCs w:val="22"/>
        </w:rPr>
        <w:t xml:space="preserve"> et al.</w:t>
      </w:r>
      <w:r w:rsidR="008B5CAC" w:rsidRPr="008B5CAC">
        <w:rPr>
          <w:szCs w:val="22"/>
        </w:rPr>
        <w:t>)</w:t>
      </w:r>
      <w:r w:rsidR="000515C5" w:rsidRPr="008B5CAC">
        <w:rPr>
          <w:szCs w:val="22"/>
        </w:rPr>
        <w:t>.</w:t>
      </w:r>
      <w:r w:rsidR="005122A9" w:rsidRPr="008B5CAC">
        <w:rPr>
          <w:szCs w:val="22"/>
        </w:rPr>
        <w:t xml:space="preserve"> </w:t>
      </w:r>
    </w:p>
    <w:p w14:paraId="0D24CFFF" w14:textId="3C18713F" w:rsidR="00BC4E71" w:rsidRDefault="00EC36E0" w:rsidP="00E01616">
      <w:r>
        <w:lastRenderedPageBreak/>
        <w:t>Furthermore, t</w:t>
      </w:r>
      <w:r w:rsidR="00E1399D" w:rsidRPr="00E1399D">
        <w:t>h</w:t>
      </w:r>
      <w:r w:rsidR="007F78B8">
        <w:t>is</w:t>
      </w:r>
      <w:r w:rsidR="00E1399D" w:rsidRPr="00E1399D">
        <w:t xml:space="preserve"> </w:t>
      </w:r>
      <w:r w:rsidR="00931237">
        <w:t>“</w:t>
      </w:r>
      <w:r w:rsidR="00E1399D" w:rsidRPr="00E1399D">
        <w:rPr>
          <w:szCs w:val="22"/>
        </w:rPr>
        <w:t>PRRA</w:t>
      </w:r>
      <w:r w:rsidR="00931237">
        <w:rPr>
          <w:szCs w:val="22"/>
        </w:rPr>
        <w:t>”</w:t>
      </w:r>
      <w:r w:rsidR="00E1399D" w:rsidRPr="00E1399D">
        <w:rPr>
          <w:szCs w:val="22"/>
        </w:rPr>
        <w:t xml:space="preserve"> </w:t>
      </w:r>
      <w:r w:rsidR="007F78B8">
        <w:rPr>
          <w:szCs w:val="22"/>
        </w:rPr>
        <w:t xml:space="preserve">furin cleavage site </w:t>
      </w:r>
      <w:r w:rsidR="008B5CAC">
        <w:rPr>
          <w:szCs w:val="22"/>
        </w:rPr>
        <w:t xml:space="preserve">(cell entry) </w:t>
      </w:r>
      <w:r w:rsidR="00E1399D" w:rsidRPr="00E1399D">
        <w:rPr>
          <w:szCs w:val="22"/>
        </w:rPr>
        <w:t xml:space="preserve">is </w:t>
      </w:r>
      <w:r w:rsidR="008B5CAC">
        <w:rPr>
          <w:szCs w:val="22"/>
        </w:rPr>
        <w:t>subsumed within</w:t>
      </w:r>
      <w:r w:rsidR="00E1399D" w:rsidRPr="00E1399D">
        <w:rPr>
          <w:szCs w:val="22"/>
        </w:rPr>
        <w:t xml:space="preserve"> a </w:t>
      </w:r>
      <w:r>
        <w:rPr>
          <w:szCs w:val="22"/>
        </w:rPr>
        <w:t xml:space="preserve">longer </w:t>
      </w:r>
      <w:r w:rsidR="00E1399D" w:rsidRPr="00E1399D">
        <w:t xml:space="preserve">functional </w:t>
      </w:r>
      <w:r w:rsidR="00E1399D" w:rsidRPr="00906E8C">
        <w:rPr>
          <w:b/>
          <w:bCs w:val="0"/>
        </w:rPr>
        <w:t>nuclear localization signal</w:t>
      </w:r>
      <w:r w:rsidR="00E1399D" w:rsidRPr="00E1399D">
        <w:t xml:space="preserve"> (NLS) </w:t>
      </w:r>
      <w:r>
        <w:t>sequence</w:t>
      </w:r>
      <w:r w:rsidR="00217413">
        <w:t>,</w:t>
      </w:r>
      <w:r w:rsidR="00E1399D" w:rsidRPr="00E1399D">
        <w:t xml:space="preserve"> “PRRARSV</w:t>
      </w:r>
      <w:r w:rsidR="00F45406">
        <w:t>.”</w:t>
      </w:r>
      <w:r w:rsidR="00E1399D" w:rsidRPr="00E1399D">
        <w:t xml:space="preserve"> This NLS </w:t>
      </w:r>
      <w:r>
        <w:t>sequence</w:t>
      </w:r>
      <w:r w:rsidRPr="00E1399D">
        <w:t xml:space="preserve"> </w:t>
      </w:r>
      <w:r w:rsidR="00E1399D" w:rsidRPr="00E1399D">
        <w:t xml:space="preserve">enables SARS-CoV-2 spike proteins to </w:t>
      </w:r>
      <w:r w:rsidR="00E1399D" w:rsidRPr="007F78B8">
        <w:rPr>
          <w:b/>
          <w:bCs w:val="0"/>
        </w:rPr>
        <w:t>translocate into the nucleus</w:t>
      </w:r>
      <w:r w:rsidR="00E1399D" w:rsidRPr="00E1399D">
        <w:t xml:space="preserve"> in infected </w:t>
      </w:r>
      <w:r w:rsidR="007F78B8" w:rsidRPr="007F78B8">
        <w:t>airway epitheli</w:t>
      </w:r>
      <w:r w:rsidR="007F78B8">
        <w:t>al</w:t>
      </w:r>
      <w:r w:rsidR="007F78B8" w:rsidRPr="007F78B8">
        <w:t xml:space="preserve"> </w:t>
      </w:r>
      <w:r w:rsidR="00E1399D" w:rsidRPr="00E1399D">
        <w:t>cells</w:t>
      </w:r>
      <w:r w:rsidR="00217413">
        <w:t>. It</w:t>
      </w:r>
      <w:r w:rsidR="0056745E">
        <w:t xml:space="preserve"> </w:t>
      </w:r>
      <w:r w:rsidR="00E1399D" w:rsidRPr="00E1399D">
        <w:t xml:space="preserve">may </w:t>
      </w:r>
      <w:r w:rsidR="00196FD3">
        <w:t xml:space="preserve">also </w:t>
      </w:r>
      <w:r w:rsidR="00E1399D" w:rsidRPr="00906E8C">
        <w:t xml:space="preserve">shuttle </w:t>
      </w:r>
      <w:r w:rsidR="00E259B3">
        <w:t>s</w:t>
      </w:r>
      <w:r w:rsidR="007F78B8" w:rsidRPr="00906E8C">
        <w:t>pike</w:t>
      </w:r>
      <w:r w:rsidR="00E1399D" w:rsidRPr="007F78B8">
        <w:rPr>
          <w:b/>
          <w:bCs w:val="0"/>
        </w:rPr>
        <w:t xml:space="preserve"> mRNA into the nucleu</w:t>
      </w:r>
      <w:r w:rsidR="007F78B8" w:rsidRPr="007F78B8">
        <w:rPr>
          <w:b/>
          <w:bCs w:val="0"/>
        </w:rPr>
        <w:t>s</w:t>
      </w:r>
      <w:r w:rsidR="00217413">
        <w:t xml:space="preserve"> </w:t>
      </w:r>
      <w:r w:rsidR="00E259B3">
        <w:t xml:space="preserve">and </w:t>
      </w:r>
      <w:r w:rsidR="007F78B8" w:rsidRPr="00E1399D">
        <w:t xml:space="preserve">possibly the </w:t>
      </w:r>
      <w:r w:rsidR="00196FD3">
        <w:t xml:space="preserve">whole </w:t>
      </w:r>
      <w:r w:rsidR="007F78B8" w:rsidRPr="00E1399D">
        <w:t>genome</w:t>
      </w:r>
      <w:r w:rsidR="00E1399D" w:rsidRPr="00E1399D">
        <w:t xml:space="preserve">. This nuclear transfer of spike protein is </w:t>
      </w:r>
      <w:r w:rsidR="00E1399D" w:rsidRPr="007F78B8">
        <w:rPr>
          <w:b/>
          <w:bCs w:val="0"/>
        </w:rPr>
        <w:t>without precedent</w:t>
      </w:r>
      <w:r w:rsidR="00906E8C">
        <w:rPr>
          <w:b/>
          <w:bCs w:val="0"/>
        </w:rPr>
        <w:t xml:space="preserve"> </w:t>
      </w:r>
      <w:r w:rsidR="00E1399D" w:rsidRPr="007F78B8">
        <w:t>in all coronaviruses</w:t>
      </w:r>
      <w:r w:rsidR="00E1399D" w:rsidRPr="00E1399D">
        <w:t xml:space="preserve"> and represents a novel pathogenic</w:t>
      </w:r>
      <w:r w:rsidR="00906E8C">
        <w:t xml:space="preserve"> feature</w:t>
      </w:r>
      <w:r w:rsidR="00E1399D" w:rsidRPr="00E1399D">
        <w:t xml:space="preserve"> </w:t>
      </w:r>
      <w:r w:rsidR="00E1399D" w:rsidRPr="00E1399D">
        <w:rPr>
          <w:szCs w:val="22"/>
        </w:rPr>
        <w:t>(</w:t>
      </w:r>
      <w:r w:rsidR="00E1399D" w:rsidRPr="008B5CAC">
        <w:rPr>
          <w:szCs w:val="22"/>
        </w:rPr>
        <w:t>preprint).</w:t>
      </w:r>
      <w:r w:rsidR="00E1399D" w:rsidRPr="008B5CAC">
        <w:rPr>
          <w:rStyle w:val="EndnoteReference"/>
          <w:szCs w:val="22"/>
        </w:rPr>
        <w:endnoteReference w:id="429"/>
      </w:r>
      <w:r w:rsidR="007F78B8" w:rsidRPr="008B5CAC">
        <w:rPr>
          <w:szCs w:val="22"/>
        </w:rPr>
        <w:t xml:space="preserve"> </w:t>
      </w:r>
      <w:r w:rsidR="008B5CAC" w:rsidRPr="00196FD3">
        <w:rPr>
          <w:szCs w:val="22"/>
        </w:rPr>
        <w:t>Thus,</w:t>
      </w:r>
      <w:r w:rsidR="007F78B8" w:rsidRPr="00196FD3">
        <w:rPr>
          <w:szCs w:val="22"/>
        </w:rPr>
        <w:t xml:space="preserve"> a</w:t>
      </w:r>
      <w:r w:rsidR="00196FD3" w:rsidRPr="00196FD3">
        <w:rPr>
          <w:szCs w:val="22"/>
        </w:rPr>
        <w:t>n</w:t>
      </w:r>
      <w:r w:rsidR="007F78B8" w:rsidRPr="00196FD3">
        <w:rPr>
          <w:szCs w:val="22"/>
        </w:rPr>
        <w:t xml:space="preserve"> </w:t>
      </w:r>
      <w:r w:rsidR="00196FD3">
        <w:rPr>
          <w:szCs w:val="22"/>
        </w:rPr>
        <w:t xml:space="preserve">unprecedented CGG-CGG encoded </w:t>
      </w:r>
      <w:r w:rsidR="007F78B8" w:rsidRPr="00196FD3">
        <w:rPr>
          <w:szCs w:val="22"/>
        </w:rPr>
        <w:t xml:space="preserve">Arginine </w:t>
      </w:r>
      <w:r w:rsidR="00196FD3">
        <w:rPr>
          <w:szCs w:val="22"/>
        </w:rPr>
        <w:t>doublet containing</w:t>
      </w:r>
      <w:r w:rsidR="00196FD3" w:rsidRPr="00196FD3">
        <w:rPr>
          <w:szCs w:val="22"/>
        </w:rPr>
        <w:t xml:space="preserve"> </w:t>
      </w:r>
      <w:r w:rsidR="008B5CAC" w:rsidRPr="00196FD3">
        <w:rPr>
          <w:szCs w:val="22"/>
        </w:rPr>
        <w:t xml:space="preserve">FCS subsumed within a </w:t>
      </w:r>
      <w:r w:rsidR="00196FD3" w:rsidRPr="00196FD3">
        <w:rPr>
          <w:szCs w:val="22"/>
        </w:rPr>
        <w:t xml:space="preserve">longer </w:t>
      </w:r>
      <w:r w:rsidR="008B5CAC" w:rsidRPr="00196FD3">
        <w:rPr>
          <w:szCs w:val="22"/>
        </w:rPr>
        <w:t>NLS sequence</w:t>
      </w:r>
      <w:r w:rsidR="00BF65D7" w:rsidRPr="00196FD3">
        <w:rPr>
          <w:szCs w:val="22"/>
        </w:rPr>
        <w:t xml:space="preserve">, </w:t>
      </w:r>
      <w:r w:rsidR="00196FD3">
        <w:rPr>
          <w:szCs w:val="22"/>
        </w:rPr>
        <w:t>which</w:t>
      </w:r>
      <w:r w:rsidR="00916448">
        <w:rPr>
          <w:szCs w:val="22"/>
        </w:rPr>
        <w:t xml:space="preserve"> </w:t>
      </w:r>
      <w:r w:rsidR="005E2082">
        <w:rPr>
          <w:szCs w:val="22"/>
        </w:rPr>
        <w:t>is</w:t>
      </w:r>
      <w:r w:rsidR="00196FD3">
        <w:rPr>
          <w:szCs w:val="22"/>
        </w:rPr>
        <w:t xml:space="preserve"> unprecedented in all </w:t>
      </w:r>
      <w:r w:rsidR="00E05E32">
        <w:rPr>
          <w:szCs w:val="22"/>
        </w:rPr>
        <w:t>known</w:t>
      </w:r>
      <w:r w:rsidR="00980651">
        <w:rPr>
          <w:szCs w:val="22"/>
        </w:rPr>
        <w:t xml:space="preserve"> viruses</w:t>
      </w:r>
      <w:r w:rsidR="00196FD3">
        <w:rPr>
          <w:szCs w:val="22"/>
        </w:rPr>
        <w:t xml:space="preserve">, </w:t>
      </w:r>
      <w:r w:rsidR="008177E8" w:rsidRPr="00196FD3">
        <w:rPr>
          <w:szCs w:val="22"/>
        </w:rPr>
        <w:t xml:space="preserve">collectively </w:t>
      </w:r>
      <w:r w:rsidR="007F78B8" w:rsidRPr="00196FD3">
        <w:t>provid</w:t>
      </w:r>
      <w:r w:rsidR="00906E8C" w:rsidRPr="00196FD3">
        <w:t>e</w:t>
      </w:r>
      <w:r w:rsidR="00BF65D7" w:rsidRPr="00196FD3">
        <w:t>s</w:t>
      </w:r>
      <w:r w:rsidR="007F78B8" w:rsidRPr="00196FD3">
        <w:t xml:space="preserve"> </w:t>
      </w:r>
      <w:r w:rsidR="00196FD3">
        <w:t xml:space="preserve">a 2-in-1 </w:t>
      </w:r>
      <w:r w:rsidR="007F78B8" w:rsidRPr="00196FD3">
        <w:t>enhanced infectivity and pathogenesis</w:t>
      </w:r>
      <w:r w:rsidR="00857835" w:rsidRPr="00196FD3">
        <w:t xml:space="preserve"> mechanism</w:t>
      </w:r>
      <w:r w:rsidR="00BF65D7" w:rsidRPr="00196FD3">
        <w:t>.</w:t>
      </w:r>
      <w:r w:rsidR="00196FD3">
        <w:t xml:space="preserve"> What are the odds? </w:t>
      </w:r>
      <w:r w:rsidR="00916448">
        <w:t>Nature or Gain-Of-Function?</w:t>
      </w:r>
      <w:r w:rsidR="00BC4E71">
        <w:t xml:space="preserve"> </w:t>
      </w:r>
    </w:p>
    <w:p w14:paraId="0BE43BBE" w14:textId="53D39F27" w:rsidR="007F78B8" w:rsidRPr="00196FD3" w:rsidRDefault="00D2064D" w:rsidP="00E01616">
      <w:r>
        <w:t>I</w:t>
      </w:r>
      <w:r w:rsidR="00BC4E71">
        <w:t xml:space="preserve">f future COVID-19 multi-strain vaccines still contain the Wuhan-Hu-1 </w:t>
      </w:r>
      <w:r>
        <w:t>strain,</w:t>
      </w:r>
      <w:r w:rsidR="00BC4E71">
        <w:t xml:space="preserve"> consider the technology motive</w:t>
      </w:r>
      <w:r>
        <w:t>. V</w:t>
      </w:r>
      <w:r w:rsidR="00540709">
        <w:t xml:space="preserve">accine design and antigen composition </w:t>
      </w:r>
      <w:r>
        <w:t>must</w:t>
      </w:r>
      <w:r w:rsidR="00540709">
        <w:t xml:space="preserve"> always </w:t>
      </w:r>
      <w:r>
        <w:t xml:space="preserve">be </w:t>
      </w:r>
      <w:r w:rsidR="00540709">
        <w:t>scientifically justified</w:t>
      </w:r>
      <w:r w:rsidR="00BC4E71">
        <w:t xml:space="preserve">. The Wuhan-Hu-1 vaccine strain’s ability to protect </w:t>
      </w:r>
      <w:r w:rsidR="008A1F88">
        <w:t xml:space="preserve">against infection or disease </w:t>
      </w:r>
      <w:r w:rsidR="00BC4E71">
        <w:t>is/will be marginal-negative with antigenically distinct strains (i.e., Omicron variants, new variants of concern)</w:t>
      </w:r>
      <w:r w:rsidR="008A1F88">
        <w:t>. N</w:t>
      </w:r>
      <w:r w:rsidR="00BC4E71">
        <w:t xml:space="preserve">ew vaccine strains </w:t>
      </w:r>
      <w:r w:rsidR="00926874">
        <w:t>will also likely</w:t>
      </w:r>
      <w:r w:rsidR="00BC4E71">
        <w:t xml:space="preserve"> face antigenic imprinting issues undermining any </w:t>
      </w:r>
      <w:r w:rsidR="00DE2F7D">
        <w:t xml:space="preserve">disease </w:t>
      </w:r>
      <w:r w:rsidR="00BC4E71">
        <w:t xml:space="preserve">protection benefits (section 1.1.8). Wuhan-Hu-1’s </w:t>
      </w:r>
      <w:r w:rsidR="00540709">
        <w:t xml:space="preserve">future vaccine </w:t>
      </w:r>
      <w:r w:rsidR="00BC4E71">
        <w:t xml:space="preserve">inclusion </w:t>
      </w:r>
      <w:r w:rsidR="00540709">
        <w:t xml:space="preserve">will </w:t>
      </w:r>
      <w:r w:rsidR="00BC4E71">
        <w:t xml:space="preserve">ensure this non-mutated multi-functional </w:t>
      </w:r>
      <w:r w:rsidR="00BC4E71" w:rsidRPr="00E1399D">
        <w:t>PRRARSV</w:t>
      </w:r>
      <w:r w:rsidR="00BC4E71">
        <w:t xml:space="preserve"> infectivity-pathogenicity enhancing sequence is retained</w:t>
      </w:r>
      <w:r w:rsidR="00540709">
        <w:t xml:space="preserve">, along with the other </w:t>
      </w:r>
      <w:r>
        <w:t xml:space="preserve">un-mutated </w:t>
      </w:r>
      <w:r w:rsidR="00540709">
        <w:t xml:space="preserve">spike protein </w:t>
      </w:r>
      <w:r>
        <w:t>gain-of-function</w:t>
      </w:r>
      <w:r w:rsidR="00540709">
        <w:t xml:space="preserve"> infectivity-pathogenicity enhancing </w:t>
      </w:r>
      <w:r>
        <w:t>sequences</w:t>
      </w:r>
      <w:r w:rsidR="00BC4E71">
        <w:t>.</w:t>
      </w:r>
      <w:r w:rsidR="00540709">
        <w:t xml:space="preserve"> </w:t>
      </w:r>
      <w:r w:rsidR="006F6870">
        <w:t>B</w:t>
      </w:r>
      <w:r w:rsidR="00540709">
        <w:t xml:space="preserve">e </w:t>
      </w:r>
      <w:r w:rsidR="00540709" w:rsidRPr="006F6870">
        <w:rPr>
          <w:b/>
          <w:bCs w:val="0"/>
        </w:rPr>
        <w:t xml:space="preserve">highly suspicious </w:t>
      </w:r>
      <w:r w:rsidR="00540709" w:rsidRPr="006F6870">
        <w:t>of Wuhan-Hu-1</w:t>
      </w:r>
      <w:r w:rsidR="006F6870" w:rsidRPr="006F6870">
        <w:t>’s</w:t>
      </w:r>
      <w:r w:rsidR="00540709" w:rsidRPr="006F6870">
        <w:t xml:space="preserve"> </w:t>
      </w:r>
      <w:r w:rsidR="006F6870" w:rsidRPr="006F6870">
        <w:t xml:space="preserve">future vaccine </w:t>
      </w:r>
      <w:r w:rsidR="00540709" w:rsidRPr="006F6870">
        <w:t>inclusion</w:t>
      </w:r>
      <w:r w:rsidR="00540709">
        <w:t>.</w:t>
      </w:r>
    </w:p>
    <w:p w14:paraId="00E43871" w14:textId="415CFEAF" w:rsidR="00817EC2" w:rsidRDefault="00817EC2" w:rsidP="004C5C79">
      <w:pPr>
        <w:pStyle w:val="Heading3"/>
      </w:pPr>
      <w:bookmarkStart w:id="199" w:name="_Toc121035148"/>
      <w:r>
        <w:t xml:space="preserve">SARS-CoV-2 Contains HIV-1 Sequences and Utilizes </w:t>
      </w:r>
      <w:r w:rsidR="00525C70">
        <w:t xml:space="preserve">the Same </w:t>
      </w:r>
      <w:r w:rsidR="004572A4">
        <w:t>Lymphocyte</w:t>
      </w:r>
      <w:r>
        <w:t xml:space="preserve"> E</w:t>
      </w:r>
      <w:r w:rsidRPr="001D3B54">
        <w:t xml:space="preserve">ntry </w:t>
      </w:r>
      <w:r>
        <w:t>P</w:t>
      </w:r>
      <w:r w:rsidRPr="001D3B54">
        <w:t>athway</w:t>
      </w:r>
      <w:r>
        <w:t xml:space="preserve"> </w:t>
      </w:r>
      <w:r w:rsidR="00525C70">
        <w:t>as</w:t>
      </w:r>
      <w:r>
        <w:t xml:space="preserve"> HIV-1</w:t>
      </w:r>
      <w:r w:rsidR="006030AA">
        <w:t>,</w:t>
      </w:r>
      <w:r w:rsidR="0072040C">
        <w:t xml:space="preserve"> Among Other</w:t>
      </w:r>
      <w:r w:rsidR="00D2162C">
        <w:t xml:space="preserve"> Cell Entry Mechanisms</w:t>
      </w:r>
      <w:r w:rsidR="006030AA">
        <w:t xml:space="preserve"> Besides ACE2</w:t>
      </w:r>
      <w:bookmarkEnd w:id="199"/>
    </w:p>
    <w:p w14:paraId="4E037340" w14:textId="6F0BABAD" w:rsidR="00BA546A" w:rsidRDefault="00E01616" w:rsidP="00E01616">
      <w:pPr>
        <w:rPr>
          <w:vertAlign w:val="superscript"/>
        </w:rPr>
      </w:pPr>
      <w:r w:rsidRPr="00D4031E">
        <w:t xml:space="preserve">Two research groups identified HIV sequences in SARS-CoV-2. One group identified four HIV-1 insertions (i.e., gp120, Gag) in the spike protein (see PDF – obtained before its </w:t>
      </w:r>
      <w:r w:rsidRPr="00D4031E">
        <w:rPr>
          <w:i/>
        </w:rPr>
        <w:t>censorship</w:t>
      </w:r>
      <w:r w:rsidRPr="00D4031E">
        <w:rPr>
          <w:rStyle w:val="EndnoteReference"/>
        </w:rPr>
        <w:endnoteReference w:id="430"/>
      </w:r>
      <w:r w:rsidRPr="00D4031E">
        <w:t xml:space="preserve">). These sequences are </w:t>
      </w:r>
      <w:r w:rsidRPr="00D4031E">
        <w:rPr>
          <w:b/>
          <w:bCs w:val="0"/>
        </w:rPr>
        <w:t>without evolutionary precedent</w:t>
      </w:r>
      <w:r w:rsidRPr="00D4031E">
        <w:t xml:space="preserve"> in all coronavirus lineages. Despite these insertions being non-sequential in the primary sequence, 3D modeling revealed they helped form the receptor binding domain. The authors stated, “</w:t>
      </w:r>
      <w:r w:rsidRPr="00D4031E">
        <w:rPr>
          <w:i/>
        </w:rPr>
        <w:t>It is unlikely that all 4 inserts in the 2019-nCoV spike glycoprotein fortuitously match with 2 key structural proteins of an unrelated virus (HIV-1)</w:t>
      </w:r>
      <w:r w:rsidRPr="00D4031E">
        <w:t>.</w:t>
      </w:r>
      <w:r w:rsidRPr="00D4031E">
        <w:rPr>
          <w:rStyle w:val="EndnoteReference"/>
        </w:rPr>
        <w:endnoteReference w:id="431"/>
      </w:r>
      <w:r w:rsidRPr="00D4031E">
        <w:t xml:space="preserve"> Another group, including Nobel Laureate Luc Montagnier (i.e., HIV discoverer), found that 2.5% of the SARS-CoV-2 Wuhan genome comprised 16 HIV1, HIV2 and SIV fragments 18-30 nucleotides long from Env, Pol, and Integrase genes. Twelve of these fragments were concentrated in the ORF1ab and spike protein genes. The authors suggested </w:t>
      </w:r>
      <w:r w:rsidR="00217413">
        <w:t xml:space="preserve">that </w:t>
      </w:r>
      <w:r w:rsidRPr="00D4031E">
        <w:t xml:space="preserve">the genome </w:t>
      </w:r>
      <w:r w:rsidRPr="00D4031E">
        <w:rPr>
          <w:b/>
          <w:bCs w:val="0"/>
        </w:rPr>
        <w:t>had been modified</w:t>
      </w:r>
      <w:r w:rsidRPr="00D4031E">
        <w:t>.</w:t>
      </w:r>
      <w:r w:rsidRPr="00D4031E">
        <w:rPr>
          <w:rStyle w:val="EndnoteReference"/>
        </w:rPr>
        <w:endnoteReference w:id="432"/>
      </w:r>
      <w:r w:rsidRPr="00D4031E">
        <w:rPr>
          <w:rStyle w:val="EndnoteReference"/>
        </w:rPr>
        <w:t>,</w:t>
      </w:r>
      <w:r w:rsidRPr="00D4031E">
        <w:rPr>
          <w:rStyle w:val="EndnoteReference"/>
        </w:rPr>
        <w:endnoteReference w:id="433"/>
      </w:r>
    </w:p>
    <w:p w14:paraId="68F7FB9C" w14:textId="1D11DFCB" w:rsidR="00BA546A" w:rsidRPr="001D3B54" w:rsidRDefault="0088085B" w:rsidP="00E01616">
      <w:pPr>
        <w:rPr>
          <w:rFonts w:cs="Times New Roman"/>
          <w:szCs w:val="22"/>
        </w:rPr>
      </w:pPr>
      <w:r w:rsidRPr="001D3B54">
        <w:t xml:space="preserve">These HIV-1 </w:t>
      </w:r>
      <w:r w:rsidR="001322BA" w:rsidRPr="001D3B54">
        <w:t xml:space="preserve">gp120 </w:t>
      </w:r>
      <w:r w:rsidRPr="001D3B54">
        <w:t xml:space="preserve">insertions might explain </w:t>
      </w:r>
      <w:r w:rsidR="00D4031E" w:rsidRPr="001D3B54">
        <w:t>SARS-CoV-2’s ability to infect activated</w:t>
      </w:r>
      <w:r w:rsidR="002623F0" w:rsidRPr="001D3B54">
        <w:t xml:space="preserve"> </w:t>
      </w:r>
      <w:r w:rsidR="00207941" w:rsidRPr="001D3B54">
        <w:rPr>
          <w:rFonts w:cs="Times New Roman"/>
          <w:szCs w:val="22"/>
        </w:rPr>
        <w:t>CD4 + T-lymphocyte</w:t>
      </w:r>
      <w:r w:rsidR="00D4031E" w:rsidRPr="001D3B54">
        <w:rPr>
          <w:rFonts w:cs="Times New Roman"/>
          <w:szCs w:val="22"/>
        </w:rPr>
        <w:t xml:space="preserve">s utilizing </w:t>
      </w:r>
      <w:r w:rsidR="00207941" w:rsidRPr="001D3B54">
        <w:rPr>
          <w:rFonts w:cs="Times New Roman"/>
          <w:szCs w:val="22"/>
        </w:rPr>
        <w:t>the lymphocyte function-associated antigen-1 (LFA-1)</w:t>
      </w:r>
      <w:r w:rsidR="00D4031E" w:rsidRPr="001D3B54">
        <w:rPr>
          <w:rFonts w:cs="Times New Roman"/>
          <w:szCs w:val="22"/>
        </w:rPr>
        <w:t xml:space="preserve"> pathway, </w:t>
      </w:r>
      <w:r w:rsidR="001D3B54" w:rsidRPr="001D3B54">
        <w:rPr>
          <w:rFonts w:cs="Times New Roman"/>
          <w:szCs w:val="22"/>
        </w:rPr>
        <w:t>resulting in programmed cell death or apoptosis. This LFA-1 entry pathway is independent of the conventional spike protein-ACE2 receptor cell entry pathway.</w:t>
      </w:r>
      <w:r w:rsidR="001D3B54" w:rsidRPr="001D3B54">
        <w:rPr>
          <w:rStyle w:val="EndnoteReference"/>
          <w:rFonts w:cs="Times New Roman"/>
        </w:rPr>
        <w:endnoteReference w:id="434"/>
      </w:r>
      <w:r w:rsidR="001D3B54" w:rsidRPr="001D3B54">
        <w:rPr>
          <w:rFonts w:cs="Times New Roman"/>
          <w:szCs w:val="22"/>
        </w:rPr>
        <w:t xml:space="preserve"> Interestingly, Dr. Zheng-Li Shi of the Wuhan Institute of Virology is </w:t>
      </w:r>
      <w:r w:rsidR="00DA21D5">
        <w:rPr>
          <w:rFonts w:cs="Times New Roman"/>
          <w:szCs w:val="22"/>
        </w:rPr>
        <w:t xml:space="preserve">a </w:t>
      </w:r>
      <w:r w:rsidR="001D3B54" w:rsidRPr="001D3B54">
        <w:rPr>
          <w:rFonts w:cs="Times New Roman"/>
          <w:szCs w:val="22"/>
        </w:rPr>
        <w:t xml:space="preserve">co-author of this prior-cited LFA-1 </w:t>
      </w:r>
      <w:r w:rsidR="002774E0">
        <w:rPr>
          <w:rFonts w:cs="Times New Roman"/>
          <w:szCs w:val="22"/>
        </w:rPr>
        <w:t>publication</w:t>
      </w:r>
      <w:r w:rsidR="001D3B54" w:rsidRPr="001D3B54">
        <w:rPr>
          <w:rFonts w:cs="Times New Roman"/>
          <w:szCs w:val="22"/>
        </w:rPr>
        <w:t xml:space="preserve">. The LFA-1 pathway is the same pathway </w:t>
      </w:r>
      <w:r w:rsidR="001D3B54" w:rsidRPr="001D3B54">
        <w:rPr>
          <w:rFonts w:cs="Times New Roman"/>
          <w:szCs w:val="22"/>
        </w:rPr>
        <w:lastRenderedPageBreak/>
        <w:t>HIV-1 uses to infect activated CD4+ T-lymphocytes, which ultimately causes acquired immune deficiency syndrome or AIDS.</w:t>
      </w:r>
      <w:r w:rsidR="001D3B54" w:rsidRPr="001D3B54">
        <w:rPr>
          <w:rStyle w:val="EndnoteReference"/>
          <w:rFonts w:cs="Times New Roman"/>
          <w:szCs w:val="22"/>
        </w:rPr>
        <w:endnoteReference w:id="435"/>
      </w:r>
      <w:r w:rsidR="001D3B54" w:rsidRPr="001D3B54">
        <w:rPr>
          <w:rFonts w:cs="Times New Roman"/>
          <w:szCs w:val="22"/>
          <w:vertAlign w:val="superscript"/>
        </w:rPr>
        <w:t>,</w:t>
      </w:r>
      <w:r w:rsidR="001D3B54" w:rsidRPr="001D3B54">
        <w:rPr>
          <w:rStyle w:val="EndnoteReference"/>
          <w:rFonts w:cs="Times New Roman"/>
          <w:szCs w:val="22"/>
        </w:rPr>
        <w:endnoteReference w:id="436"/>
      </w:r>
      <w:r w:rsidR="001D3B54" w:rsidRPr="001D3B54">
        <w:rPr>
          <w:rFonts w:cs="Times New Roman"/>
          <w:szCs w:val="22"/>
        </w:rPr>
        <w:t xml:space="preserve"> </w:t>
      </w:r>
      <w:r w:rsidR="00BA546A" w:rsidRPr="001D3B54">
        <w:rPr>
          <w:rFonts w:cs="Times New Roman"/>
          <w:szCs w:val="22"/>
        </w:rPr>
        <w:t xml:space="preserve">Severe COVID-19 </w:t>
      </w:r>
      <w:r w:rsidR="002774E0">
        <w:rPr>
          <w:rFonts w:cs="Times New Roman"/>
          <w:szCs w:val="22"/>
        </w:rPr>
        <w:t>diseases were</w:t>
      </w:r>
      <w:r w:rsidR="00BA546A" w:rsidRPr="001D3B54">
        <w:rPr>
          <w:rFonts w:cs="Times New Roman"/>
          <w:szCs w:val="22"/>
        </w:rPr>
        <w:t xml:space="preserve"> associated with a marked reduction </w:t>
      </w:r>
      <w:r w:rsidR="002774E0">
        <w:rPr>
          <w:rFonts w:cs="Times New Roman"/>
          <w:szCs w:val="22"/>
        </w:rPr>
        <w:t>of</w:t>
      </w:r>
      <w:r w:rsidR="00BA546A" w:rsidRPr="001D3B54">
        <w:rPr>
          <w:rFonts w:cs="Times New Roman"/>
          <w:szCs w:val="22"/>
        </w:rPr>
        <w:t xml:space="preserve"> lymphocytes (i.e., lymphopenia) in 60-70% of patients admitted to the hospital, while fatal infections were associated with more severe and progressive lymphopenia.</w:t>
      </w:r>
      <w:r w:rsidR="00BA546A" w:rsidRPr="001D3B54">
        <w:rPr>
          <w:rStyle w:val="EndnoteReference"/>
          <w:rFonts w:cs="Times New Roman"/>
          <w:szCs w:val="22"/>
        </w:rPr>
        <w:endnoteReference w:id="437"/>
      </w:r>
      <w:r w:rsidR="00BA546A" w:rsidRPr="001D3B54">
        <w:rPr>
          <w:rFonts w:cs="Times New Roman"/>
          <w:szCs w:val="22"/>
          <w:vertAlign w:val="superscript"/>
        </w:rPr>
        <w:t>,</w:t>
      </w:r>
      <w:r w:rsidR="00BA546A" w:rsidRPr="001D3B54">
        <w:rPr>
          <w:rStyle w:val="EndnoteReference"/>
          <w:rFonts w:cs="Times New Roman"/>
          <w:szCs w:val="22"/>
        </w:rPr>
        <w:endnoteReference w:id="438"/>
      </w:r>
      <w:r w:rsidR="00BA546A" w:rsidRPr="001D3B54">
        <w:rPr>
          <w:rFonts w:cs="Times New Roman"/>
          <w:szCs w:val="22"/>
        </w:rPr>
        <w:t xml:space="preserve"> </w:t>
      </w:r>
      <w:r w:rsidR="003D77AF" w:rsidRPr="001D3B54">
        <w:rPr>
          <w:rFonts w:cs="Times New Roman"/>
          <w:szCs w:val="22"/>
        </w:rPr>
        <w:t xml:space="preserve">If this </w:t>
      </w:r>
      <w:r w:rsidR="003D77AF" w:rsidRPr="001D3B54">
        <w:rPr>
          <w:rFonts w:cs="Times New Roman"/>
          <w:b/>
          <w:bCs w:val="0"/>
          <w:szCs w:val="22"/>
        </w:rPr>
        <w:t>CD4 + T-lymphocyte entry pathway</w:t>
      </w:r>
      <w:r w:rsidR="003D77AF" w:rsidRPr="001D3B54">
        <w:rPr>
          <w:rFonts w:cs="Times New Roman"/>
          <w:szCs w:val="22"/>
        </w:rPr>
        <w:t xml:space="preserve"> has validity, one could </w:t>
      </w:r>
      <w:r w:rsidR="003D77AF" w:rsidRPr="001D3B54">
        <w:rPr>
          <w:rFonts w:cs="Times New Roman"/>
          <w:i/>
          <w:szCs w:val="22"/>
        </w:rPr>
        <w:t>speculate</w:t>
      </w:r>
      <w:r w:rsidR="003D77AF" w:rsidRPr="001D3B54">
        <w:rPr>
          <w:rFonts w:cs="Times New Roman"/>
          <w:szCs w:val="22"/>
        </w:rPr>
        <w:t xml:space="preserve"> on a scenario where </w:t>
      </w:r>
      <w:r w:rsidR="00D4419D">
        <w:rPr>
          <w:rFonts w:cs="Times New Roman"/>
          <w:szCs w:val="22"/>
        </w:rPr>
        <w:t>SARS-CoV-2</w:t>
      </w:r>
      <w:r w:rsidR="003D77AF" w:rsidRPr="001D3B54">
        <w:rPr>
          <w:rFonts w:cs="Times New Roman"/>
          <w:szCs w:val="22"/>
        </w:rPr>
        <w:t>-infected people could develop an AIDS-like condition in the longer term</w:t>
      </w:r>
      <w:r w:rsidR="001E5017">
        <w:rPr>
          <w:rFonts w:cs="Times New Roman"/>
          <w:szCs w:val="22"/>
        </w:rPr>
        <w:t xml:space="preserve"> (i.e., time will tell)</w:t>
      </w:r>
      <w:r w:rsidR="003D77AF" w:rsidRPr="001D3B54">
        <w:rPr>
          <w:rFonts w:cs="Times New Roman"/>
          <w:szCs w:val="22"/>
        </w:rPr>
        <w:t>.</w:t>
      </w:r>
    </w:p>
    <w:p w14:paraId="1DD7EEA9" w14:textId="2F1FEAA6" w:rsidR="00E2136F" w:rsidRDefault="00E2136F" w:rsidP="004C5C79">
      <w:pPr>
        <w:pStyle w:val="Heading3"/>
      </w:pPr>
      <w:bookmarkStart w:id="200" w:name="_Toc121035149"/>
      <w:r>
        <w:t>SARS-CoV-2</w:t>
      </w:r>
      <w:r w:rsidR="005A60CC">
        <w:t>’s</w:t>
      </w:r>
      <w:r>
        <w:t xml:space="preserve"> </w:t>
      </w:r>
      <w:r w:rsidR="005A60CC">
        <w:t xml:space="preserve">Period of Intense Evolution </w:t>
      </w:r>
      <w:r w:rsidR="005E2082">
        <w:t>in</w:t>
      </w:r>
      <w:r w:rsidR="005A60CC">
        <w:t xml:space="preserve"> Mice </w:t>
      </w:r>
      <w:r w:rsidR="005E353C">
        <w:t>Resulted in</w:t>
      </w:r>
      <w:r w:rsidR="005A60CC">
        <w:t xml:space="preserve"> </w:t>
      </w:r>
      <w:r w:rsidR="004572A4">
        <w:t xml:space="preserve">Omicron </w:t>
      </w:r>
      <w:r w:rsidR="005A60CC">
        <w:t>(Transgenic Mice?)</w:t>
      </w:r>
      <w:bookmarkEnd w:id="200"/>
    </w:p>
    <w:p w14:paraId="6387CCF8" w14:textId="363B57C5" w:rsidR="006D41D2" w:rsidRDefault="006D41D2" w:rsidP="006D41D2">
      <w:pPr>
        <w:rPr>
          <w:szCs w:val="22"/>
        </w:rPr>
      </w:pPr>
      <w:r>
        <w:rPr>
          <w:szCs w:val="22"/>
        </w:rPr>
        <w:t>Alarm</w:t>
      </w:r>
      <w:r w:rsidRPr="00F036DE">
        <w:rPr>
          <w:szCs w:val="22"/>
        </w:rPr>
        <w:t>ingly</w:t>
      </w:r>
      <w:r>
        <w:rPr>
          <w:szCs w:val="22"/>
        </w:rPr>
        <w:t>, there is also molecular e</w:t>
      </w:r>
      <w:r w:rsidRPr="002A78E5">
        <w:rPr>
          <w:szCs w:val="22"/>
        </w:rPr>
        <w:t xml:space="preserve">vidence the progenitor of SARS-CoV-2 </w:t>
      </w:r>
      <w:r w:rsidRPr="008B619F">
        <w:rPr>
          <w:b/>
          <w:bCs w:val="0"/>
          <w:szCs w:val="22"/>
        </w:rPr>
        <w:t>Omicron</w:t>
      </w:r>
      <w:r w:rsidRPr="00965718">
        <w:rPr>
          <w:szCs w:val="22"/>
        </w:rPr>
        <w:t xml:space="preserve"> “</w:t>
      </w:r>
      <w:r w:rsidRPr="00965718">
        <w:rPr>
          <w:i/>
          <w:szCs w:val="22"/>
        </w:rPr>
        <w:t>jumped</w:t>
      </w:r>
      <w:r w:rsidRPr="00965718">
        <w:rPr>
          <w:szCs w:val="22"/>
        </w:rPr>
        <w:t xml:space="preserve">” </w:t>
      </w:r>
      <w:r w:rsidRPr="002A78E5">
        <w:rPr>
          <w:szCs w:val="22"/>
        </w:rPr>
        <w:t xml:space="preserve">from humans </w:t>
      </w:r>
      <w:r w:rsidR="00D4419D">
        <w:rPr>
          <w:szCs w:val="22"/>
        </w:rPr>
        <w:t>into</w:t>
      </w:r>
      <w:r w:rsidRPr="002A78E5">
        <w:rPr>
          <w:szCs w:val="22"/>
        </w:rPr>
        <w:t xml:space="preserve"> mice</w:t>
      </w:r>
      <w:r w:rsidRPr="00E01E6F">
        <w:rPr>
          <w:szCs w:val="22"/>
        </w:rPr>
        <w:t xml:space="preserve"> </w:t>
      </w:r>
      <w:r>
        <w:rPr>
          <w:szCs w:val="22"/>
        </w:rPr>
        <w:t>around mid-2020</w:t>
      </w:r>
      <w:r w:rsidRPr="002A78E5">
        <w:rPr>
          <w:szCs w:val="22"/>
        </w:rPr>
        <w:t xml:space="preserve">, rapidly </w:t>
      </w:r>
      <w:r>
        <w:rPr>
          <w:szCs w:val="22"/>
        </w:rPr>
        <w:t>accumulating</w:t>
      </w:r>
      <w:r w:rsidRPr="002A78E5">
        <w:rPr>
          <w:szCs w:val="22"/>
        </w:rPr>
        <w:t xml:space="preserve"> </w:t>
      </w:r>
      <w:r>
        <w:rPr>
          <w:szCs w:val="22"/>
        </w:rPr>
        <w:t xml:space="preserve">an unprecedented </w:t>
      </w:r>
      <w:r w:rsidRPr="00906E8C">
        <w:rPr>
          <w:szCs w:val="22"/>
        </w:rPr>
        <w:t xml:space="preserve">level of </w:t>
      </w:r>
      <w:r w:rsidRPr="00D4419D">
        <w:rPr>
          <w:b/>
          <w:bCs w:val="0"/>
          <w:szCs w:val="22"/>
        </w:rPr>
        <w:t>45-point mutations</w:t>
      </w:r>
      <w:r w:rsidRPr="00906E8C">
        <w:rPr>
          <w:szCs w:val="22"/>
        </w:rPr>
        <w:t xml:space="preserve"> molecularly consistent with a period of intensive mouse evolution before “</w:t>
      </w:r>
      <w:r w:rsidRPr="00906E8C">
        <w:rPr>
          <w:i/>
          <w:szCs w:val="22"/>
        </w:rPr>
        <w:t>jumping</w:t>
      </w:r>
      <w:r w:rsidRPr="00906E8C">
        <w:rPr>
          <w:szCs w:val="22"/>
        </w:rPr>
        <w:t>” back into humans with enhanced human infecti</w:t>
      </w:r>
      <w:r w:rsidR="00602739">
        <w:rPr>
          <w:szCs w:val="22"/>
        </w:rPr>
        <w:t>vity and transmissibility potential</w:t>
      </w:r>
      <w:r w:rsidRPr="00906E8C">
        <w:rPr>
          <w:szCs w:val="22"/>
        </w:rPr>
        <w:t>.</w:t>
      </w:r>
      <w:r w:rsidRPr="00906E8C">
        <w:rPr>
          <w:rStyle w:val="EndnoteReference"/>
          <w:szCs w:val="22"/>
        </w:rPr>
        <w:endnoteReference w:id="439"/>
      </w:r>
      <w:r w:rsidRPr="00906E8C">
        <w:rPr>
          <w:szCs w:val="22"/>
        </w:rPr>
        <w:t xml:space="preserve"> </w:t>
      </w:r>
      <w:r w:rsidR="00602739">
        <w:rPr>
          <w:szCs w:val="22"/>
        </w:rPr>
        <w:t>Were</w:t>
      </w:r>
      <w:r w:rsidRPr="00906E8C">
        <w:rPr>
          <w:szCs w:val="22"/>
        </w:rPr>
        <w:t xml:space="preserve"> these mutations driven </w:t>
      </w:r>
      <w:r>
        <w:rPr>
          <w:szCs w:val="22"/>
        </w:rPr>
        <w:t xml:space="preserve">by </w:t>
      </w:r>
      <w:r w:rsidRPr="006B16C1">
        <w:rPr>
          <w:b/>
          <w:bCs w:val="0"/>
          <w:szCs w:val="22"/>
        </w:rPr>
        <w:t>transgenic</w:t>
      </w:r>
      <w:r w:rsidRPr="006B16C1" w:rsidDel="00F036DE">
        <w:rPr>
          <w:b/>
          <w:bCs w:val="0"/>
          <w:szCs w:val="22"/>
        </w:rPr>
        <w:t xml:space="preserve"> </w:t>
      </w:r>
      <w:r w:rsidRPr="006B16C1">
        <w:rPr>
          <w:b/>
          <w:bCs w:val="0"/>
          <w:szCs w:val="22"/>
        </w:rPr>
        <w:t>mice</w:t>
      </w:r>
      <w:r>
        <w:rPr>
          <w:szCs w:val="22"/>
        </w:rPr>
        <w:t xml:space="preserve"> expressing human ACE2</w:t>
      </w:r>
      <w:r w:rsidR="00B136DB">
        <w:rPr>
          <w:szCs w:val="22"/>
        </w:rPr>
        <w:t xml:space="preserve"> receptors</w:t>
      </w:r>
      <w:r>
        <w:rPr>
          <w:szCs w:val="22"/>
        </w:rPr>
        <w:t>, similar to those cited?</w:t>
      </w:r>
      <w:r w:rsidRPr="00985C1D">
        <w:rPr>
          <w:rStyle w:val="EndnoteReference"/>
          <w:rFonts w:cs="Times New Roman"/>
          <w:szCs w:val="22"/>
        </w:rPr>
        <w:endnoteReference w:id="440"/>
      </w:r>
      <w:r w:rsidRPr="00985C1D">
        <w:rPr>
          <w:rFonts w:cs="Times New Roman"/>
          <w:szCs w:val="22"/>
          <w:vertAlign w:val="superscript"/>
        </w:rPr>
        <w:t>,</w:t>
      </w:r>
      <w:r>
        <w:rPr>
          <w:rStyle w:val="EndnoteReference"/>
          <w:rFonts w:cs="Times New Roman"/>
          <w:szCs w:val="22"/>
        </w:rPr>
        <w:endnoteReference w:id="441"/>
      </w:r>
      <w:r w:rsidRPr="00965718">
        <w:rPr>
          <w:szCs w:val="22"/>
        </w:rPr>
        <w:t xml:space="preserve"> In consequence,</w:t>
      </w:r>
      <w:r w:rsidRPr="00CB0317">
        <w:rPr>
          <w:szCs w:val="22"/>
        </w:rPr>
        <w:t xml:space="preserve"> the Omicron </w:t>
      </w:r>
      <w:r>
        <w:rPr>
          <w:szCs w:val="22"/>
        </w:rPr>
        <w:t>receptor-binding domain</w:t>
      </w:r>
      <w:r w:rsidRPr="00CB0317">
        <w:rPr>
          <w:szCs w:val="22"/>
        </w:rPr>
        <w:t xml:space="preserve"> </w:t>
      </w:r>
      <w:r>
        <w:rPr>
          <w:szCs w:val="22"/>
        </w:rPr>
        <w:t xml:space="preserve">(RBD) now </w:t>
      </w:r>
      <w:r w:rsidRPr="00CB0317">
        <w:rPr>
          <w:szCs w:val="22"/>
        </w:rPr>
        <w:t xml:space="preserve">binds to the human ACE2 </w:t>
      </w:r>
      <w:r>
        <w:rPr>
          <w:szCs w:val="22"/>
        </w:rPr>
        <w:t xml:space="preserve">receptor </w:t>
      </w:r>
      <w:r w:rsidRPr="00CB0317">
        <w:rPr>
          <w:szCs w:val="22"/>
        </w:rPr>
        <w:t xml:space="preserve">with </w:t>
      </w:r>
      <w:r>
        <w:rPr>
          <w:szCs w:val="22"/>
        </w:rPr>
        <w:t xml:space="preserve">2.4x </w:t>
      </w:r>
      <w:r w:rsidRPr="00CB0317">
        <w:rPr>
          <w:szCs w:val="22"/>
        </w:rPr>
        <w:t xml:space="preserve">the affinity </w:t>
      </w:r>
      <w:r>
        <w:rPr>
          <w:szCs w:val="22"/>
        </w:rPr>
        <w:t>of the original Wuhan</w:t>
      </w:r>
      <w:r w:rsidR="00D4419D">
        <w:rPr>
          <w:szCs w:val="22"/>
        </w:rPr>
        <w:t>-Hu-1</w:t>
      </w:r>
      <w:r>
        <w:rPr>
          <w:szCs w:val="22"/>
        </w:rPr>
        <w:t xml:space="preserve"> strain</w:t>
      </w:r>
      <w:r w:rsidR="009A4DFC">
        <w:rPr>
          <w:szCs w:val="22"/>
        </w:rPr>
        <w:t>. At the same time,</w:t>
      </w:r>
      <w:r>
        <w:rPr>
          <w:szCs w:val="22"/>
        </w:rPr>
        <w:t xml:space="preserve"> </w:t>
      </w:r>
      <w:r w:rsidRPr="00E81582">
        <w:rPr>
          <w:szCs w:val="22"/>
        </w:rPr>
        <w:t>RBD-specific neutralizing antibodies</w:t>
      </w:r>
      <w:r>
        <w:rPr>
          <w:szCs w:val="22"/>
        </w:rPr>
        <w:t xml:space="preserve"> have reduced </w:t>
      </w:r>
      <w:r w:rsidRPr="00E81582">
        <w:rPr>
          <w:szCs w:val="22"/>
        </w:rPr>
        <w:t>bindin</w:t>
      </w:r>
      <w:r>
        <w:rPr>
          <w:szCs w:val="22"/>
        </w:rPr>
        <w:t xml:space="preserve">g affinity. There is also evidence of fundamental </w:t>
      </w:r>
      <w:r w:rsidRPr="009B315E">
        <w:rPr>
          <w:szCs w:val="22"/>
        </w:rPr>
        <w:t xml:space="preserve">changes in the Omicron </w:t>
      </w:r>
      <w:r>
        <w:rPr>
          <w:szCs w:val="22"/>
        </w:rPr>
        <w:t xml:space="preserve">cell </w:t>
      </w:r>
      <w:r w:rsidRPr="009B315E">
        <w:rPr>
          <w:szCs w:val="22"/>
        </w:rPr>
        <w:t>entry process</w:t>
      </w:r>
      <w:r>
        <w:rPr>
          <w:szCs w:val="22"/>
        </w:rPr>
        <w:t>.</w:t>
      </w:r>
      <w:r>
        <w:rPr>
          <w:rStyle w:val="EndnoteReference"/>
          <w:szCs w:val="22"/>
        </w:rPr>
        <w:endnoteReference w:id="442"/>
      </w:r>
      <w:r>
        <w:rPr>
          <w:szCs w:val="22"/>
        </w:rPr>
        <w:t xml:space="preserve"> In my view, if this research </w:t>
      </w:r>
      <w:r w:rsidR="00D4419D">
        <w:rPr>
          <w:szCs w:val="22"/>
        </w:rPr>
        <w:t>wa</w:t>
      </w:r>
      <w:r>
        <w:rPr>
          <w:szCs w:val="22"/>
        </w:rPr>
        <w:t xml:space="preserve">s valid in its conclusions, it raises </w:t>
      </w:r>
      <w:r w:rsidR="00D4419D">
        <w:rPr>
          <w:szCs w:val="22"/>
        </w:rPr>
        <w:t>big</w:t>
      </w:r>
      <w:r>
        <w:rPr>
          <w:szCs w:val="22"/>
        </w:rPr>
        <w:t xml:space="preserve"> </w:t>
      </w:r>
      <w:r w:rsidR="00D4419D">
        <w:rPr>
          <w:szCs w:val="22"/>
        </w:rPr>
        <w:t>questions</w:t>
      </w:r>
      <w:r>
        <w:rPr>
          <w:szCs w:val="22"/>
        </w:rPr>
        <w:t xml:space="preserve"> about</w:t>
      </w:r>
      <w:r w:rsidR="00D4419D">
        <w:rPr>
          <w:szCs w:val="22"/>
        </w:rPr>
        <w:t xml:space="preserve"> </w:t>
      </w:r>
      <w:r w:rsidR="005E2082">
        <w:rPr>
          <w:szCs w:val="22"/>
        </w:rPr>
        <w:t>someone manipulating</w:t>
      </w:r>
      <w:r w:rsidRPr="00A01CC4">
        <w:rPr>
          <w:b/>
          <w:szCs w:val="22"/>
        </w:rPr>
        <w:t xml:space="preserve"> this pandemic</w:t>
      </w:r>
      <w:r>
        <w:rPr>
          <w:szCs w:val="22"/>
        </w:rPr>
        <w:t>.</w:t>
      </w:r>
    </w:p>
    <w:p w14:paraId="05DD3227" w14:textId="526B0810" w:rsidR="006D41D2" w:rsidRDefault="006D41D2" w:rsidP="006D41D2">
      <w:pPr>
        <w:rPr>
          <w:szCs w:val="22"/>
        </w:rPr>
      </w:pPr>
      <w:r>
        <w:rPr>
          <w:szCs w:val="22"/>
        </w:rPr>
        <w:t xml:space="preserve">Dr. Daszak also collaborated with Wuhan-IV (NIH co-funded research) to develop methods for </w:t>
      </w:r>
      <w:r w:rsidRPr="008B619F">
        <w:rPr>
          <w:b/>
          <w:bCs w:val="0"/>
          <w:szCs w:val="22"/>
        </w:rPr>
        <w:t>inhibiting protective immune responses</w:t>
      </w:r>
      <w:r>
        <w:rPr>
          <w:szCs w:val="22"/>
        </w:rPr>
        <w:t xml:space="preserve"> toward bat </w:t>
      </w:r>
      <w:r w:rsidRPr="00A6306A">
        <w:rPr>
          <w:szCs w:val="22"/>
        </w:rPr>
        <w:t xml:space="preserve">SARSr-CoV </w:t>
      </w:r>
      <w:r>
        <w:rPr>
          <w:szCs w:val="22"/>
        </w:rPr>
        <w:t>by incorporating</w:t>
      </w:r>
      <w:r w:rsidRPr="0023302A">
        <w:rPr>
          <w:szCs w:val="22"/>
        </w:rPr>
        <w:t xml:space="preserve"> </w:t>
      </w:r>
      <w:r>
        <w:rPr>
          <w:szCs w:val="22"/>
        </w:rPr>
        <w:t xml:space="preserve">the immunomodulatory </w:t>
      </w:r>
      <w:r w:rsidRPr="0023302A">
        <w:rPr>
          <w:szCs w:val="22"/>
        </w:rPr>
        <w:t>ORFX</w:t>
      </w:r>
      <w:r>
        <w:rPr>
          <w:szCs w:val="22"/>
        </w:rPr>
        <w:t xml:space="preserve"> accessory protein. This increased their infectivity and pathogenesis. This genetic modification was done </w:t>
      </w:r>
      <w:r w:rsidRPr="008B619F">
        <w:rPr>
          <w:szCs w:val="22"/>
        </w:rPr>
        <w:t>without leaving a molecular trace</w:t>
      </w:r>
      <w:r>
        <w:rPr>
          <w:szCs w:val="22"/>
        </w:rPr>
        <w:t xml:space="preserve"> in the recombinant viral genome.</w:t>
      </w:r>
      <w:r>
        <w:rPr>
          <w:rStyle w:val="EndnoteReference"/>
          <w:szCs w:val="22"/>
        </w:rPr>
        <w:endnoteReference w:id="443"/>
      </w:r>
      <w:r>
        <w:rPr>
          <w:szCs w:val="22"/>
        </w:rPr>
        <w:t xml:space="preserve"> According to a US </w:t>
      </w:r>
      <w:r w:rsidRPr="00557AD1">
        <w:rPr>
          <w:szCs w:val="22"/>
        </w:rPr>
        <w:t>House Foreign Affairs Committee Minority Staff</w:t>
      </w:r>
      <w:r>
        <w:rPr>
          <w:szCs w:val="22"/>
        </w:rPr>
        <w:t xml:space="preserve"> investigation</w:t>
      </w:r>
      <w:r w:rsidR="009A4DFC">
        <w:rPr>
          <w:szCs w:val="22"/>
        </w:rPr>
        <w:t>,</w:t>
      </w:r>
      <w:r w:rsidRPr="0088104A">
        <w:rPr>
          <w:szCs w:val="22"/>
        </w:rPr>
        <w:t xml:space="preserve"> </w:t>
      </w:r>
      <w:r>
        <w:rPr>
          <w:szCs w:val="22"/>
        </w:rPr>
        <w:t>f</w:t>
      </w:r>
      <w:r w:rsidRPr="0088104A">
        <w:rPr>
          <w:szCs w:val="22"/>
        </w:rPr>
        <w:t xml:space="preserve">our </w:t>
      </w:r>
      <w:r>
        <w:rPr>
          <w:szCs w:val="22"/>
        </w:rPr>
        <w:t xml:space="preserve">traceless </w:t>
      </w:r>
      <w:r w:rsidRPr="0088104A">
        <w:rPr>
          <w:szCs w:val="22"/>
        </w:rPr>
        <w:t>recombinant viral str</w:t>
      </w:r>
      <w:r>
        <w:rPr>
          <w:szCs w:val="22"/>
        </w:rPr>
        <w:t>ains</w:t>
      </w:r>
      <w:r w:rsidRPr="0088104A">
        <w:rPr>
          <w:szCs w:val="22"/>
        </w:rPr>
        <w:t xml:space="preserve"> </w:t>
      </w:r>
      <w:r>
        <w:rPr>
          <w:szCs w:val="22"/>
        </w:rPr>
        <w:t>“</w:t>
      </w:r>
      <w:r w:rsidRPr="0088104A">
        <w:rPr>
          <w:i/>
          <w:szCs w:val="22"/>
        </w:rPr>
        <w:t>were tested for ACE2 utiliz</w:t>
      </w:r>
      <w:r>
        <w:rPr>
          <w:i/>
          <w:szCs w:val="22"/>
        </w:rPr>
        <w:t>ation by these strains to infect human cell lines</w:t>
      </w:r>
      <w:r w:rsidRPr="0088104A">
        <w:rPr>
          <w:i/>
          <w:szCs w:val="22"/>
        </w:rPr>
        <w:t>, civets, and bats</w:t>
      </w:r>
      <w:r>
        <w:rPr>
          <w:szCs w:val="22"/>
        </w:rPr>
        <w:t xml:space="preserve">,” citing </w:t>
      </w:r>
      <w:r w:rsidRPr="00832B60">
        <w:rPr>
          <w:szCs w:val="22"/>
        </w:rPr>
        <w:t>Zeng’s doctoral thesis.</w:t>
      </w:r>
      <w:r w:rsidRPr="00832B60">
        <w:rPr>
          <w:rStyle w:val="EndnoteReference"/>
          <w:szCs w:val="22"/>
        </w:rPr>
        <w:endnoteReference w:id="444"/>
      </w:r>
      <w:r w:rsidRPr="00B205A1">
        <w:rPr>
          <w:color w:val="0000FF"/>
          <w:szCs w:val="22"/>
        </w:rPr>
        <w:t xml:space="preserve"> </w:t>
      </w:r>
      <w:r>
        <w:rPr>
          <w:szCs w:val="22"/>
        </w:rPr>
        <w:t xml:space="preserve">Gain-of-function scientists also trained the SARS-CoV-2 human fitness by using human ACE2 receptor expressing in-vitro systems (i.e., </w:t>
      </w:r>
      <w:r w:rsidRPr="00887C5D">
        <w:rPr>
          <w:i/>
          <w:szCs w:val="22"/>
        </w:rPr>
        <w:t>serial passage</w:t>
      </w:r>
      <w:r w:rsidRPr="001D19D1">
        <w:rPr>
          <w:szCs w:val="22"/>
        </w:rPr>
        <w:t>)</w:t>
      </w:r>
      <w:r>
        <w:rPr>
          <w:szCs w:val="22"/>
        </w:rPr>
        <w:t xml:space="preserve"> and transgenic mice (humanized-ACE2)</w:t>
      </w:r>
      <w:r w:rsidRPr="001D19D1">
        <w:rPr>
          <w:szCs w:val="22"/>
        </w:rPr>
        <w:t>.</w:t>
      </w:r>
      <w:r w:rsidRPr="001D19D1">
        <w:rPr>
          <w:rStyle w:val="EndnoteReference"/>
          <w:szCs w:val="22"/>
        </w:rPr>
        <w:endnoteReference w:id="445"/>
      </w:r>
      <w:r w:rsidRPr="001D19D1">
        <w:rPr>
          <w:szCs w:val="22"/>
          <w:vertAlign w:val="superscript"/>
        </w:rPr>
        <w:t>,</w:t>
      </w:r>
      <w:r w:rsidRPr="001D19D1">
        <w:rPr>
          <w:rStyle w:val="EndnoteReference"/>
          <w:szCs w:val="22"/>
        </w:rPr>
        <w:endnoteReference w:id="446"/>
      </w:r>
      <w:r w:rsidRPr="001D19D1">
        <w:rPr>
          <w:szCs w:val="22"/>
          <w:vertAlign w:val="superscript"/>
        </w:rPr>
        <w:t>,</w:t>
      </w:r>
      <w:r w:rsidRPr="001D19D1">
        <w:rPr>
          <w:rStyle w:val="EndnoteReference"/>
          <w:szCs w:val="22"/>
        </w:rPr>
        <w:endnoteReference w:id="447"/>
      </w:r>
      <w:r w:rsidRPr="001D19D1">
        <w:rPr>
          <w:szCs w:val="22"/>
        </w:rPr>
        <w:t xml:space="preserve"> </w:t>
      </w:r>
    </w:p>
    <w:p w14:paraId="3588E901" w14:textId="7160A643" w:rsidR="00E01616" w:rsidRDefault="00E01616" w:rsidP="00660BB8">
      <w:pPr>
        <w:pStyle w:val="Heading2"/>
      </w:pPr>
      <w:bookmarkStart w:id="201" w:name="_Toc111368023"/>
      <w:bookmarkStart w:id="202" w:name="_Toc121035150"/>
      <w:r>
        <w:t xml:space="preserve">Cover-Ups </w:t>
      </w:r>
      <w:r w:rsidR="00495CA8">
        <w:t>and</w:t>
      </w:r>
      <w:r>
        <w:t xml:space="preserve"> Failures to </w:t>
      </w:r>
      <w:r w:rsidR="004C5C79">
        <w:t>Properly</w:t>
      </w:r>
      <w:r w:rsidR="005556B0">
        <w:t xml:space="preserve"> </w:t>
      </w:r>
      <w:r>
        <w:t xml:space="preserve">Investigate </w:t>
      </w:r>
      <w:r w:rsidR="00E2136F">
        <w:t>SARS-CoV-2</w:t>
      </w:r>
      <w:r>
        <w:t>’s Origin</w:t>
      </w:r>
      <w:bookmarkEnd w:id="201"/>
      <w:bookmarkEnd w:id="202"/>
      <w:r>
        <w:t xml:space="preserve"> </w:t>
      </w:r>
    </w:p>
    <w:p w14:paraId="605FABB8" w14:textId="2EB3E8D1" w:rsidR="00E01616" w:rsidRDefault="00E01616" w:rsidP="008B5CAC">
      <w:pPr>
        <w:adjustRightInd w:val="0"/>
        <w:snapToGrid w:val="0"/>
        <w:spacing w:after="240"/>
        <w:rPr>
          <w:rFonts w:cs="Times New Roman"/>
        </w:rPr>
      </w:pPr>
      <w:r w:rsidRPr="00C41963">
        <w:rPr>
          <w:rFonts w:cs="Times New Roman"/>
        </w:rPr>
        <w:t>Emails obtained under FOI by US Right to Know show that a statement in The Lancet authored by 27 prominent public health scientists condemning “</w:t>
      </w:r>
      <w:r w:rsidRPr="00C41963">
        <w:rPr>
          <w:rFonts w:cs="Times New Roman"/>
          <w:i/>
          <w:iCs/>
        </w:rPr>
        <w:t xml:space="preserve">conspiracy theories suggesting that </w:t>
      </w:r>
      <w:r>
        <w:rPr>
          <w:rFonts w:cs="Times New Roman"/>
          <w:i/>
          <w:iCs/>
        </w:rPr>
        <w:t>COVID-19</w:t>
      </w:r>
      <w:r w:rsidRPr="00C41963">
        <w:rPr>
          <w:rFonts w:cs="Times New Roman"/>
          <w:i/>
          <w:iCs/>
        </w:rPr>
        <w:t xml:space="preserve"> does not have a natural origin</w:t>
      </w:r>
      <w:r w:rsidRPr="00C41963">
        <w:rPr>
          <w:rFonts w:cs="Times New Roman"/>
        </w:rPr>
        <w:t>”</w:t>
      </w:r>
      <w:r w:rsidR="006C379E" w:rsidRPr="00532E0D">
        <w:rPr>
          <w:rStyle w:val="EndnoteReference"/>
          <w:rFonts w:cs="Times New Roman"/>
          <w:szCs w:val="22"/>
        </w:rPr>
        <w:endnoteReference w:id="448"/>
      </w:r>
      <w:r w:rsidRPr="00C41963">
        <w:rPr>
          <w:rFonts w:cs="Times New Roman"/>
        </w:rPr>
        <w:t xml:space="preserve"> was</w:t>
      </w:r>
      <w:r w:rsidR="00906E8C">
        <w:rPr>
          <w:rFonts w:cs="Times New Roman"/>
        </w:rPr>
        <w:t xml:space="preserve"> </w:t>
      </w:r>
      <w:r w:rsidR="008B5CAC">
        <w:rPr>
          <w:rFonts w:cs="Times New Roman"/>
        </w:rPr>
        <w:t>championed and edited</w:t>
      </w:r>
      <w:r w:rsidR="005D2D96">
        <w:rPr>
          <w:rFonts w:cs="Times New Roman"/>
        </w:rPr>
        <w:t xml:space="preserve"> by</w:t>
      </w:r>
      <w:r w:rsidRPr="00C21EAF">
        <w:rPr>
          <w:rFonts w:cs="Times New Roman"/>
          <w:b/>
          <w:bCs w:val="0"/>
        </w:rPr>
        <w:t xml:space="preserve"> </w:t>
      </w:r>
      <w:r>
        <w:rPr>
          <w:rFonts w:cs="Times New Roman"/>
          <w:b/>
          <w:bCs w:val="0"/>
        </w:rPr>
        <w:t xml:space="preserve">Dr. </w:t>
      </w:r>
      <w:r w:rsidRPr="00C21EAF">
        <w:rPr>
          <w:rFonts w:cs="Times New Roman"/>
          <w:b/>
          <w:bCs w:val="0"/>
        </w:rPr>
        <w:t>Daszak</w:t>
      </w:r>
      <w:r w:rsidR="008B5CAC">
        <w:rPr>
          <w:rFonts w:cs="Times New Roman"/>
        </w:rPr>
        <w:t xml:space="preserve"> (“</w:t>
      </w:r>
      <w:r w:rsidR="008B5CAC" w:rsidRPr="008B5CAC">
        <w:rPr>
          <w:rFonts w:cs="Times New Roman"/>
          <w:i/>
          <w:iCs/>
        </w:rPr>
        <w:t>Please note that this statement will not have EcoHealth Alliance logo on it</w:t>
      </w:r>
      <w:r w:rsidR="008B5CAC">
        <w:rPr>
          <w:rFonts w:cs="Times New Roman"/>
          <w:i/>
          <w:iCs/>
        </w:rPr>
        <w:t>…</w:t>
      </w:r>
      <w:r w:rsidR="008B5CAC">
        <w:rPr>
          <w:rFonts w:cs="Times New Roman"/>
        </w:rPr>
        <w:t>”)</w:t>
      </w:r>
      <w:r w:rsidRPr="00C41963">
        <w:rPr>
          <w:rFonts w:cs="Times New Roman"/>
        </w:rPr>
        <w:t>.</w:t>
      </w:r>
      <w:r w:rsidRPr="00532E0D">
        <w:rPr>
          <w:rStyle w:val="EndnoteReference"/>
          <w:rFonts w:eastAsiaTheme="majorEastAsia" w:cs="Times New Roman"/>
        </w:rPr>
        <w:endnoteReference w:id="449"/>
      </w:r>
      <w:r w:rsidRPr="00532E0D">
        <w:rPr>
          <w:rFonts w:cs="Times New Roman"/>
          <w:vertAlign w:val="superscript"/>
        </w:rPr>
        <w:t>,</w:t>
      </w:r>
      <w:r w:rsidRPr="00532E0D">
        <w:rPr>
          <w:rStyle w:val="EndnoteReference"/>
          <w:rFonts w:eastAsiaTheme="majorEastAsia" w:cs="Times New Roman"/>
        </w:rPr>
        <w:endnoteReference w:id="450"/>
      </w:r>
      <w:r w:rsidRPr="00532E0D">
        <w:rPr>
          <w:rFonts w:cs="Times New Roman"/>
          <w:vertAlign w:val="superscript"/>
        </w:rPr>
        <w:t>,</w:t>
      </w:r>
      <w:r w:rsidRPr="00532E0D">
        <w:rPr>
          <w:rStyle w:val="EndnoteReference"/>
          <w:rFonts w:cs="Times New Roman"/>
        </w:rPr>
        <w:endnoteReference w:id="451"/>
      </w:r>
      <w:r w:rsidRPr="00532E0D">
        <w:rPr>
          <w:rFonts w:cs="Times New Roman"/>
          <w:vertAlign w:val="superscript"/>
        </w:rPr>
        <w:t xml:space="preserve"> </w:t>
      </w:r>
      <w:r w:rsidRPr="00C41963">
        <w:rPr>
          <w:rFonts w:cs="Times New Roman"/>
        </w:rPr>
        <w:t xml:space="preserve">In a linked email conversation between </w:t>
      </w:r>
      <w:r>
        <w:rPr>
          <w:rFonts w:cs="Times New Roman"/>
        </w:rPr>
        <w:t xml:space="preserve">Dr. </w:t>
      </w:r>
      <w:r w:rsidRPr="00C41963">
        <w:rPr>
          <w:rFonts w:cs="Times New Roman"/>
        </w:rPr>
        <w:t xml:space="preserve">Daszak and </w:t>
      </w:r>
      <w:r w:rsidR="008B5CAC">
        <w:rPr>
          <w:rFonts w:cs="Times New Roman"/>
        </w:rPr>
        <w:t>Dr. Ralph Baric and others</w:t>
      </w:r>
      <w:r w:rsidRPr="00C41963">
        <w:rPr>
          <w:rFonts w:cs="Times New Roman"/>
        </w:rPr>
        <w:t xml:space="preserve">, </w:t>
      </w:r>
      <w:r>
        <w:rPr>
          <w:rFonts w:cs="Times New Roman"/>
        </w:rPr>
        <w:t>he</w:t>
      </w:r>
      <w:r w:rsidRPr="00C41963">
        <w:rPr>
          <w:rFonts w:cs="Times New Roman"/>
        </w:rPr>
        <w:t xml:space="preserve"> states, </w:t>
      </w:r>
      <w:r w:rsidR="008B5CAC">
        <w:rPr>
          <w:rFonts w:cs="Times New Roman"/>
        </w:rPr>
        <w:t>“</w:t>
      </w:r>
      <w:r w:rsidR="008B5CAC" w:rsidRPr="000C46C8">
        <w:rPr>
          <w:rFonts w:cs="Times New Roman"/>
          <w:i/>
          <w:iCs/>
        </w:rPr>
        <w:t xml:space="preserve">I spoke with Linfa last night about the statement we sent round. He thinks, and I agree with him, that you, </w:t>
      </w:r>
      <w:proofErr w:type="gramStart"/>
      <w:r w:rsidR="008B5CAC" w:rsidRPr="000C46C8">
        <w:rPr>
          <w:rFonts w:cs="Times New Roman"/>
          <w:i/>
          <w:iCs/>
        </w:rPr>
        <w:t>me</w:t>
      </w:r>
      <w:proofErr w:type="gramEnd"/>
      <w:r w:rsidR="008B5CAC" w:rsidRPr="000C46C8">
        <w:rPr>
          <w:rFonts w:cs="Times New Roman"/>
          <w:i/>
          <w:iCs/>
        </w:rPr>
        <w:t xml:space="preserve"> and him should not sign this statement, so it has some distance </w:t>
      </w:r>
      <w:r w:rsidR="008B5CAC" w:rsidRPr="000C46C8">
        <w:rPr>
          <w:rFonts w:cs="Times New Roman"/>
          <w:i/>
          <w:iCs/>
        </w:rPr>
        <w:lastRenderedPageBreak/>
        <w:t>from us and therefore doesn't work in a counterproductive way</w:t>
      </w:r>
      <w:r w:rsidR="008B5CAC" w:rsidRPr="008B5CAC">
        <w:rPr>
          <w:rFonts w:cs="Times New Roman"/>
        </w:rPr>
        <w:t>.</w:t>
      </w:r>
      <w:r w:rsidR="008B5CAC">
        <w:rPr>
          <w:rFonts w:cs="Times New Roman"/>
        </w:rPr>
        <w:t xml:space="preserve">” </w:t>
      </w:r>
      <w:r w:rsidRPr="00C41963">
        <w:rPr>
          <w:rFonts w:cs="Times New Roman"/>
        </w:rPr>
        <w:t>“</w:t>
      </w:r>
      <w:r w:rsidRPr="00C41963">
        <w:rPr>
          <w:rFonts w:cs="Times New Roman"/>
          <w:i/>
          <w:iCs/>
        </w:rPr>
        <w:t>We'll then put it out in a way that doesn't link it back to our collaboration so we maximize an independent voice</w:t>
      </w:r>
      <w:r w:rsidRPr="00C41963">
        <w:rPr>
          <w:rFonts w:cs="Times New Roman"/>
        </w:rPr>
        <w:t>.”</w:t>
      </w:r>
      <w:r w:rsidRPr="00C41963">
        <w:rPr>
          <w:rStyle w:val="EndnoteReference"/>
          <w:rFonts w:eastAsiaTheme="majorEastAsia" w:cs="Times New Roman"/>
        </w:rPr>
        <w:t xml:space="preserve"> </w:t>
      </w:r>
      <w:r w:rsidRPr="00C41963">
        <w:rPr>
          <w:rStyle w:val="EndnoteReference"/>
          <w:rFonts w:eastAsiaTheme="majorEastAsia" w:cs="Times New Roman"/>
        </w:rPr>
        <w:endnoteReference w:id="452"/>
      </w:r>
      <w:r w:rsidRPr="00C41963">
        <w:rPr>
          <w:rFonts w:cs="Times New Roman"/>
        </w:rPr>
        <w:t xml:space="preserve"> The February 202</w:t>
      </w:r>
      <w:r>
        <w:rPr>
          <w:rFonts w:cs="Times New Roman"/>
        </w:rPr>
        <w:t>0</w:t>
      </w:r>
      <w:r w:rsidRPr="00C41963">
        <w:rPr>
          <w:rFonts w:cs="Times New Roman"/>
        </w:rPr>
        <w:t xml:space="preserve"> Lancet statement declared the authors had “no competing interest,” but after public concerns about </w:t>
      </w:r>
      <w:r w:rsidR="00362CA9">
        <w:rPr>
          <w:rFonts w:cs="Times New Roman"/>
        </w:rPr>
        <w:t xml:space="preserve">Dr. </w:t>
      </w:r>
      <w:r w:rsidRPr="00C41963">
        <w:rPr>
          <w:rFonts w:cs="Times New Roman"/>
        </w:rPr>
        <w:t>Daszak’s connection with W</w:t>
      </w:r>
      <w:r w:rsidR="00362CA9">
        <w:rPr>
          <w:rFonts w:cs="Times New Roman"/>
        </w:rPr>
        <w:t>uhan-</w:t>
      </w:r>
      <w:r w:rsidRPr="00C41963">
        <w:rPr>
          <w:rFonts w:cs="Times New Roman"/>
        </w:rPr>
        <w:t>IV gain-of-function research, “</w:t>
      </w:r>
      <w:r w:rsidRPr="00C41963">
        <w:rPr>
          <w:rFonts w:cs="Times New Roman"/>
          <w:i/>
          <w:iCs/>
        </w:rPr>
        <w:t>The Lancet invited the 27 authors of the letter to re-evaluate their competing interests</w:t>
      </w:r>
      <w:r w:rsidRPr="00C41963">
        <w:rPr>
          <w:rFonts w:cs="Times New Roman"/>
        </w:rPr>
        <w:t>.”</w:t>
      </w:r>
      <w:r w:rsidRPr="00C41963">
        <w:rPr>
          <w:rStyle w:val="EndnoteReference"/>
          <w:rFonts w:eastAsiaTheme="majorEastAsia" w:cs="Times New Roman"/>
        </w:rPr>
        <w:endnoteReference w:id="453"/>
      </w:r>
      <w:r w:rsidRPr="00C41963">
        <w:rPr>
          <w:rFonts w:cs="Times New Roman"/>
        </w:rPr>
        <w:t xml:space="preserve"> </w:t>
      </w:r>
      <w:r w:rsidRPr="0078429E">
        <w:rPr>
          <w:rFonts w:cs="Times New Roman"/>
          <w:szCs w:val="22"/>
        </w:rPr>
        <w:t xml:space="preserve">This Lancet </w:t>
      </w:r>
      <w:r w:rsidRPr="001D4E13">
        <w:rPr>
          <w:rFonts w:cs="Times New Roman"/>
          <w:b/>
          <w:bCs w:val="0"/>
          <w:szCs w:val="22"/>
        </w:rPr>
        <w:t>investigation was terminated</w:t>
      </w:r>
      <w:r w:rsidRPr="0078429E">
        <w:rPr>
          <w:rFonts w:cs="Times New Roman"/>
          <w:szCs w:val="22"/>
        </w:rPr>
        <w:t xml:space="preserve"> because </w:t>
      </w:r>
      <w:r w:rsidR="00362CA9">
        <w:rPr>
          <w:rFonts w:cs="Times New Roman"/>
          <w:szCs w:val="22"/>
        </w:rPr>
        <w:t>numerous</w:t>
      </w:r>
      <w:r>
        <w:rPr>
          <w:rFonts w:cs="Times New Roman"/>
          <w:szCs w:val="22"/>
        </w:rPr>
        <w:t xml:space="preserve"> signatories </w:t>
      </w:r>
      <w:r w:rsidRPr="0078429E">
        <w:rPr>
          <w:rFonts w:cs="Times New Roman"/>
          <w:szCs w:val="22"/>
        </w:rPr>
        <w:t xml:space="preserve">had </w:t>
      </w:r>
      <w:r>
        <w:rPr>
          <w:rFonts w:cs="Times New Roman"/>
          <w:szCs w:val="22"/>
        </w:rPr>
        <w:t>been associated with</w:t>
      </w:r>
      <w:r w:rsidRPr="0078429E">
        <w:rPr>
          <w:rFonts w:cs="Times New Roman"/>
          <w:szCs w:val="22"/>
        </w:rPr>
        <w:t xml:space="preserve"> the </w:t>
      </w:r>
      <w:r>
        <w:rPr>
          <w:rFonts w:cs="Times New Roman"/>
          <w:szCs w:val="22"/>
        </w:rPr>
        <w:t>Wuhan-IV</w:t>
      </w:r>
      <w:r w:rsidRPr="0078429E">
        <w:rPr>
          <w:rFonts w:cs="Times New Roman"/>
          <w:szCs w:val="22"/>
        </w:rPr>
        <w:t>.</w:t>
      </w:r>
      <w:r w:rsidRPr="0078429E">
        <w:rPr>
          <w:rStyle w:val="EndnoteReference"/>
          <w:rFonts w:cs="Times New Roman"/>
          <w:szCs w:val="22"/>
        </w:rPr>
        <w:endnoteReference w:id="454"/>
      </w:r>
      <w:r w:rsidRPr="0078429E">
        <w:rPr>
          <w:rFonts w:cs="Times New Roman"/>
          <w:szCs w:val="22"/>
          <w:vertAlign w:val="superscript"/>
        </w:rPr>
        <w:t>,</w:t>
      </w:r>
      <w:r w:rsidRPr="0078429E">
        <w:rPr>
          <w:rStyle w:val="EndnoteReference"/>
          <w:rFonts w:cs="Times New Roman"/>
          <w:szCs w:val="22"/>
        </w:rPr>
        <w:endnoteReference w:id="455"/>
      </w:r>
    </w:p>
    <w:p w14:paraId="514BA24F" w14:textId="5634ABF9" w:rsidR="00E01616" w:rsidRDefault="00E01616" w:rsidP="00E01616">
      <w:pPr>
        <w:adjustRightInd w:val="0"/>
        <w:snapToGrid w:val="0"/>
        <w:spacing w:after="240"/>
        <w:rPr>
          <w:rFonts w:cs="Times New Roman"/>
          <w:vertAlign w:val="superscript"/>
        </w:rPr>
      </w:pPr>
      <w:r>
        <w:rPr>
          <w:rFonts w:cs="Times New Roman"/>
        </w:rPr>
        <w:t>In another revelation about Dr. Daszak’s gain-of-function research cover-up there is also an</w:t>
      </w:r>
      <w:r w:rsidRPr="00672B45">
        <w:rPr>
          <w:rFonts w:cs="Times New Roman"/>
        </w:rPr>
        <w:t xml:space="preserve"> </w:t>
      </w:r>
      <w:r>
        <w:rPr>
          <w:rFonts w:cs="Times New Roman"/>
        </w:rPr>
        <w:t xml:space="preserve">FOI </w:t>
      </w:r>
      <w:r w:rsidRPr="00672B45">
        <w:rPr>
          <w:rFonts w:cs="Times New Roman"/>
        </w:rPr>
        <w:t xml:space="preserve">email </w:t>
      </w:r>
      <w:r>
        <w:rPr>
          <w:rFonts w:cs="Times New Roman"/>
        </w:rPr>
        <w:t>that</w:t>
      </w:r>
      <w:r w:rsidRPr="00672B45">
        <w:rPr>
          <w:rFonts w:cs="Times New Roman"/>
        </w:rPr>
        <w:t xml:space="preserve"> reveal</w:t>
      </w:r>
      <w:r>
        <w:rPr>
          <w:rFonts w:cs="Times New Roman"/>
        </w:rPr>
        <w:t xml:space="preserve">s </w:t>
      </w:r>
      <w:r w:rsidRPr="00D71D57">
        <w:rPr>
          <w:rFonts w:cs="Times New Roman"/>
          <w:b/>
          <w:bCs w:val="0"/>
        </w:rPr>
        <w:t>D</w:t>
      </w:r>
      <w:r>
        <w:rPr>
          <w:rFonts w:cs="Times New Roman"/>
          <w:b/>
          <w:bCs w:val="0"/>
        </w:rPr>
        <w:t>r. D</w:t>
      </w:r>
      <w:r w:rsidRPr="00D71D57">
        <w:rPr>
          <w:rFonts w:cs="Times New Roman"/>
          <w:b/>
          <w:bCs w:val="0"/>
        </w:rPr>
        <w:t>aszak edit</w:t>
      </w:r>
      <w:r>
        <w:rPr>
          <w:rFonts w:cs="Times New Roman"/>
          <w:b/>
          <w:bCs w:val="0"/>
        </w:rPr>
        <w:t>ed</w:t>
      </w:r>
      <w:r w:rsidRPr="00D71D57">
        <w:rPr>
          <w:rFonts w:cs="Times New Roman"/>
          <w:b/>
          <w:bCs w:val="0"/>
        </w:rPr>
        <w:t xml:space="preserve"> a letter</w:t>
      </w:r>
      <w:r w:rsidRPr="00672B45">
        <w:rPr>
          <w:rFonts w:cs="Times New Roman"/>
        </w:rPr>
        <w:t xml:space="preserve"> sent by the Presidents of the U.S. National Academies of Sciences, Engineering, and Medicine </w:t>
      </w:r>
      <w:r w:rsidRPr="00D71D57">
        <w:rPr>
          <w:rFonts w:cs="Times New Roman"/>
          <w:b/>
          <w:bCs w:val="0"/>
        </w:rPr>
        <w:t>to the White House Office</w:t>
      </w:r>
      <w:r w:rsidRPr="00672B45">
        <w:rPr>
          <w:rFonts w:cs="Times New Roman"/>
        </w:rPr>
        <w:t xml:space="preserve"> of Science and Technology Policy regarding the origins of </w:t>
      </w:r>
      <w:r>
        <w:rPr>
          <w:rFonts w:cs="Times New Roman"/>
        </w:rPr>
        <w:t>COVID-19</w:t>
      </w:r>
      <w:r w:rsidRPr="00672B45">
        <w:rPr>
          <w:rFonts w:cs="Times New Roman"/>
        </w:rPr>
        <w:t>, including a line stating, “</w:t>
      </w:r>
      <w:r w:rsidRPr="00672B45">
        <w:rPr>
          <w:rFonts w:cs="Times New Roman"/>
          <w:i/>
          <w:iCs/>
        </w:rPr>
        <w:t>The initial views of the experts is that the available genomic data are consistent with natural evolution and that there is currently no evidence that the virus was engineered to spread more quickly among humans</w:t>
      </w:r>
      <w:r w:rsidRPr="00672B45">
        <w:rPr>
          <w:rFonts w:cs="Times New Roman"/>
        </w:rPr>
        <w:t>.”</w:t>
      </w:r>
      <w:r w:rsidRPr="00672B45">
        <w:rPr>
          <w:rStyle w:val="EndnoteReference"/>
          <w:rFonts w:eastAsiaTheme="majorEastAsia" w:cs="Times New Roman"/>
        </w:rPr>
        <w:endnoteReference w:id="456"/>
      </w:r>
      <w:r w:rsidRPr="00672B45">
        <w:rPr>
          <w:rFonts w:cs="Times New Roman"/>
        </w:rPr>
        <w:t xml:space="preserve"> </w:t>
      </w:r>
      <w:r>
        <w:rPr>
          <w:rFonts w:cs="Times New Roman"/>
        </w:rPr>
        <w:t xml:space="preserve">Dr. </w:t>
      </w:r>
      <w:r w:rsidRPr="0078429E">
        <w:rPr>
          <w:rFonts w:cs="Times New Roman"/>
        </w:rPr>
        <w:t xml:space="preserve">Daszak </w:t>
      </w:r>
      <w:r w:rsidR="007110FD">
        <w:rPr>
          <w:rFonts w:cs="Times New Roman"/>
        </w:rPr>
        <w:t>also</w:t>
      </w:r>
      <w:r w:rsidRPr="0078429E">
        <w:rPr>
          <w:rFonts w:cs="Times New Roman"/>
        </w:rPr>
        <w:t xml:space="preserve"> sent </w:t>
      </w:r>
      <w:r>
        <w:rPr>
          <w:rFonts w:cs="Times New Roman"/>
        </w:rPr>
        <w:t xml:space="preserve">Dr. </w:t>
      </w:r>
      <w:r w:rsidRPr="0078429E">
        <w:rPr>
          <w:rFonts w:cs="Times New Roman"/>
        </w:rPr>
        <w:t xml:space="preserve">Anthony Fauci </w:t>
      </w:r>
      <w:r w:rsidR="007110FD" w:rsidRPr="0078429E">
        <w:rPr>
          <w:rFonts w:cs="Times New Roman"/>
        </w:rPr>
        <w:t xml:space="preserve">an email </w:t>
      </w:r>
      <w:r w:rsidRPr="0078429E">
        <w:rPr>
          <w:rFonts w:cs="Times New Roman"/>
        </w:rPr>
        <w:t>at the pandemic</w:t>
      </w:r>
      <w:r w:rsidR="007110FD">
        <w:rPr>
          <w:rFonts w:cs="Times New Roman"/>
        </w:rPr>
        <w:t>’s outset</w:t>
      </w:r>
      <w:r w:rsidRPr="0078429E">
        <w:rPr>
          <w:rFonts w:cs="Times New Roman"/>
        </w:rPr>
        <w:t xml:space="preserve"> thanking him for publicly dismissing claims </w:t>
      </w:r>
      <w:r w:rsidR="007110FD">
        <w:rPr>
          <w:rFonts w:cs="Times New Roman"/>
        </w:rPr>
        <w:t xml:space="preserve">of a </w:t>
      </w:r>
      <w:r>
        <w:rPr>
          <w:rFonts w:cs="Times New Roman"/>
        </w:rPr>
        <w:t>COVID</w:t>
      </w:r>
      <w:r w:rsidR="007110FD">
        <w:rPr>
          <w:rFonts w:cs="Times New Roman"/>
        </w:rPr>
        <w:t>-19</w:t>
      </w:r>
      <w:r w:rsidRPr="0078429E">
        <w:rPr>
          <w:rFonts w:cs="Times New Roman"/>
        </w:rPr>
        <w:t xml:space="preserve"> </w:t>
      </w:r>
      <w:r w:rsidR="007110FD">
        <w:rPr>
          <w:rFonts w:cs="Times New Roman"/>
        </w:rPr>
        <w:t>lab origin</w:t>
      </w:r>
      <w:r>
        <w:rPr>
          <w:rFonts w:cs="Times New Roman"/>
        </w:rPr>
        <w:t xml:space="preserve"> (pg.1150)</w:t>
      </w:r>
      <w:r w:rsidRPr="0078429E">
        <w:rPr>
          <w:rFonts w:cs="Times New Roman"/>
        </w:rPr>
        <w:t>.</w:t>
      </w:r>
      <w:r w:rsidRPr="0078429E">
        <w:rPr>
          <w:rStyle w:val="EndnoteReference"/>
          <w:rFonts w:cs="Times New Roman"/>
        </w:rPr>
        <w:endnoteReference w:id="457"/>
      </w:r>
      <w:r w:rsidRPr="0078429E">
        <w:rPr>
          <w:rFonts w:cs="Times New Roman"/>
          <w:vertAlign w:val="superscript"/>
        </w:rPr>
        <w:t xml:space="preserve"> </w:t>
      </w:r>
    </w:p>
    <w:p w14:paraId="506A8037" w14:textId="25205B9B" w:rsidR="00931237" w:rsidRPr="001E478D" w:rsidRDefault="00E01616" w:rsidP="00931237">
      <w:pPr>
        <w:rPr>
          <w:szCs w:val="22"/>
        </w:rPr>
      </w:pPr>
      <w:r>
        <w:rPr>
          <w:rFonts w:cs="Times New Roman"/>
        </w:rPr>
        <w:t xml:space="preserve">While none of this proves EcoHealth Alliance </w:t>
      </w:r>
      <w:r w:rsidR="009505CA">
        <w:rPr>
          <w:rFonts w:cs="Times New Roman"/>
        </w:rPr>
        <w:t xml:space="preserve">or </w:t>
      </w:r>
      <w:r w:rsidR="00333D5D">
        <w:rPr>
          <w:rFonts w:cs="Times New Roman"/>
        </w:rPr>
        <w:t xml:space="preserve">associates </w:t>
      </w:r>
      <w:r>
        <w:rPr>
          <w:rFonts w:cs="Times New Roman"/>
        </w:rPr>
        <w:t xml:space="preserve">created the precursor for SARS-CoV-2, it </w:t>
      </w:r>
      <w:r w:rsidRPr="000C1595">
        <w:rPr>
          <w:rFonts w:cs="Times New Roman"/>
        </w:rPr>
        <w:t xml:space="preserve">does </w:t>
      </w:r>
      <w:r w:rsidR="008B5CAC">
        <w:rPr>
          <w:rFonts w:cs="Times New Roman"/>
          <w:b/>
          <w:bCs w:val="0"/>
        </w:rPr>
        <w:t>show</w:t>
      </w:r>
      <w:r w:rsidRPr="000C1595">
        <w:rPr>
          <w:rFonts w:cs="Times New Roman"/>
          <w:b/>
          <w:bCs w:val="0"/>
        </w:rPr>
        <w:t xml:space="preserve"> that </w:t>
      </w:r>
      <w:r>
        <w:rPr>
          <w:rFonts w:cs="Times New Roman"/>
          <w:b/>
          <w:bCs w:val="0"/>
        </w:rPr>
        <w:t>Dr.</w:t>
      </w:r>
      <w:r w:rsidRPr="000C1595">
        <w:rPr>
          <w:rFonts w:cs="Times New Roman"/>
          <w:b/>
          <w:bCs w:val="0"/>
        </w:rPr>
        <w:t xml:space="preserve"> Daszak actively tried to </w:t>
      </w:r>
      <w:r w:rsidR="007E1037">
        <w:rPr>
          <w:rFonts w:cs="Times New Roman"/>
          <w:b/>
          <w:bCs w:val="0"/>
        </w:rPr>
        <w:t>cover up</w:t>
      </w:r>
      <w:r w:rsidRPr="000C1595">
        <w:rPr>
          <w:rFonts w:cs="Times New Roman"/>
          <w:b/>
          <w:bCs w:val="0"/>
        </w:rPr>
        <w:t xml:space="preserve"> </w:t>
      </w:r>
      <w:r>
        <w:rPr>
          <w:rFonts w:cs="Times New Roman"/>
        </w:rPr>
        <w:t>his and others’ role in gain-of-function research aimed at making bat coronaviruses infective to humans</w:t>
      </w:r>
      <w:r w:rsidR="00CB0556">
        <w:rPr>
          <w:rFonts w:cs="Times New Roman"/>
        </w:rPr>
        <w:t xml:space="preserve"> without a </w:t>
      </w:r>
      <w:r w:rsidR="001A749B">
        <w:rPr>
          <w:rFonts w:cs="Times New Roman"/>
        </w:rPr>
        <w:t>zoonosis</w:t>
      </w:r>
      <w:r w:rsidR="004453DF">
        <w:rPr>
          <w:rFonts w:cs="Times New Roman"/>
        </w:rPr>
        <w:t xml:space="preserve">. Dr. Daszak’s </w:t>
      </w:r>
      <w:r w:rsidR="00333D5D">
        <w:rPr>
          <w:rFonts w:cs="Times New Roman"/>
        </w:rPr>
        <w:t xml:space="preserve">collaborative </w:t>
      </w:r>
      <w:r w:rsidR="004453DF">
        <w:rPr>
          <w:rFonts w:cs="Times New Roman"/>
        </w:rPr>
        <w:t xml:space="preserve">research </w:t>
      </w:r>
      <w:r w:rsidR="00333D5D">
        <w:rPr>
          <w:rFonts w:cs="Times New Roman"/>
        </w:rPr>
        <w:t>was</w:t>
      </w:r>
      <w:r w:rsidR="004453DF">
        <w:rPr>
          <w:rFonts w:cs="Times New Roman"/>
        </w:rPr>
        <w:t xml:space="preserve"> </w:t>
      </w:r>
      <w:r w:rsidR="00154770" w:rsidRPr="00906E8C">
        <w:rPr>
          <w:rFonts w:cs="Times New Roman"/>
        </w:rPr>
        <w:t xml:space="preserve">largely </w:t>
      </w:r>
      <w:r w:rsidR="004453DF" w:rsidRPr="00906E8C">
        <w:rPr>
          <w:rFonts w:cs="Times New Roman"/>
        </w:rPr>
        <w:t>f</w:t>
      </w:r>
      <w:r w:rsidRPr="00906E8C">
        <w:rPr>
          <w:rFonts w:cs="Times New Roman"/>
        </w:rPr>
        <w:t xml:space="preserve">unded by the </w:t>
      </w:r>
      <w:r w:rsidRPr="00906E8C">
        <w:rPr>
          <w:rFonts w:cs="Times New Roman"/>
          <w:b/>
          <w:bCs w:val="0"/>
        </w:rPr>
        <w:t xml:space="preserve">US Military </w:t>
      </w:r>
      <w:r w:rsidRPr="009505CA">
        <w:rPr>
          <w:rFonts w:cs="Times New Roman"/>
          <w:b/>
          <w:bCs w:val="0"/>
        </w:rPr>
        <w:t>and Government Agencies</w:t>
      </w:r>
      <w:r>
        <w:rPr>
          <w:rFonts w:cs="Times New Roman"/>
        </w:rPr>
        <w:t xml:space="preserve"> (</w:t>
      </w:r>
      <w:r w:rsidR="00906E8C">
        <w:rPr>
          <w:rFonts w:cs="Times New Roman"/>
        </w:rPr>
        <w:t>section 2.4.1</w:t>
      </w:r>
      <w:r>
        <w:rPr>
          <w:rFonts w:cs="Times New Roman"/>
        </w:rPr>
        <w:t>)</w:t>
      </w:r>
      <w:r w:rsidR="00931237">
        <w:rPr>
          <w:rFonts w:cs="Times New Roman"/>
        </w:rPr>
        <w:t>.</w:t>
      </w:r>
    </w:p>
    <w:p w14:paraId="665294A1" w14:textId="1922CF22" w:rsidR="00E259B3" w:rsidRDefault="00E01616" w:rsidP="00E01616">
      <w:pPr>
        <w:rPr>
          <w:szCs w:val="22"/>
        </w:rPr>
      </w:pPr>
      <w:r w:rsidRPr="00CA443E">
        <w:rPr>
          <w:szCs w:val="22"/>
        </w:rPr>
        <w:t xml:space="preserve">In addition to the various </w:t>
      </w:r>
      <w:r w:rsidR="008D52A6">
        <w:rPr>
          <w:szCs w:val="22"/>
        </w:rPr>
        <w:t xml:space="preserve">origin </w:t>
      </w:r>
      <w:r w:rsidRPr="00CA443E">
        <w:rPr>
          <w:szCs w:val="22"/>
        </w:rPr>
        <w:t xml:space="preserve">cover-ups, the COVID-19 origin narrative has also </w:t>
      </w:r>
      <w:r w:rsidRPr="00CA443E">
        <w:rPr>
          <w:b/>
          <w:bCs w:val="0"/>
          <w:szCs w:val="22"/>
        </w:rPr>
        <w:t>sequentially transitioned</w:t>
      </w:r>
      <w:r w:rsidRPr="00CA443E">
        <w:rPr>
          <w:szCs w:val="22"/>
        </w:rPr>
        <w:t xml:space="preserve"> as it was </w:t>
      </w:r>
      <w:r w:rsidR="00F45406" w:rsidRPr="008F49C8">
        <w:rPr>
          <w:b/>
          <w:bCs w:val="0"/>
          <w:szCs w:val="22"/>
        </w:rPr>
        <w:t xml:space="preserve">publicly </w:t>
      </w:r>
      <w:r w:rsidR="00E259B3" w:rsidRPr="008F49C8">
        <w:rPr>
          <w:b/>
          <w:bCs w:val="0"/>
          <w:szCs w:val="22"/>
        </w:rPr>
        <w:t>falsified</w:t>
      </w:r>
      <w:r w:rsidRPr="00CA443E">
        <w:rPr>
          <w:szCs w:val="22"/>
        </w:rPr>
        <w:t xml:space="preserve">. This </w:t>
      </w:r>
      <w:r w:rsidR="008B5CAC">
        <w:rPr>
          <w:szCs w:val="22"/>
        </w:rPr>
        <w:t>evolving-</w:t>
      </w:r>
      <w:r w:rsidR="00B952A3">
        <w:rPr>
          <w:szCs w:val="22"/>
        </w:rPr>
        <w:t>censoring</w:t>
      </w:r>
      <w:r w:rsidR="00B952A3" w:rsidRPr="00CA443E">
        <w:rPr>
          <w:szCs w:val="22"/>
        </w:rPr>
        <w:t xml:space="preserve"> </w:t>
      </w:r>
      <w:r w:rsidR="00B952A3">
        <w:rPr>
          <w:szCs w:val="22"/>
        </w:rPr>
        <w:t xml:space="preserve">media </w:t>
      </w:r>
      <w:r w:rsidRPr="00CA443E">
        <w:rPr>
          <w:szCs w:val="22"/>
        </w:rPr>
        <w:t>narrative originally claimed a natural origin</w:t>
      </w:r>
      <w:r w:rsidR="00D85C8B" w:rsidRPr="00CA443E">
        <w:rPr>
          <w:szCs w:val="22"/>
        </w:rPr>
        <w:t xml:space="preserve"> even though there was zero evidence for a </w:t>
      </w:r>
      <w:r w:rsidR="00265495" w:rsidRPr="00CA443E">
        <w:rPr>
          <w:szCs w:val="22"/>
        </w:rPr>
        <w:t xml:space="preserve">Wuhan Huanan market </w:t>
      </w:r>
      <w:r w:rsidR="00D85C8B" w:rsidRPr="00CA443E">
        <w:rPr>
          <w:szCs w:val="22"/>
        </w:rPr>
        <w:t xml:space="preserve">zoonosis </w:t>
      </w:r>
      <w:r w:rsidRPr="00CA443E">
        <w:rPr>
          <w:szCs w:val="22"/>
        </w:rPr>
        <w:t xml:space="preserve">while covering up a potential gain-of-function origin (i.e., </w:t>
      </w:r>
      <w:r w:rsidRPr="00CA443E">
        <w:rPr>
          <w:i/>
          <w:iCs/>
          <w:szCs w:val="22"/>
        </w:rPr>
        <w:t xml:space="preserve">labeled as a conspiracy by </w:t>
      </w:r>
      <w:r w:rsidR="00810CA1">
        <w:rPr>
          <w:i/>
          <w:iCs/>
          <w:szCs w:val="22"/>
        </w:rPr>
        <w:t xml:space="preserve">Dr. </w:t>
      </w:r>
      <w:r w:rsidRPr="00CA443E">
        <w:rPr>
          <w:i/>
          <w:iCs/>
          <w:szCs w:val="22"/>
        </w:rPr>
        <w:t>Daszak et al.</w:t>
      </w:r>
      <w:r w:rsidRPr="00CA443E">
        <w:rPr>
          <w:szCs w:val="22"/>
        </w:rPr>
        <w:t xml:space="preserve">). The narrative then changed to one asserting an accidental release </w:t>
      </w:r>
      <w:r w:rsidR="00C72F73">
        <w:rPr>
          <w:szCs w:val="22"/>
        </w:rPr>
        <w:t>from the</w:t>
      </w:r>
      <w:r w:rsidRPr="00CA443E">
        <w:rPr>
          <w:szCs w:val="22"/>
        </w:rPr>
        <w:t xml:space="preserve"> Wuhan</w:t>
      </w:r>
      <w:r w:rsidR="00C72F73">
        <w:rPr>
          <w:szCs w:val="22"/>
        </w:rPr>
        <w:t>-IV</w:t>
      </w:r>
      <w:r w:rsidRPr="00CA443E">
        <w:rPr>
          <w:szCs w:val="22"/>
        </w:rPr>
        <w:t xml:space="preserve"> because the outbreak was first </w:t>
      </w:r>
      <w:r w:rsidR="00810CA1">
        <w:rPr>
          <w:szCs w:val="22"/>
        </w:rPr>
        <w:t>officially</w:t>
      </w:r>
      <w:r w:rsidRPr="00CA443E">
        <w:rPr>
          <w:szCs w:val="22"/>
        </w:rPr>
        <w:t xml:space="preserve"> diagnosed in Wuhan</w:t>
      </w:r>
      <w:r w:rsidR="001142B1" w:rsidRPr="00CA443E">
        <w:rPr>
          <w:szCs w:val="22"/>
        </w:rPr>
        <w:t xml:space="preserve">. </w:t>
      </w:r>
      <w:r w:rsidR="00777000">
        <w:rPr>
          <w:szCs w:val="22"/>
        </w:rPr>
        <w:t xml:space="preserve">However, </w:t>
      </w:r>
      <w:r w:rsidR="008B5CAC">
        <w:rPr>
          <w:szCs w:val="22"/>
        </w:rPr>
        <w:t>“</w:t>
      </w:r>
      <w:r w:rsidR="00777000">
        <w:rPr>
          <w:szCs w:val="22"/>
        </w:rPr>
        <w:t>i</w:t>
      </w:r>
      <w:r w:rsidR="00AA6C88" w:rsidRPr="00CA443E">
        <w:rPr>
          <w:szCs w:val="22"/>
        </w:rPr>
        <w:t>f</w:t>
      </w:r>
      <w:r w:rsidR="008B5CAC">
        <w:rPr>
          <w:szCs w:val="22"/>
        </w:rPr>
        <w:t>”</w:t>
      </w:r>
      <w:r w:rsidR="00AA6C88" w:rsidRPr="00CA443E">
        <w:rPr>
          <w:szCs w:val="22"/>
        </w:rPr>
        <w:t xml:space="preserve"> RaTG13 was the closest genetic relative to SARS-CoV-2 that Wuhan-IV had researched</w:t>
      </w:r>
      <w:r w:rsidR="008B5CAC">
        <w:rPr>
          <w:szCs w:val="22"/>
        </w:rPr>
        <w:t xml:space="preserve"> (</w:t>
      </w:r>
      <w:r w:rsidR="00C72F73">
        <w:rPr>
          <w:szCs w:val="22"/>
        </w:rPr>
        <w:t xml:space="preserve">i.e., </w:t>
      </w:r>
      <w:r w:rsidR="008B5CAC">
        <w:rPr>
          <w:szCs w:val="22"/>
        </w:rPr>
        <w:t>96.2%</w:t>
      </w:r>
      <w:r w:rsidR="005D2D96">
        <w:rPr>
          <w:szCs w:val="22"/>
        </w:rPr>
        <w:t xml:space="preserve"> homology</w:t>
      </w:r>
      <w:r w:rsidR="008B5CAC">
        <w:rPr>
          <w:szCs w:val="22"/>
        </w:rPr>
        <w:t>)</w:t>
      </w:r>
      <w:r w:rsidR="00AA6C88" w:rsidRPr="00CA443E">
        <w:rPr>
          <w:szCs w:val="22"/>
        </w:rPr>
        <w:t xml:space="preserve">, then an accidental release into Wuhan cannot explain SARS-CoV-2’s origin. </w:t>
      </w:r>
      <w:r w:rsidR="00E259B3">
        <w:rPr>
          <w:szCs w:val="22"/>
        </w:rPr>
        <w:t xml:space="preserve">After all, it needs to be explained in molecular detail </w:t>
      </w:r>
      <w:r w:rsidR="008B5CAC">
        <w:rPr>
          <w:szCs w:val="22"/>
        </w:rPr>
        <w:t>how</w:t>
      </w:r>
      <w:r w:rsidR="00931237">
        <w:rPr>
          <w:szCs w:val="22"/>
        </w:rPr>
        <w:t xml:space="preserve"> </w:t>
      </w:r>
      <w:r w:rsidR="004453DF" w:rsidRPr="00CA443E">
        <w:rPr>
          <w:szCs w:val="22"/>
        </w:rPr>
        <w:t xml:space="preserve">that final 3.8% </w:t>
      </w:r>
      <w:r w:rsidR="00777000">
        <w:rPr>
          <w:szCs w:val="22"/>
        </w:rPr>
        <w:t xml:space="preserve">sequence </w:t>
      </w:r>
      <w:r w:rsidR="004453DF" w:rsidRPr="00CA443E">
        <w:rPr>
          <w:szCs w:val="22"/>
        </w:rPr>
        <w:t>homology</w:t>
      </w:r>
      <w:r w:rsidR="00144B45">
        <w:rPr>
          <w:szCs w:val="22"/>
        </w:rPr>
        <w:t xml:space="preserve">, the </w:t>
      </w:r>
      <w:r w:rsidR="004453DF" w:rsidRPr="00CA443E">
        <w:rPr>
          <w:szCs w:val="22"/>
        </w:rPr>
        <w:t>high-affinity spike protein</w:t>
      </w:r>
      <w:r w:rsidR="00015E26">
        <w:rPr>
          <w:szCs w:val="22"/>
        </w:rPr>
        <w:t>-</w:t>
      </w:r>
      <w:r w:rsidR="008B5CAC">
        <w:rPr>
          <w:szCs w:val="22"/>
        </w:rPr>
        <w:t>h</w:t>
      </w:r>
      <w:r w:rsidR="004453DF" w:rsidRPr="00CA443E">
        <w:rPr>
          <w:szCs w:val="22"/>
        </w:rPr>
        <w:t>ACE2 binding</w:t>
      </w:r>
      <w:r w:rsidR="00144B45">
        <w:rPr>
          <w:szCs w:val="22"/>
        </w:rPr>
        <w:t>,</w:t>
      </w:r>
      <w:r w:rsidR="004453DF" w:rsidRPr="00CA443E">
        <w:rPr>
          <w:szCs w:val="22"/>
        </w:rPr>
        <w:t xml:space="preserve"> </w:t>
      </w:r>
      <w:r w:rsidR="00144B45">
        <w:rPr>
          <w:szCs w:val="22"/>
        </w:rPr>
        <w:t xml:space="preserve">and the </w:t>
      </w:r>
      <w:r w:rsidR="00B952A3">
        <w:rPr>
          <w:szCs w:val="22"/>
        </w:rPr>
        <w:t xml:space="preserve">2-in-1 </w:t>
      </w:r>
      <w:r w:rsidR="00C72F73" w:rsidRPr="004B4616">
        <w:rPr>
          <w:szCs w:val="22"/>
        </w:rPr>
        <w:t>double-</w:t>
      </w:r>
      <w:r w:rsidR="00C72F73">
        <w:rPr>
          <w:szCs w:val="22"/>
        </w:rPr>
        <w:t xml:space="preserve">CGG </w:t>
      </w:r>
      <w:r w:rsidR="00C72F73" w:rsidRPr="004B4616">
        <w:rPr>
          <w:szCs w:val="22"/>
        </w:rPr>
        <w:t xml:space="preserve">codon </w:t>
      </w:r>
      <w:r w:rsidR="00C72F73">
        <w:rPr>
          <w:szCs w:val="22"/>
        </w:rPr>
        <w:t xml:space="preserve">encoding </w:t>
      </w:r>
      <w:r w:rsidR="008B5CAC">
        <w:rPr>
          <w:szCs w:val="22"/>
        </w:rPr>
        <w:t>Arginine</w:t>
      </w:r>
      <w:r w:rsidR="009A59ED">
        <w:rPr>
          <w:szCs w:val="22"/>
        </w:rPr>
        <w:t xml:space="preserve"> </w:t>
      </w:r>
      <w:r w:rsidR="00B952A3">
        <w:rPr>
          <w:szCs w:val="22"/>
        </w:rPr>
        <w:t>FCS and nuclear localization signal</w:t>
      </w:r>
      <w:r w:rsidR="00931237">
        <w:rPr>
          <w:szCs w:val="22"/>
        </w:rPr>
        <w:t>,</w:t>
      </w:r>
      <w:r w:rsidR="005D2D96">
        <w:rPr>
          <w:szCs w:val="22"/>
        </w:rPr>
        <w:t xml:space="preserve"> among other features</w:t>
      </w:r>
      <w:r w:rsidR="00931237">
        <w:rPr>
          <w:szCs w:val="22"/>
        </w:rPr>
        <w:t>,</w:t>
      </w:r>
      <w:r w:rsidR="00B952A3">
        <w:rPr>
          <w:szCs w:val="22"/>
        </w:rPr>
        <w:t xml:space="preserve"> </w:t>
      </w:r>
      <w:r w:rsidR="00E259B3" w:rsidRPr="00E259B3">
        <w:rPr>
          <w:b/>
          <w:bCs w:val="0"/>
          <w:szCs w:val="22"/>
        </w:rPr>
        <w:t>got</w:t>
      </w:r>
      <w:r w:rsidR="004453DF" w:rsidRPr="00E259B3">
        <w:rPr>
          <w:b/>
          <w:bCs w:val="0"/>
          <w:szCs w:val="22"/>
        </w:rPr>
        <w:t xml:space="preserve"> added</w:t>
      </w:r>
      <w:r w:rsidR="008B5CAC">
        <w:rPr>
          <w:b/>
          <w:bCs w:val="0"/>
          <w:szCs w:val="22"/>
        </w:rPr>
        <w:t>.</w:t>
      </w:r>
    </w:p>
    <w:p w14:paraId="4C7C0EFA" w14:textId="0A48297C" w:rsidR="0062024E" w:rsidRPr="008D52A6" w:rsidRDefault="00922679" w:rsidP="00E01616">
      <w:pPr>
        <w:rPr>
          <w:szCs w:val="22"/>
        </w:rPr>
      </w:pPr>
      <w:r>
        <w:rPr>
          <w:szCs w:val="22"/>
        </w:rPr>
        <w:t>T</w:t>
      </w:r>
      <w:r w:rsidR="00C54EE2" w:rsidRPr="00CA443E">
        <w:rPr>
          <w:szCs w:val="22"/>
        </w:rPr>
        <w:t xml:space="preserve">he theoretical specter of another </w:t>
      </w:r>
      <w:r w:rsidR="00015E26">
        <w:rPr>
          <w:szCs w:val="22"/>
        </w:rPr>
        <w:t>origin</w:t>
      </w:r>
      <w:r w:rsidR="00C54EE2" w:rsidRPr="00CA443E">
        <w:rPr>
          <w:szCs w:val="22"/>
        </w:rPr>
        <w:t xml:space="preserve"> </w:t>
      </w:r>
      <w:r w:rsidR="00B952A3">
        <w:rPr>
          <w:szCs w:val="22"/>
        </w:rPr>
        <w:t xml:space="preserve">beyond Wuhan-IV </w:t>
      </w:r>
      <w:r w:rsidR="00C54EE2" w:rsidRPr="00CA443E">
        <w:rPr>
          <w:szCs w:val="22"/>
        </w:rPr>
        <w:t>for SARS-CoV-2</w:t>
      </w:r>
      <w:r w:rsidR="00777000">
        <w:rPr>
          <w:szCs w:val="22"/>
        </w:rPr>
        <w:t xml:space="preserve"> is raised, which </w:t>
      </w:r>
      <w:r w:rsidR="00C54EE2" w:rsidRPr="00CA443E">
        <w:rPr>
          <w:szCs w:val="22"/>
        </w:rPr>
        <w:t xml:space="preserve">could have arisen </w:t>
      </w:r>
      <w:r w:rsidR="00C54EE2" w:rsidRPr="00CA443E">
        <w:rPr>
          <w:b/>
          <w:bCs w:val="0"/>
          <w:szCs w:val="22"/>
        </w:rPr>
        <w:t xml:space="preserve">inside or </w:t>
      </w:r>
      <w:r w:rsidR="00F45406">
        <w:rPr>
          <w:b/>
          <w:bCs w:val="0"/>
          <w:szCs w:val="22"/>
        </w:rPr>
        <w:t>outside</w:t>
      </w:r>
      <w:r w:rsidR="00C54EE2" w:rsidRPr="00CA443E">
        <w:rPr>
          <w:b/>
          <w:bCs w:val="0"/>
          <w:szCs w:val="22"/>
        </w:rPr>
        <w:t xml:space="preserve"> China</w:t>
      </w:r>
      <w:r w:rsidR="008B5CAC">
        <w:rPr>
          <w:szCs w:val="22"/>
        </w:rPr>
        <w:t xml:space="preserve"> if you considered all possibilities</w:t>
      </w:r>
      <w:r w:rsidR="00C54EE2" w:rsidRPr="00CA443E">
        <w:rPr>
          <w:szCs w:val="22"/>
        </w:rPr>
        <w:t>.</w:t>
      </w:r>
      <w:r w:rsidR="00367469">
        <w:rPr>
          <w:szCs w:val="22"/>
        </w:rPr>
        <w:t xml:space="preserve"> </w:t>
      </w:r>
      <w:r w:rsidR="00CF07EF">
        <w:rPr>
          <w:szCs w:val="22"/>
        </w:rPr>
        <w:t xml:space="preserve">While </w:t>
      </w:r>
      <w:r w:rsidR="00E01616" w:rsidRPr="006C6FA1">
        <w:rPr>
          <w:szCs w:val="22"/>
        </w:rPr>
        <w:t>alleg</w:t>
      </w:r>
      <w:r w:rsidR="00CF07EF">
        <w:rPr>
          <w:szCs w:val="22"/>
        </w:rPr>
        <w:t>ations of a cover-up</w:t>
      </w:r>
      <w:r w:rsidR="00E01616" w:rsidRPr="006C6FA1">
        <w:rPr>
          <w:szCs w:val="22"/>
        </w:rPr>
        <w:t xml:space="preserve"> </w:t>
      </w:r>
      <w:r w:rsidR="00CF07EF">
        <w:rPr>
          <w:szCs w:val="22"/>
        </w:rPr>
        <w:t xml:space="preserve">by the </w:t>
      </w:r>
      <w:r w:rsidR="00E01616" w:rsidRPr="006C6FA1">
        <w:rPr>
          <w:szCs w:val="22"/>
        </w:rPr>
        <w:t>C</w:t>
      </w:r>
      <w:r w:rsidR="007E246C">
        <w:rPr>
          <w:szCs w:val="22"/>
        </w:rPr>
        <w:t>hinese Communist Party (C</w:t>
      </w:r>
      <w:r w:rsidR="00E01616" w:rsidRPr="006C6FA1">
        <w:rPr>
          <w:szCs w:val="22"/>
        </w:rPr>
        <w:t>CP</w:t>
      </w:r>
      <w:r w:rsidR="007E246C">
        <w:rPr>
          <w:szCs w:val="22"/>
        </w:rPr>
        <w:t>)</w:t>
      </w:r>
      <w:r w:rsidR="00E01616" w:rsidRPr="006C6FA1">
        <w:rPr>
          <w:szCs w:val="22"/>
        </w:rPr>
        <w:t xml:space="preserve"> of a </w:t>
      </w:r>
      <w:r w:rsidR="00E01616" w:rsidRPr="006C6FA1">
        <w:rPr>
          <w:rFonts w:cs="Times New Roman"/>
          <w:szCs w:val="22"/>
        </w:rPr>
        <w:t xml:space="preserve">potential accidental release in Wuhan </w:t>
      </w:r>
      <w:r w:rsidR="00CF07EF">
        <w:rPr>
          <w:rFonts w:cs="Times New Roman"/>
          <w:szCs w:val="22"/>
        </w:rPr>
        <w:t>should not be ignored</w:t>
      </w:r>
      <w:r w:rsidR="008B5CAC">
        <w:rPr>
          <w:rFonts w:cs="Times New Roman"/>
          <w:szCs w:val="22"/>
        </w:rPr>
        <w:t xml:space="preserve"> </w:t>
      </w:r>
      <w:r w:rsidR="00B952A3">
        <w:rPr>
          <w:rFonts w:cs="Times New Roman"/>
          <w:szCs w:val="22"/>
        </w:rPr>
        <w:t xml:space="preserve">or imply guilt </w:t>
      </w:r>
      <w:r w:rsidR="00E01616" w:rsidRPr="006C6FA1">
        <w:rPr>
          <w:szCs w:val="22"/>
        </w:rPr>
        <w:t>(</w:t>
      </w:r>
      <w:r w:rsidR="0058576C" w:rsidRPr="006C6FA1">
        <w:rPr>
          <w:szCs w:val="22"/>
        </w:rPr>
        <w:t xml:space="preserve">i.e., </w:t>
      </w:r>
      <w:r w:rsidR="00E01616" w:rsidRPr="006C6FA1">
        <w:rPr>
          <w:rFonts w:cs="Times New Roman"/>
          <w:i/>
          <w:iCs/>
          <w:szCs w:val="22"/>
        </w:rPr>
        <w:t>HFACR-1</w:t>
      </w:r>
      <w:r w:rsidR="00B44B5E" w:rsidRPr="006C6FA1">
        <w:rPr>
          <w:rFonts w:cs="Times New Roman"/>
          <w:i/>
          <w:iCs/>
          <w:szCs w:val="22"/>
        </w:rPr>
        <w:t>:</w:t>
      </w:r>
      <w:r w:rsidR="00B44B5E" w:rsidRPr="006C6FA1">
        <w:rPr>
          <w:rStyle w:val="EndnoteReference"/>
          <w:rFonts w:cs="Times New Roman"/>
          <w:szCs w:val="22"/>
        </w:rPr>
        <w:endnoteReference w:id="458"/>
      </w:r>
      <w:r w:rsidR="00E01616" w:rsidRPr="006C6FA1">
        <w:rPr>
          <w:rFonts w:cs="Times New Roman"/>
          <w:i/>
          <w:iCs/>
          <w:szCs w:val="22"/>
        </w:rPr>
        <w:t xml:space="preserve"> pgs.23-37</w:t>
      </w:r>
      <w:r w:rsidR="00B44B5E" w:rsidRPr="006C6FA1">
        <w:rPr>
          <w:rFonts w:cs="Times New Roman"/>
          <w:i/>
          <w:iCs/>
          <w:szCs w:val="22"/>
        </w:rPr>
        <w:t xml:space="preserve">. </w:t>
      </w:r>
      <w:r w:rsidR="00E01616" w:rsidRPr="006C6FA1">
        <w:rPr>
          <w:rFonts w:cs="Times New Roman"/>
          <w:i/>
          <w:iCs/>
          <w:szCs w:val="22"/>
        </w:rPr>
        <w:t xml:space="preserve"> </w:t>
      </w:r>
      <w:r w:rsidR="00B44B5E" w:rsidRPr="006C6FA1">
        <w:rPr>
          <w:rFonts w:cs="Times New Roman"/>
          <w:i/>
          <w:iCs/>
          <w:szCs w:val="22"/>
        </w:rPr>
        <w:t>HFACR-2:</w:t>
      </w:r>
      <w:r w:rsidR="00B44B5E" w:rsidRPr="006C6FA1">
        <w:rPr>
          <w:rStyle w:val="EndnoteReference"/>
          <w:rFonts w:cs="Times New Roman"/>
          <w:szCs w:val="22"/>
        </w:rPr>
        <w:endnoteReference w:id="459"/>
      </w:r>
      <w:r w:rsidR="00B44B5E" w:rsidRPr="006C6FA1">
        <w:rPr>
          <w:rFonts w:cs="Times New Roman"/>
          <w:i/>
          <w:iCs/>
          <w:szCs w:val="22"/>
        </w:rPr>
        <w:t xml:space="preserve"> </w:t>
      </w:r>
      <w:r w:rsidR="00E01616" w:rsidRPr="006C6FA1">
        <w:rPr>
          <w:rFonts w:cs="Times New Roman"/>
          <w:i/>
          <w:iCs/>
          <w:szCs w:val="22"/>
        </w:rPr>
        <w:t xml:space="preserve">pgs. 6, </w:t>
      </w:r>
      <w:r w:rsidR="00B44B5E" w:rsidRPr="006C6FA1">
        <w:rPr>
          <w:rFonts w:cs="Times New Roman"/>
          <w:i/>
          <w:iCs/>
          <w:szCs w:val="22"/>
        </w:rPr>
        <w:t>19</w:t>
      </w:r>
      <w:r w:rsidR="00E01616" w:rsidRPr="006C6FA1">
        <w:rPr>
          <w:rFonts w:cs="Times New Roman"/>
          <w:i/>
          <w:iCs/>
          <w:szCs w:val="22"/>
        </w:rPr>
        <w:t>-29</w:t>
      </w:r>
      <w:r w:rsidR="00B44B5E" w:rsidRPr="006C6FA1">
        <w:rPr>
          <w:rFonts w:cs="Times New Roman"/>
          <w:i/>
          <w:iCs/>
          <w:szCs w:val="22"/>
        </w:rPr>
        <w:t>, 58-59</w:t>
      </w:r>
      <w:r w:rsidR="006C6FA1">
        <w:rPr>
          <w:rFonts w:cs="Times New Roman"/>
          <w:i/>
          <w:iCs/>
          <w:szCs w:val="22"/>
        </w:rPr>
        <w:t>,</w:t>
      </w:r>
      <w:r w:rsidR="006C6FA1" w:rsidRPr="006C6FA1">
        <w:rPr>
          <w:rFonts w:cs="Times New Roman"/>
          <w:i/>
          <w:iCs/>
          <w:szCs w:val="22"/>
        </w:rPr>
        <w:t xml:space="preserve"> database removal</w:t>
      </w:r>
      <w:r w:rsidR="006C6FA1">
        <w:rPr>
          <w:rFonts w:cs="Times New Roman"/>
          <w:i/>
          <w:iCs/>
          <w:szCs w:val="22"/>
        </w:rPr>
        <w:t>.</w:t>
      </w:r>
      <w:r w:rsidR="006C6FA1" w:rsidRPr="006C6FA1">
        <w:rPr>
          <w:rStyle w:val="EndnoteReference"/>
          <w:rFonts w:cs="Times New Roman"/>
          <w:i/>
          <w:iCs/>
          <w:szCs w:val="22"/>
        </w:rPr>
        <w:endnoteReference w:id="460"/>
      </w:r>
      <w:r w:rsidR="00E01616" w:rsidRPr="006C6FA1">
        <w:rPr>
          <w:szCs w:val="22"/>
        </w:rPr>
        <w:t>)</w:t>
      </w:r>
      <w:r w:rsidR="00CF07EF">
        <w:rPr>
          <w:szCs w:val="22"/>
        </w:rPr>
        <w:t xml:space="preserve">, neither should </w:t>
      </w:r>
      <w:r w:rsidR="00E01616">
        <w:rPr>
          <w:szCs w:val="22"/>
        </w:rPr>
        <w:t xml:space="preserve">the earlier SARS-like cases among </w:t>
      </w:r>
      <w:r w:rsidR="00E01616" w:rsidRPr="00DC280D">
        <w:rPr>
          <w:rFonts w:cs="Times New Roman"/>
          <w:szCs w:val="22"/>
        </w:rPr>
        <w:t xml:space="preserve">athletes </w:t>
      </w:r>
      <w:r w:rsidR="00E01616">
        <w:rPr>
          <w:rFonts w:cs="Times New Roman"/>
          <w:szCs w:val="22"/>
        </w:rPr>
        <w:t xml:space="preserve">during and after the </w:t>
      </w:r>
      <w:r w:rsidR="00E01616" w:rsidRPr="00931237">
        <w:rPr>
          <w:rFonts w:cs="Times New Roman"/>
          <w:b/>
          <w:bCs w:val="0"/>
          <w:szCs w:val="22"/>
        </w:rPr>
        <w:t>Wuhan Military World Games</w:t>
      </w:r>
      <w:r w:rsidR="00C72F73">
        <w:rPr>
          <w:rFonts w:cs="Times New Roman"/>
          <w:szCs w:val="22"/>
        </w:rPr>
        <w:t xml:space="preserve"> in October 2019</w:t>
      </w:r>
      <w:r w:rsidR="00333D5D">
        <w:rPr>
          <w:rFonts w:cs="Times New Roman"/>
          <w:szCs w:val="22"/>
        </w:rPr>
        <w:t>,</w:t>
      </w:r>
      <w:r w:rsidR="00E01616" w:rsidRPr="0058576C">
        <w:rPr>
          <w:rStyle w:val="EndnoteReference"/>
          <w:rFonts w:eastAsiaTheme="majorEastAsia" w:cs="Times New Roman"/>
          <w:szCs w:val="22"/>
        </w:rPr>
        <w:endnoteReference w:id="461"/>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2"/>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3"/>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4"/>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5"/>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6"/>
      </w:r>
      <w:r w:rsidR="00E01616" w:rsidRPr="0058576C">
        <w:rPr>
          <w:rFonts w:cs="Times New Roman"/>
          <w:szCs w:val="22"/>
          <w:vertAlign w:val="superscript"/>
        </w:rPr>
        <w:t>,</w:t>
      </w:r>
      <w:r w:rsidR="00E01616" w:rsidRPr="0058576C">
        <w:rPr>
          <w:rStyle w:val="EndnoteReference"/>
          <w:rFonts w:eastAsiaTheme="majorEastAsia" w:cs="Times New Roman"/>
          <w:szCs w:val="22"/>
        </w:rPr>
        <w:endnoteReference w:id="467"/>
      </w:r>
      <w:r w:rsidR="00E01616" w:rsidRPr="0058576C">
        <w:rPr>
          <w:rFonts w:cs="Times New Roman"/>
          <w:szCs w:val="22"/>
          <w:vertAlign w:val="superscript"/>
        </w:rPr>
        <w:t xml:space="preserve"> </w:t>
      </w:r>
      <w:r w:rsidR="00E01616">
        <w:rPr>
          <w:rFonts w:cs="Times New Roman"/>
          <w:szCs w:val="22"/>
        </w:rPr>
        <w:t xml:space="preserve">and the </w:t>
      </w:r>
      <w:r w:rsidR="00E01616" w:rsidRPr="00186BB9">
        <w:rPr>
          <w:rFonts w:cs="Times New Roman"/>
          <w:szCs w:val="22"/>
        </w:rPr>
        <w:t xml:space="preserve">significant increase in </w:t>
      </w:r>
      <w:r w:rsidR="00E01616">
        <w:rPr>
          <w:rFonts w:cs="Times New Roman"/>
          <w:szCs w:val="22"/>
        </w:rPr>
        <w:t>Wuhan</w:t>
      </w:r>
      <w:r w:rsidR="00E01616" w:rsidRPr="00186BB9">
        <w:rPr>
          <w:rFonts w:cs="Times New Roman"/>
          <w:szCs w:val="22"/>
        </w:rPr>
        <w:t xml:space="preserve"> hospital visits </w:t>
      </w:r>
      <w:r w:rsidR="0062024E">
        <w:rPr>
          <w:rFonts w:cs="Times New Roman"/>
          <w:szCs w:val="22"/>
        </w:rPr>
        <w:t>with</w:t>
      </w:r>
      <w:r w:rsidR="00E01616" w:rsidRPr="00186BB9">
        <w:rPr>
          <w:rFonts w:cs="Times New Roman"/>
          <w:szCs w:val="22"/>
        </w:rPr>
        <w:t xml:space="preserve"> </w:t>
      </w:r>
      <w:r w:rsidR="00E01616">
        <w:rPr>
          <w:rFonts w:cs="Times New Roman"/>
          <w:szCs w:val="22"/>
        </w:rPr>
        <w:t>SARS</w:t>
      </w:r>
      <w:r w:rsidR="00E01616" w:rsidRPr="00186BB9">
        <w:rPr>
          <w:rFonts w:cs="Times New Roman"/>
          <w:szCs w:val="22"/>
        </w:rPr>
        <w:t xml:space="preserve">-like </w:t>
      </w:r>
      <w:r w:rsidR="00E01616" w:rsidRPr="00186BB9">
        <w:rPr>
          <w:rFonts w:cs="Times New Roman"/>
          <w:szCs w:val="22"/>
        </w:rPr>
        <w:lastRenderedPageBreak/>
        <w:t>symptom</w:t>
      </w:r>
      <w:r w:rsidR="007E1037">
        <w:rPr>
          <w:rFonts w:cs="Times New Roman"/>
          <w:szCs w:val="22"/>
        </w:rPr>
        <w:t xml:space="preserve">s </w:t>
      </w:r>
      <w:r w:rsidR="0062024E">
        <w:rPr>
          <w:rFonts w:cs="Times New Roman"/>
          <w:szCs w:val="22"/>
        </w:rPr>
        <w:t>in the Fall of 2019.</w:t>
      </w:r>
      <w:r w:rsidR="00E01616" w:rsidRPr="00186BB9">
        <w:rPr>
          <w:rStyle w:val="EndnoteReference"/>
          <w:rFonts w:eastAsiaTheme="majorEastAsia" w:cs="Times New Roman"/>
          <w:szCs w:val="22"/>
        </w:rPr>
        <w:endnoteReference w:id="468"/>
      </w:r>
      <w:r w:rsidR="00E01616">
        <w:rPr>
          <w:rFonts w:cs="Times New Roman"/>
          <w:szCs w:val="22"/>
        </w:rPr>
        <w:t xml:space="preserve"> </w:t>
      </w:r>
      <w:r w:rsidR="00E02903">
        <w:rPr>
          <w:rFonts w:cs="Times New Roman"/>
          <w:szCs w:val="22"/>
        </w:rPr>
        <w:t xml:space="preserve">The potential importation of SARS-CoV-2 </w:t>
      </w:r>
      <w:r w:rsidR="00DC3A06">
        <w:rPr>
          <w:rFonts w:cs="Times New Roman"/>
          <w:szCs w:val="22"/>
        </w:rPr>
        <w:t xml:space="preserve">to the </w:t>
      </w:r>
      <w:r w:rsidR="00E02903" w:rsidRPr="00DC280D">
        <w:rPr>
          <w:rFonts w:cs="Times New Roman"/>
          <w:szCs w:val="22"/>
        </w:rPr>
        <w:t>Wuhan Military World Game</w:t>
      </w:r>
      <w:r w:rsidR="00E02903">
        <w:rPr>
          <w:rFonts w:cs="Times New Roman"/>
          <w:szCs w:val="22"/>
        </w:rPr>
        <w:t xml:space="preserve">s </w:t>
      </w:r>
      <w:r w:rsidR="00810CA1">
        <w:rPr>
          <w:rFonts w:cs="Times New Roman"/>
          <w:b/>
          <w:bCs w:val="0"/>
          <w:szCs w:val="22"/>
        </w:rPr>
        <w:t>CONFOUND</w:t>
      </w:r>
      <w:r w:rsidR="00E02903">
        <w:rPr>
          <w:rFonts w:cs="Times New Roman"/>
          <w:szCs w:val="22"/>
        </w:rPr>
        <w:t xml:space="preserve"> a</w:t>
      </w:r>
      <w:r w:rsidR="004479A5">
        <w:rPr>
          <w:rFonts w:cs="Times New Roman"/>
          <w:szCs w:val="22"/>
        </w:rPr>
        <w:t xml:space="preserve"> supposed</w:t>
      </w:r>
      <w:r w:rsidR="00E02903">
        <w:rPr>
          <w:rFonts w:cs="Times New Roman"/>
          <w:szCs w:val="22"/>
        </w:rPr>
        <w:t xml:space="preserve"> accidental </w:t>
      </w:r>
      <w:r w:rsidR="007E1037">
        <w:rPr>
          <w:rFonts w:cs="Times New Roman"/>
          <w:szCs w:val="22"/>
        </w:rPr>
        <w:t xml:space="preserve">Wuhan </w:t>
      </w:r>
      <w:r w:rsidR="008B5CAC">
        <w:rPr>
          <w:rFonts w:cs="Times New Roman"/>
          <w:szCs w:val="22"/>
        </w:rPr>
        <w:t xml:space="preserve">Huanan market </w:t>
      </w:r>
      <w:r w:rsidR="00E02903">
        <w:rPr>
          <w:rFonts w:cs="Times New Roman"/>
          <w:szCs w:val="22"/>
        </w:rPr>
        <w:t>release</w:t>
      </w:r>
      <w:r w:rsidR="005D2D96">
        <w:rPr>
          <w:rFonts w:cs="Times New Roman"/>
          <w:szCs w:val="22"/>
        </w:rPr>
        <w:t>,</w:t>
      </w:r>
      <w:r w:rsidR="004479A5">
        <w:rPr>
          <w:rFonts w:cs="Times New Roman"/>
          <w:szCs w:val="22"/>
        </w:rPr>
        <w:t xml:space="preserve"> which so far has failed to confirm a progenitor virus and animal host</w:t>
      </w:r>
      <w:r w:rsidR="00E02903">
        <w:rPr>
          <w:rFonts w:cs="Times New Roman"/>
          <w:szCs w:val="22"/>
        </w:rPr>
        <w:t xml:space="preserve">. </w:t>
      </w:r>
      <w:r w:rsidR="004479A5">
        <w:rPr>
          <w:rFonts w:cs="Times New Roman"/>
          <w:szCs w:val="22"/>
        </w:rPr>
        <w:t xml:space="preserve">In assessing a potential China origin, one must </w:t>
      </w:r>
      <w:r w:rsidR="005D2D96">
        <w:rPr>
          <w:rFonts w:cs="Times New Roman"/>
          <w:szCs w:val="22"/>
        </w:rPr>
        <w:t xml:space="preserve">also </w:t>
      </w:r>
      <w:r w:rsidR="004479A5">
        <w:rPr>
          <w:rFonts w:cs="Times New Roman"/>
          <w:szCs w:val="22"/>
        </w:rPr>
        <w:t xml:space="preserve">reflect </w:t>
      </w:r>
      <w:r w:rsidR="00F45406">
        <w:rPr>
          <w:rFonts w:cs="Times New Roman"/>
          <w:szCs w:val="22"/>
        </w:rPr>
        <w:t xml:space="preserve">on </w:t>
      </w:r>
      <w:r w:rsidR="004479A5">
        <w:rPr>
          <w:rFonts w:cs="Times New Roman"/>
          <w:szCs w:val="22"/>
        </w:rPr>
        <w:t>the</w:t>
      </w:r>
      <w:r w:rsidR="008B5CAC">
        <w:rPr>
          <w:rFonts w:cs="Times New Roman"/>
          <w:szCs w:val="22"/>
        </w:rPr>
        <w:t xml:space="preserve"> </w:t>
      </w:r>
      <w:r w:rsidR="00931237">
        <w:rPr>
          <w:rFonts w:cs="Times New Roman"/>
          <w:szCs w:val="22"/>
        </w:rPr>
        <w:t xml:space="preserve">lack of </w:t>
      </w:r>
      <w:r w:rsidR="008B5CAC">
        <w:rPr>
          <w:rFonts w:cs="Times New Roman"/>
          <w:szCs w:val="22"/>
        </w:rPr>
        <w:t>published science showing China</w:t>
      </w:r>
      <w:r w:rsidR="00931237">
        <w:rPr>
          <w:rFonts w:cs="Times New Roman"/>
          <w:szCs w:val="22"/>
        </w:rPr>
        <w:t>’s</w:t>
      </w:r>
      <w:r w:rsidR="008B5CAC">
        <w:rPr>
          <w:rFonts w:cs="Times New Roman"/>
          <w:szCs w:val="22"/>
        </w:rPr>
        <w:t xml:space="preserve"> science had the </w:t>
      </w:r>
      <w:r w:rsidR="00931237">
        <w:rPr>
          <w:rFonts w:cs="Times New Roman"/>
          <w:szCs w:val="22"/>
        </w:rPr>
        <w:t xml:space="preserve">proven </w:t>
      </w:r>
      <w:r w:rsidR="008B5CAC">
        <w:rPr>
          <w:rFonts w:cs="Times New Roman"/>
          <w:szCs w:val="22"/>
        </w:rPr>
        <w:t xml:space="preserve">capability </w:t>
      </w:r>
      <w:r w:rsidR="00931237">
        <w:rPr>
          <w:rFonts w:cs="Times New Roman"/>
          <w:szCs w:val="22"/>
        </w:rPr>
        <w:t xml:space="preserve">or research </w:t>
      </w:r>
      <w:r w:rsidR="00931237" w:rsidRPr="00810CA1">
        <w:rPr>
          <w:rFonts w:cs="Times New Roman"/>
          <w:b/>
          <w:bCs w:val="0"/>
          <w:szCs w:val="22"/>
        </w:rPr>
        <w:t>intent</w:t>
      </w:r>
      <w:r w:rsidR="00931237">
        <w:rPr>
          <w:rFonts w:cs="Times New Roman"/>
          <w:szCs w:val="22"/>
        </w:rPr>
        <w:t xml:space="preserve"> </w:t>
      </w:r>
      <w:r w:rsidR="008B5CAC">
        <w:rPr>
          <w:rFonts w:cs="Times New Roman"/>
          <w:szCs w:val="22"/>
        </w:rPr>
        <w:t>to add an FCS and NLS, LFA-1, etc., and get a functional virus.</w:t>
      </w:r>
    </w:p>
    <w:p w14:paraId="40B2EAD2" w14:textId="281262CC" w:rsidR="00C25B28" w:rsidRDefault="008B5CAC" w:rsidP="00E01616">
      <w:pPr>
        <w:rPr>
          <w:szCs w:val="22"/>
        </w:rPr>
      </w:pPr>
      <w:r>
        <w:rPr>
          <w:szCs w:val="22"/>
        </w:rPr>
        <w:t>W</w:t>
      </w:r>
      <w:r w:rsidR="00E2136F">
        <w:rPr>
          <w:szCs w:val="22"/>
        </w:rPr>
        <w:t>hy</w:t>
      </w:r>
      <w:r w:rsidR="00E01616" w:rsidRPr="00B27138">
        <w:rPr>
          <w:szCs w:val="22"/>
        </w:rPr>
        <w:t xml:space="preserve"> didn’t the </w:t>
      </w:r>
      <w:r w:rsidR="00E01616" w:rsidRPr="00B27138">
        <w:rPr>
          <w:b/>
          <w:szCs w:val="22"/>
        </w:rPr>
        <w:t>WHO</w:t>
      </w:r>
      <w:r w:rsidR="00E01616" w:rsidRPr="00CF6834">
        <w:rPr>
          <w:rStyle w:val="EndnoteReference"/>
          <w:szCs w:val="22"/>
        </w:rPr>
        <w:endnoteReference w:id="469"/>
      </w:r>
      <w:r w:rsidR="00E01616" w:rsidRPr="00CF6834">
        <w:rPr>
          <w:szCs w:val="22"/>
          <w:vertAlign w:val="superscript"/>
        </w:rPr>
        <w:t>,</w:t>
      </w:r>
      <w:r w:rsidR="00E01616" w:rsidRPr="00CF6834">
        <w:rPr>
          <w:rStyle w:val="EndnoteReference"/>
          <w:szCs w:val="22"/>
        </w:rPr>
        <w:endnoteReference w:id="470"/>
      </w:r>
      <w:r w:rsidR="00E01616" w:rsidRPr="00CF6834">
        <w:rPr>
          <w:szCs w:val="22"/>
          <w:vertAlign w:val="superscript"/>
        </w:rPr>
        <w:t>,</w:t>
      </w:r>
      <w:r w:rsidR="00E01616" w:rsidRPr="00CF6834">
        <w:rPr>
          <w:rStyle w:val="EndnoteReference"/>
          <w:szCs w:val="22"/>
        </w:rPr>
        <w:endnoteReference w:id="471"/>
      </w:r>
      <w:r w:rsidR="00E01616" w:rsidRPr="00CF6834">
        <w:rPr>
          <w:szCs w:val="22"/>
          <w:vertAlign w:val="superscript"/>
        </w:rPr>
        <w:t xml:space="preserve"> </w:t>
      </w:r>
      <w:r w:rsidR="00E01616">
        <w:rPr>
          <w:szCs w:val="22"/>
        </w:rPr>
        <w:t xml:space="preserve">and the </w:t>
      </w:r>
      <w:r w:rsidR="00E01616" w:rsidRPr="00B27138">
        <w:rPr>
          <w:szCs w:val="22"/>
        </w:rPr>
        <w:t>United Nations Office for Disarmament Affairs (</w:t>
      </w:r>
      <w:r w:rsidR="00E01616" w:rsidRPr="00B27138">
        <w:rPr>
          <w:b/>
          <w:szCs w:val="22"/>
        </w:rPr>
        <w:t>UNODA</w:t>
      </w:r>
      <w:r w:rsidR="00E01616" w:rsidRPr="00B27138">
        <w:rPr>
          <w:szCs w:val="22"/>
        </w:rPr>
        <w:t>)</w:t>
      </w:r>
      <w:r>
        <w:rPr>
          <w:szCs w:val="22"/>
        </w:rPr>
        <w:t>,</w:t>
      </w:r>
      <w:r w:rsidR="00E01616" w:rsidRPr="00B27138">
        <w:rPr>
          <w:rStyle w:val="EndnoteReference"/>
          <w:szCs w:val="22"/>
        </w:rPr>
        <w:endnoteReference w:id="472"/>
      </w:r>
      <w:r w:rsidR="00E01616" w:rsidRPr="00B27138">
        <w:rPr>
          <w:szCs w:val="22"/>
        </w:rPr>
        <w:t xml:space="preserve"> </w:t>
      </w:r>
      <w:r>
        <w:rPr>
          <w:szCs w:val="22"/>
        </w:rPr>
        <w:t xml:space="preserve">among others, </w:t>
      </w:r>
      <w:r w:rsidR="00E01616">
        <w:rPr>
          <w:b/>
          <w:bCs w:val="0"/>
          <w:szCs w:val="22"/>
        </w:rPr>
        <w:t>more broadly</w:t>
      </w:r>
      <w:r w:rsidR="00E01616" w:rsidRPr="00DC280D">
        <w:rPr>
          <w:b/>
          <w:bCs w:val="0"/>
          <w:szCs w:val="22"/>
        </w:rPr>
        <w:t xml:space="preserve"> investigate</w:t>
      </w:r>
      <w:r w:rsidR="00E01616">
        <w:rPr>
          <w:bCs w:val="0"/>
          <w:szCs w:val="22"/>
        </w:rPr>
        <w:t xml:space="preserve"> the SARS-CoV-2 pandemic origin </w:t>
      </w:r>
      <w:r w:rsidR="00E01616" w:rsidRPr="00DC280D">
        <w:rPr>
          <w:b/>
          <w:szCs w:val="22"/>
        </w:rPr>
        <w:t>from the outset</w:t>
      </w:r>
      <w:r w:rsidR="00E01616">
        <w:rPr>
          <w:b/>
          <w:szCs w:val="22"/>
        </w:rPr>
        <w:t xml:space="preserve"> </w:t>
      </w:r>
      <w:r w:rsidR="00E01616">
        <w:rPr>
          <w:bCs w:val="0"/>
          <w:szCs w:val="22"/>
        </w:rPr>
        <w:t xml:space="preserve">(i.e., all potentialities)? </w:t>
      </w:r>
      <w:r w:rsidR="00C25B28">
        <w:rPr>
          <w:bCs w:val="0"/>
          <w:szCs w:val="22"/>
        </w:rPr>
        <w:t xml:space="preserve">With </w:t>
      </w:r>
      <w:r w:rsidR="00E27861" w:rsidRPr="00E27861">
        <w:rPr>
          <w:b/>
          <w:szCs w:val="22"/>
        </w:rPr>
        <w:t>confounding</w:t>
      </w:r>
      <w:r w:rsidR="00E27861">
        <w:rPr>
          <w:bCs w:val="0"/>
          <w:szCs w:val="22"/>
        </w:rPr>
        <w:t xml:space="preserve"> </w:t>
      </w:r>
      <w:r w:rsidR="00C25B28">
        <w:rPr>
          <w:bCs w:val="0"/>
          <w:szCs w:val="22"/>
        </w:rPr>
        <w:t xml:space="preserve">SARS-like cases emerging at the </w:t>
      </w:r>
      <w:r w:rsidR="00C25B28" w:rsidRPr="00C25B28">
        <w:rPr>
          <w:bCs w:val="0"/>
          <w:szCs w:val="22"/>
        </w:rPr>
        <w:t>Wuhan Military World Games</w:t>
      </w:r>
      <w:r w:rsidR="00F45406">
        <w:rPr>
          <w:bCs w:val="0"/>
          <w:szCs w:val="22"/>
        </w:rPr>
        <w:t>,</w:t>
      </w:r>
      <w:r w:rsidR="00C25B28" w:rsidRPr="00C25B28">
        <w:rPr>
          <w:bCs w:val="0"/>
          <w:szCs w:val="22"/>
        </w:rPr>
        <w:t xml:space="preserve"> </w:t>
      </w:r>
      <w:r w:rsidR="00C25B28">
        <w:rPr>
          <w:bCs w:val="0"/>
          <w:szCs w:val="22"/>
        </w:rPr>
        <w:t>a non-China origin was a possibility.</w:t>
      </w:r>
      <w:r w:rsidR="00C25B28">
        <w:rPr>
          <w:szCs w:val="22"/>
        </w:rPr>
        <w:t xml:space="preserve"> </w:t>
      </w:r>
      <w:r w:rsidR="00E27861">
        <w:rPr>
          <w:bCs w:val="0"/>
          <w:szCs w:val="22"/>
        </w:rPr>
        <w:t>W</w:t>
      </w:r>
      <w:r w:rsidR="00E01616">
        <w:rPr>
          <w:bCs w:val="0"/>
          <w:szCs w:val="22"/>
        </w:rPr>
        <w:t xml:space="preserve">hy was </w:t>
      </w:r>
      <w:r w:rsidR="00310DEB">
        <w:rPr>
          <w:bCs w:val="0"/>
          <w:szCs w:val="22"/>
        </w:rPr>
        <w:t xml:space="preserve">the Pentagon-NIH-UNAID-funded </w:t>
      </w:r>
      <w:r w:rsidR="00E01616">
        <w:rPr>
          <w:bCs w:val="0"/>
          <w:szCs w:val="22"/>
        </w:rPr>
        <w:t xml:space="preserve">Dr. </w:t>
      </w:r>
      <w:r w:rsidR="00E01616" w:rsidRPr="00B27138">
        <w:rPr>
          <w:szCs w:val="22"/>
        </w:rPr>
        <w:t>Daszak</w:t>
      </w:r>
      <w:r>
        <w:rPr>
          <w:szCs w:val="22"/>
        </w:rPr>
        <w:t xml:space="preserve"> </w:t>
      </w:r>
      <w:r w:rsidR="00E01616">
        <w:rPr>
          <w:szCs w:val="22"/>
        </w:rPr>
        <w:t xml:space="preserve">permitted to be </w:t>
      </w:r>
      <w:r w:rsidR="00E01616" w:rsidRPr="00B27138">
        <w:rPr>
          <w:szCs w:val="22"/>
        </w:rPr>
        <w:t xml:space="preserve">America’s </w:t>
      </w:r>
      <w:r w:rsidR="00E01616">
        <w:rPr>
          <w:szCs w:val="22"/>
        </w:rPr>
        <w:t xml:space="preserve">sole </w:t>
      </w:r>
      <w:r w:rsidR="00E01616" w:rsidRPr="00B27138">
        <w:rPr>
          <w:szCs w:val="22"/>
        </w:rPr>
        <w:t xml:space="preserve">representative on the WHO 11-member </w:t>
      </w:r>
      <w:r w:rsidR="00E01616">
        <w:rPr>
          <w:szCs w:val="22"/>
        </w:rPr>
        <w:t>COVID-19</w:t>
      </w:r>
      <w:r w:rsidR="00E01616" w:rsidRPr="00B27138">
        <w:rPr>
          <w:szCs w:val="22"/>
        </w:rPr>
        <w:t xml:space="preserve"> origin investigation team sent to </w:t>
      </w:r>
      <w:r w:rsidR="00E01616" w:rsidRPr="00DC280D">
        <w:rPr>
          <w:szCs w:val="22"/>
        </w:rPr>
        <w:t xml:space="preserve">China </w:t>
      </w:r>
      <w:r w:rsidR="00E01616" w:rsidRPr="00F65D28">
        <w:rPr>
          <w:b/>
          <w:bCs w:val="0"/>
          <w:szCs w:val="22"/>
        </w:rPr>
        <w:t>one year late</w:t>
      </w:r>
      <w:r>
        <w:rPr>
          <w:szCs w:val="22"/>
        </w:rPr>
        <w:t>?</w:t>
      </w:r>
      <w:r w:rsidR="00931237" w:rsidRPr="00B80E08">
        <w:rPr>
          <w:rStyle w:val="EndnoteReference"/>
          <w:szCs w:val="22"/>
        </w:rPr>
        <w:endnoteReference w:id="473"/>
      </w:r>
      <w:r w:rsidR="00E01616" w:rsidRPr="00DC280D">
        <w:rPr>
          <w:szCs w:val="22"/>
        </w:rPr>
        <w:t xml:space="preserve"> </w:t>
      </w:r>
      <w:r w:rsidR="005D2D96">
        <w:rPr>
          <w:szCs w:val="22"/>
        </w:rPr>
        <w:t xml:space="preserve">Considering </w:t>
      </w:r>
      <w:r w:rsidR="00C72F73">
        <w:rPr>
          <w:szCs w:val="22"/>
        </w:rPr>
        <w:t xml:space="preserve">project DEFUSE’s </w:t>
      </w:r>
      <w:r w:rsidR="005D2D96">
        <w:rPr>
          <w:szCs w:val="22"/>
        </w:rPr>
        <w:t xml:space="preserve">Dr. Daszak </w:t>
      </w:r>
      <w:r w:rsidR="00C72F73">
        <w:rPr>
          <w:szCs w:val="22"/>
        </w:rPr>
        <w:t>(</w:t>
      </w:r>
      <w:r w:rsidR="00C25B28">
        <w:rPr>
          <w:szCs w:val="22"/>
        </w:rPr>
        <w:t xml:space="preserve">i.e., </w:t>
      </w:r>
      <w:r w:rsidR="00C72F73">
        <w:rPr>
          <w:szCs w:val="22"/>
        </w:rPr>
        <w:t xml:space="preserve">FCS-intentioned) </w:t>
      </w:r>
      <w:r w:rsidR="005D2D96">
        <w:rPr>
          <w:szCs w:val="22"/>
        </w:rPr>
        <w:t xml:space="preserve">was caught trying to </w:t>
      </w:r>
      <w:r w:rsidR="00F45406">
        <w:rPr>
          <w:szCs w:val="22"/>
        </w:rPr>
        <w:t>cover up</w:t>
      </w:r>
      <w:r w:rsidR="005D2D96">
        <w:rPr>
          <w:szCs w:val="22"/>
        </w:rPr>
        <w:t xml:space="preserve"> </w:t>
      </w:r>
      <w:r w:rsidR="00C25B28">
        <w:rPr>
          <w:szCs w:val="22"/>
        </w:rPr>
        <w:t xml:space="preserve">a </w:t>
      </w:r>
      <w:r w:rsidR="005D2D96">
        <w:rPr>
          <w:szCs w:val="22"/>
        </w:rPr>
        <w:t xml:space="preserve">SARS-CoV-2 </w:t>
      </w:r>
      <w:r w:rsidR="00C72F73">
        <w:rPr>
          <w:szCs w:val="22"/>
        </w:rPr>
        <w:t>(</w:t>
      </w:r>
      <w:r w:rsidR="00C25B28">
        <w:rPr>
          <w:szCs w:val="22"/>
        </w:rPr>
        <w:t xml:space="preserve">i.e., </w:t>
      </w:r>
      <w:r w:rsidR="00C72F73">
        <w:rPr>
          <w:szCs w:val="22"/>
        </w:rPr>
        <w:t xml:space="preserve">FCS-containing) </w:t>
      </w:r>
      <w:r w:rsidR="005D2D96">
        <w:rPr>
          <w:szCs w:val="22"/>
        </w:rPr>
        <w:t>gain-of-function origin with The Lancet statement and associated FOI emails</w:t>
      </w:r>
      <w:r w:rsidR="00E27861" w:rsidRPr="00E27861">
        <w:rPr>
          <w:szCs w:val="22"/>
        </w:rPr>
        <w:t xml:space="preserve"> </w:t>
      </w:r>
      <w:r w:rsidR="00E27861">
        <w:rPr>
          <w:szCs w:val="22"/>
        </w:rPr>
        <w:t>disclosures</w:t>
      </w:r>
      <w:r w:rsidR="00931237">
        <w:rPr>
          <w:szCs w:val="22"/>
        </w:rPr>
        <w:t xml:space="preserve">, </w:t>
      </w:r>
      <w:r w:rsidR="00E27861">
        <w:rPr>
          <w:szCs w:val="22"/>
        </w:rPr>
        <w:t>while</w:t>
      </w:r>
      <w:r w:rsidR="00931237">
        <w:rPr>
          <w:szCs w:val="22"/>
        </w:rPr>
        <w:t xml:space="preserve"> he was one of</w:t>
      </w:r>
      <w:r w:rsidR="00931237" w:rsidRPr="001E478D">
        <w:rPr>
          <w:szCs w:val="22"/>
        </w:rPr>
        <w:t xml:space="preserve"> the WHO group of experts collaborating on C</w:t>
      </w:r>
      <w:r w:rsidR="00810CA1">
        <w:rPr>
          <w:szCs w:val="22"/>
        </w:rPr>
        <w:t>OVID-</w:t>
      </w:r>
      <w:r w:rsidR="00931237" w:rsidRPr="001E478D">
        <w:rPr>
          <w:szCs w:val="22"/>
        </w:rPr>
        <w:t>19 vaccine development</w:t>
      </w:r>
      <w:r w:rsidR="00931237">
        <w:rPr>
          <w:szCs w:val="22"/>
        </w:rPr>
        <w:t xml:space="preserve"> (i.e., </w:t>
      </w:r>
      <w:r w:rsidR="00931237">
        <w:rPr>
          <w:i/>
          <w:iCs/>
          <w:szCs w:val="22"/>
        </w:rPr>
        <w:t>updated 16/04/2020</w:t>
      </w:r>
      <w:r w:rsidR="00931237">
        <w:rPr>
          <w:szCs w:val="22"/>
        </w:rPr>
        <w:t>),</w:t>
      </w:r>
      <w:r w:rsidR="00931237" w:rsidRPr="001E478D">
        <w:rPr>
          <w:rStyle w:val="EndnoteReference"/>
          <w:szCs w:val="22"/>
        </w:rPr>
        <w:endnoteReference w:id="474"/>
      </w:r>
      <w:r w:rsidR="00931237">
        <w:rPr>
          <w:szCs w:val="22"/>
        </w:rPr>
        <w:t xml:space="preserve"> </w:t>
      </w:r>
      <w:r w:rsidR="005D2D96">
        <w:rPr>
          <w:szCs w:val="22"/>
        </w:rPr>
        <w:t xml:space="preserve">one has to ask if </w:t>
      </w:r>
      <w:r w:rsidR="00CE2090">
        <w:rPr>
          <w:szCs w:val="22"/>
        </w:rPr>
        <w:t>any</w:t>
      </w:r>
      <w:r w:rsidR="005D2D96">
        <w:rPr>
          <w:szCs w:val="22"/>
        </w:rPr>
        <w:t xml:space="preserve"> </w:t>
      </w:r>
      <w:r w:rsidR="005D2D96" w:rsidRPr="008F49C8">
        <w:rPr>
          <w:b/>
          <w:bCs w:val="0"/>
          <w:szCs w:val="22"/>
        </w:rPr>
        <w:t>conflict-of-interest</w:t>
      </w:r>
      <w:r w:rsidR="005D2D96">
        <w:rPr>
          <w:szCs w:val="22"/>
        </w:rPr>
        <w:t xml:space="preserve"> was created </w:t>
      </w:r>
      <w:r w:rsidR="00D61540">
        <w:rPr>
          <w:szCs w:val="22"/>
        </w:rPr>
        <w:t xml:space="preserve">by </w:t>
      </w:r>
      <w:r w:rsidR="005D2D96">
        <w:rPr>
          <w:szCs w:val="22"/>
        </w:rPr>
        <w:t>Dr. Daszak</w:t>
      </w:r>
      <w:r w:rsidR="00D61540">
        <w:rPr>
          <w:szCs w:val="22"/>
        </w:rPr>
        <w:t>’s inclusion</w:t>
      </w:r>
      <w:r w:rsidR="00931237">
        <w:rPr>
          <w:szCs w:val="22"/>
        </w:rPr>
        <w:t xml:space="preserve"> in the belated WHO </w:t>
      </w:r>
      <w:r w:rsidR="00E27861">
        <w:rPr>
          <w:szCs w:val="22"/>
        </w:rPr>
        <w:t xml:space="preserve">China </w:t>
      </w:r>
      <w:r w:rsidR="00931237">
        <w:rPr>
          <w:szCs w:val="22"/>
        </w:rPr>
        <w:t>origin investigation team (November 2020)</w:t>
      </w:r>
      <w:r w:rsidR="005D2D96">
        <w:rPr>
          <w:szCs w:val="22"/>
        </w:rPr>
        <w:t>?</w:t>
      </w:r>
      <w:r w:rsidR="00C72F73" w:rsidRPr="00B27138">
        <w:rPr>
          <w:rStyle w:val="EndnoteReference"/>
          <w:szCs w:val="22"/>
        </w:rPr>
        <w:endnoteReference w:id="475"/>
      </w:r>
      <w:r w:rsidR="00C72F73">
        <w:rPr>
          <w:bCs w:val="0"/>
          <w:szCs w:val="22"/>
        </w:rPr>
        <w:t xml:space="preserve"> </w:t>
      </w:r>
    </w:p>
    <w:p w14:paraId="6B52D301" w14:textId="301B05EB" w:rsidR="00E01616" w:rsidRDefault="00931237" w:rsidP="00E01616">
      <w:pPr>
        <w:rPr>
          <w:szCs w:val="22"/>
        </w:rPr>
      </w:pPr>
      <w:r>
        <w:rPr>
          <w:szCs w:val="22"/>
        </w:rPr>
        <w:t xml:space="preserve">By </w:t>
      </w:r>
      <w:r w:rsidR="00E27861">
        <w:rPr>
          <w:szCs w:val="22"/>
        </w:rPr>
        <w:t>applying</w:t>
      </w:r>
      <w:r>
        <w:rPr>
          <w:szCs w:val="22"/>
        </w:rPr>
        <w:t xml:space="preserve"> the </w:t>
      </w:r>
      <w:r w:rsidRPr="00E27861">
        <w:rPr>
          <w:b/>
          <w:bCs w:val="0"/>
          <w:szCs w:val="22"/>
        </w:rPr>
        <w:t>investigatory principle</w:t>
      </w:r>
      <w:r>
        <w:rPr>
          <w:szCs w:val="22"/>
        </w:rPr>
        <w:t xml:space="preserve"> of investigating those </w:t>
      </w:r>
      <w:r w:rsidR="00C25B28" w:rsidRPr="00C25B28">
        <w:rPr>
          <w:b/>
          <w:bCs w:val="0"/>
          <w:szCs w:val="22"/>
        </w:rPr>
        <w:t>one degree</w:t>
      </w:r>
      <w:r w:rsidRPr="00C25B28">
        <w:rPr>
          <w:b/>
          <w:bCs w:val="0"/>
          <w:szCs w:val="22"/>
        </w:rPr>
        <w:t xml:space="preserve"> removed</w:t>
      </w:r>
      <w:r>
        <w:rPr>
          <w:szCs w:val="22"/>
        </w:rPr>
        <w:t xml:space="preserve"> from</w:t>
      </w:r>
      <w:r w:rsidR="004479A5">
        <w:rPr>
          <w:szCs w:val="22"/>
        </w:rPr>
        <w:t xml:space="preserve"> </w:t>
      </w:r>
      <w:r w:rsidR="00E01616">
        <w:rPr>
          <w:bCs w:val="0"/>
          <w:szCs w:val="22"/>
        </w:rPr>
        <w:t>Dr. Daszak</w:t>
      </w:r>
      <w:r w:rsidR="00E27861">
        <w:rPr>
          <w:bCs w:val="0"/>
          <w:szCs w:val="22"/>
        </w:rPr>
        <w:t xml:space="preserve"> for his cover-up failure</w:t>
      </w:r>
      <w:r w:rsidR="004479A5">
        <w:rPr>
          <w:bCs w:val="0"/>
          <w:szCs w:val="22"/>
        </w:rPr>
        <w:t xml:space="preserve">, </w:t>
      </w:r>
      <w:r>
        <w:rPr>
          <w:bCs w:val="0"/>
          <w:szCs w:val="22"/>
        </w:rPr>
        <w:t xml:space="preserve">one would be forced to investigate </w:t>
      </w:r>
      <w:r w:rsidR="00E01616" w:rsidRPr="00CF6834">
        <w:rPr>
          <w:bCs w:val="0"/>
          <w:szCs w:val="22"/>
        </w:rPr>
        <w:t xml:space="preserve">the </w:t>
      </w:r>
      <w:r w:rsidR="004479A5">
        <w:rPr>
          <w:bCs w:val="0"/>
          <w:szCs w:val="22"/>
        </w:rPr>
        <w:t>Pentagon/DoD</w:t>
      </w:r>
      <w:r w:rsidR="00E01616" w:rsidRPr="00CF6834">
        <w:rPr>
          <w:bCs w:val="0"/>
          <w:szCs w:val="22"/>
        </w:rPr>
        <w:t xml:space="preserve"> </w:t>
      </w:r>
      <w:r w:rsidR="00C25B28">
        <w:rPr>
          <w:bCs w:val="0"/>
          <w:szCs w:val="22"/>
        </w:rPr>
        <w:t>and the NIH/NIAID for funding this dangerous research</w:t>
      </w:r>
      <w:r w:rsidR="00E27861">
        <w:rPr>
          <w:bCs w:val="0"/>
          <w:szCs w:val="22"/>
        </w:rPr>
        <w:t xml:space="preserve"> and on/off-shore </w:t>
      </w:r>
      <w:r w:rsidR="00C25B28">
        <w:rPr>
          <w:bCs w:val="0"/>
          <w:szCs w:val="22"/>
        </w:rPr>
        <w:t>DoD</w:t>
      </w:r>
      <w:r w:rsidR="00E27861">
        <w:rPr>
          <w:bCs w:val="0"/>
          <w:szCs w:val="22"/>
        </w:rPr>
        <w:t xml:space="preserve"> </w:t>
      </w:r>
      <w:r w:rsidR="005D2D96">
        <w:rPr>
          <w:bCs w:val="0"/>
          <w:szCs w:val="22"/>
        </w:rPr>
        <w:t xml:space="preserve">Biolabs </w:t>
      </w:r>
      <w:r w:rsidR="00E01616" w:rsidRPr="00CF6834">
        <w:rPr>
          <w:bCs w:val="0"/>
          <w:szCs w:val="22"/>
        </w:rPr>
        <w:t xml:space="preserve">(i.e., </w:t>
      </w:r>
      <w:r w:rsidR="00E01616" w:rsidRPr="00E27861">
        <w:rPr>
          <w:bCs w:val="0"/>
          <w:i/>
          <w:iCs/>
          <w:szCs w:val="22"/>
        </w:rPr>
        <w:t>s</w:t>
      </w:r>
      <w:r w:rsidR="0062024E" w:rsidRPr="00E27861">
        <w:rPr>
          <w:bCs w:val="0"/>
          <w:i/>
          <w:iCs/>
          <w:szCs w:val="22"/>
        </w:rPr>
        <w:t xml:space="preserve">ection </w:t>
      </w:r>
      <w:r w:rsidR="007E1037" w:rsidRPr="00E27861">
        <w:rPr>
          <w:bCs w:val="0"/>
          <w:i/>
          <w:iCs/>
          <w:szCs w:val="22"/>
        </w:rPr>
        <w:t>2</w:t>
      </w:r>
      <w:r w:rsidR="0062024E" w:rsidRPr="00E27861">
        <w:rPr>
          <w:bCs w:val="0"/>
          <w:i/>
          <w:iCs/>
          <w:szCs w:val="22"/>
        </w:rPr>
        <w:t>.4</w:t>
      </w:r>
      <w:r w:rsidR="00E27861" w:rsidRPr="00E27861">
        <w:rPr>
          <w:bCs w:val="0"/>
          <w:i/>
          <w:iCs/>
          <w:szCs w:val="22"/>
        </w:rPr>
        <w:t xml:space="preserve"> and</w:t>
      </w:r>
      <w:r w:rsidR="00E01616" w:rsidRPr="00E27861">
        <w:rPr>
          <w:bCs w:val="0"/>
          <w:i/>
          <w:iCs/>
          <w:szCs w:val="22"/>
        </w:rPr>
        <w:t xml:space="preserve"> the Fort Detrick closure in August</w:t>
      </w:r>
      <w:r w:rsidR="00E01616" w:rsidRPr="00CF6834">
        <w:rPr>
          <w:bCs w:val="0"/>
          <w:i/>
          <w:iCs/>
          <w:szCs w:val="22"/>
        </w:rPr>
        <w:t xml:space="preserve"> 2019 for safety violations</w:t>
      </w:r>
      <w:r w:rsidR="00E01616" w:rsidRPr="00CF6834">
        <w:rPr>
          <w:rStyle w:val="EndnoteReference"/>
          <w:bCs w:val="0"/>
          <w:i/>
          <w:iCs/>
          <w:szCs w:val="22"/>
        </w:rPr>
        <w:endnoteReference w:id="476"/>
      </w:r>
      <w:r w:rsidR="00E01616" w:rsidRPr="00CF6834">
        <w:rPr>
          <w:bCs w:val="0"/>
          <w:szCs w:val="22"/>
        </w:rPr>
        <w:t>)</w:t>
      </w:r>
      <w:r w:rsidR="00E01616">
        <w:rPr>
          <w:bCs w:val="0"/>
          <w:szCs w:val="22"/>
        </w:rPr>
        <w:t xml:space="preserve">, US </w:t>
      </w:r>
      <w:r w:rsidR="008B5CAC">
        <w:rPr>
          <w:bCs w:val="0"/>
          <w:szCs w:val="22"/>
        </w:rPr>
        <w:t xml:space="preserve">and other </w:t>
      </w:r>
      <w:r w:rsidR="00E01616">
        <w:rPr>
          <w:bCs w:val="0"/>
          <w:szCs w:val="22"/>
        </w:rPr>
        <w:t>Universities conducting coronavirus gain-of-function research</w:t>
      </w:r>
      <w:r w:rsidR="008B5CAC">
        <w:rPr>
          <w:bCs w:val="0"/>
          <w:szCs w:val="22"/>
        </w:rPr>
        <w:t xml:space="preserve"> (</w:t>
      </w:r>
      <w:r w:rsidR="004479A5">
        <w:rPr>
          <w:bCs w:val="0"/>
          <w:szCs w:val="22"/>
        </w:rPr>
        <w:t xml:space="preserve">i.e., </w:t>
      </w:r>
      <w:r w:rsidR="008B5CAC">
        <w:rPr>
          <w:bCs w:val="0"/>
          <w:szCs w:val="22"/>
        </w:rPr>
        <w:t xml:space="preserve">University of North Carolina at Chapel Hill, </w:t>
      </w:r>
      <w:r w:rsidR="00E27861">
        <w:rPr>
          <w:bCs w:val="0"/>
          <w:szCs w:val="22"/>
        </w:rPr>
        <w:t>among others</w:t>
      </w:r>
      <w:r w:rsidR="008B5CAC">
        <w:rPr>
          <w:bCs w:val="0"/>
          <w:szCs w:val="22"/>
        </w:rPr>
        <w:t>)</w:t>
      </w:r>
      <w:r w:rsidR="00E01616">
        <w:rPr>
          <w:bCs w:val="0"/>
          <w:szCs w:val="22"/>
        </w:rPr>
        <w:t>,</w:t>
      </w:r>
      <w:r w:rsidR="00E01616" w:rsidRPr="00196A1A">
        <w:rPr>
          <w:bCs w:val="0"/>
          <w:szCs w:val="22"/>
        </w:rPr>
        <w:t xml:space="preserve"> </w:t>
      </w:r>
      <w:r w:rsidR="00C25B28">
        <w:rPr>
          <w:bCs w:val="0"/>
          <w:szCs w:val="22"/>
        </w:rPr>
        <w:t xml:space="preserve">Wuhan-IV and </w:t>
      </w:r>
      <w:r w:rsidR="00E27861">
        <w:rPr>
          <w:bCs w:val="0"/>
          <w:szCs w:val="22"/>
        </w:rPr>
        <w:t xml:space="preserve">China </w:t>
      </w:r>
      <w:r w:rsidR="00C25B28">
        <w:rPr>
          <w:bCs w:val="0"/>
          <w:szCs w:val="22"/>
        </w:rPr>
        <w:t>research affiliates</w:t>
      </w:r>
      <w:r w:rsidR="00E27861">
        <w:rPr>
          <w:bCs w:val="0"/>
          <w:szCs w:val="22"/>
        </w:rPr>
        <w:t xml:space="preserve"> and their funders</w:t>
      </w:r>
      <w:r w:rsidR="00F45406">
        <w:rPr>
          <w:bCs w:val="0"/>
          <w:szCs w:val="22"/>
        </w:rPr>
        <w:t xml:space="preserve"> (i.e., including funded international collaborations)</w:t>
      </w:r>
      <w:r w:rsidR="00C25B28">
        <w:rPr>
          <w:bCs w:val="0"/>
          <w:szCs w:val="22"/>
        </w:rPr>
        <w:t>, Metabiota (</w:t>
      </w:r>
      <w:r w:rsidR="00E27861">
        <w:rPr>
          <w:bCs w:val="0"/>
          <w:szCs w:val="22"/>
        </w:rPr>
        <w:t>section 2.4</w:t>
      </w:r>
      <w:r w:rsidR="00C25B28">
        <w:rPr>
          <w:bCs w:val="0"/>
          <w:szCs w:val="22"/>
        </w:rPr>
        <w:t>)</w:t>
      </w:r>
      <w:r w:rsidR="00C25B28" w:rsidRPr="00CF6834">
        <w:rPr>
          <w:bCs w:val="0"/>
          <w:szCs w:val="22"/>
        </w:rPr>
        <w:t xml:space="preserve">, </w:t>
      </w:r>
      <w:r w:rsidR="00C25B28">
        <w:rPr>
          <w:bCs w:val="0"/>
          <w:szCs w:val="22"/>
        </w:rPr>
        <w:t xml:space="preserve">and the WHO (incl. its partnership with </w:t>
      </w:r>
      <w:r w:rsidR="008F49C8">
        <w:rPr>
          <w:bCs w:val="0"/>
          <w:szCs w:val="22"/>
        </w:rPr>
        <w:t xml:space="preserve">the </w:t>
      </w:r>
      <w:r w:rsidR="00C25B28">
        <w:rPr>
          <w:bCs w:val="0"/>
          <w:szCs w:val="22"/>
        </w:rPr>
        <w:t xml:space="preserve">DoD in the Ukraine </w:t>
      </w:r>
      <w:r w:rsidR="00C25B28" w:rsidRPr="00553E99">
        <w:t>Biological Threat Reduction Program</w:t>
      </w:r>
      <w:r w:rsidR="00C25B28">
        <w:t>, section 2.4)</w:t>
      </w:r>
      <w:r w:rsidR="00E27861">
        <w:rPr>
          <w:bCs w:val="0"/>
          <w:szCs w:val="22"/>
        </w:rPr>
        <w:t xml:space="preserve">. Yet </w:t>
      </w:r>
      <w:r w:rsidR="00E27861" w:rsidRPr="00E27861">
        <w:rPr>
          <w:b/>
          <w:szCs w:val="22"/>
        </w:rPr>
        <w:t>China got blamed</w:t>
      </w:r>
      <w:r w:rsidR="00E27861">
        <w:rPr>
          <w:bCs w:val="0"/>
          <w:szCs w:val="22"/>
        </w:rPr>
        <w:t xml:space="preserve"> even though confounding circumstances and other potentialities existed.</w:t>
      </w:r>
    </w:p>
    <w:p w14:paraId="292803C4" w14:textId="4A4FC43C" w:rsidR="00874867" w:rsidRDefault="007E41E8" w:rsidP="00660BB8">
      <w:pPr>
        <w:pStyle w:val="Heading2"/>
      </w:pPr>
      <w:bookmarkStart w:id="203" w:name="_Toc121035151"/>
      <w:r>
        <w:t>Was</w:t>
      </w:r>
      <w:r w:rsidR="00874867">
        <w:t xml:space="preserve"> Pentagon-Operated Biolabs </w:t>
      </w:r>
      <w:r>
        <w:t>Along Russia’s Borders</w:t>
      </w:r>
      <w:r w:rsidR="001F4205">
        <w:t xml:space="preserve"> Implicated in SARS-CoV-2’s Gain-of-Function Origin?</w:t>
      </w:r>
      <w:r w:rsidR="004C5C79">
        <w:t xml:space="preserve"> Was China </w:t>
      </w:r>
      <w:r w:rsidR="00856FE0">
        <w:t>Framed &amp;</w:t>
      </w:r>
      <w:r w:rsidR="00E27861">
        <w:t xml:space="preserve"> </w:t>
      </w:r>
      <w:r w:rsidR="0072040C">
        <w:t>Blamed</w:t>
      </w:r>
      <w:r w:rsidR="004C5C79">
        <w:t>?</w:t>
      </w:r>
      <w:bookmarkEnd w:id="203"/>
    </w:p>
    <w:p w14:paraId="5102380D" w14:textId="1870665F" w:rsidR="009C6E7E" w:rsidRPr="001F4205" w:rsidRDefault="009C6E7E" w:rsidP="00695658">
      <w:bookmarkStart w:id="204" w:name="_Toc509513517"/>
      <w:bookmarkStart w:id="205" w:name="_Toc510678535"/>
      <w:bookmarkStart w:id="206" w:name="_Toc510880039"/>
      <w:bookmarkStart w:id="207" w:name="_Toc512275168"/>
      <w:bookmarkStart w:id="208" w:name="_Toc512360386"/>
      <w:bookmarkStart w:id="209" w:name="_Toc516645078"/>
      <w:bookmarkStart w:id="210" w:name="_Toc517556096"/>
      <w:bookmarkStart w:id="211" w:name="_Toc113965083"/>
      <w:r w:rsidRPr="001F4205">
        <w:rPr>
          <w:rFonts w:cs="Times New Roman"/>
        </w:rPr>
        <w:t xml:space="preserve">When </w:t>
      </w:r>
      <w:r>
        <w:rPr>
          <w:rFonts w:cs="Times New Roman"/>
        </w:rPr>
        <w:t>I</w:t>
      </w:r>
      <w:r w:rsidRPr="001F4205">
        <w:rPr>
          <w:rFonts w:cs="Times New Roman"/>
        </w:rPr>
        <w:t xml:space="preserve"> </w:t>
      </w:r>
      <w:r>
        <w:rPr>
          <w:rFonts w:cs="Times New Roman"/>
        </w:rPr>
        <w:t>reviewed</w:t>
      </w:r>
      <w:r w:rsidRPr="001F4205">
        <w:rPr>
          <w:rFonts w:cs="Times New Roman"/>
        </w:rPr>
        <w:t xml:space="preserve"> the following </w:t>
      </w:r>
      <w:r w:rsidR="00B952A3">
        <w:rPr>
          <w:rFonts w:cs="Times New Roman"/>
        </w:rPr>
        <w:t>75</w:t>
      </w:r>
      <w:r w:rsidRPr="001F4205">
        <w:rPr>
          <w:rFonts w:cs="Times New Roman"/>
        </w:rPr>
        <w:t xml:space="preserve"> </w:t>
      </w:r>
      <w:r w:rsidR="00043449">
        <w:rPr>
          <w:rFonts w:cs="Times New Roman"/>
        </w:rPr>
        <w:t>cited references</w:t>
      </w:r>
      <w:r>
        <w:rPr>
          <w:rFonts w:cs="Times New Roman"/>
        </w:rPr>
        <w:t xml:space="preserve"> and reflected on the </w:t>
      </w:r>
      <w:r w:rsidR="009A4DFC">
        <w:rPr>
          <w:rFonts w:cs="Times New Roman"/>
        </w:rPr>
        <w:t>issues above,</w:t>
      </w:r>
      <w:r w:rsidRPr="001F4205">
        <w:rPr>
          <w:rFonts w:cs="Times New Roman"/>
        </w:rPr>
        <w:t xml:space="preserve"> it </w:t>
      </w:r>
      <w:r>
        <w:rPr>
          <w:rFonts w:cs="Times New Roman"/>
        </w:rPr>
        <w:t>provoked</w:t>
      </w:r>
      <w:r w:rsidRPr="001F4205">
        <w:rPr>
          <w:rFonts w:cs="Times New Roman"/>
        </w:rPr>
        <w:t xml:space="preserve"> </w:t>
      </w:r>
      <w:r>
        <w:rPr>
          <w:rFonts w:cs="Times New Roman"/>
        </w:rPr>
        <w:t>a</w:t>
      </w:r>
      <w:r w:rsidRPr="001F4205">
        <w:rPr>
          <w:rFonts w:cs="Times New Roman"/>
        </w:rPr>
        <w:t xml:space="preserve"> question. Could the Pentagon’s Biolab/bioweapons research conducted </w:t>
      </w:r>
      <w:r>
        <w:rPr>
          <w:rFonts w:cs="Times New Roman"/>
        </w:rPr>
        <w:t xml:space="preserve">in </w:t>
      </w:r>
      <w:r w:rsidR="00D61540">
        <w:rPr>
          <w:rFonts w:cs="Times New Roman"/>
        </w:rPr>
        <w:t xml:space="preserve">the USA and </w:t>
      </w:r>
      <w:r>
        <w:rPr>
          <w:rFonts w:cs="Times New Roman"/>
        </w:rPr>
        <w:t xml:space="preserve">countries </w:t>
      </w:r>
      <w:r w:rsidRPr="001F4205">
        <w:rPr>
          <w:rFonts w:cs="Times New Roman"/>
        </w:rPr>
        <w:t>along Russia’s borders</w:t>
      </w:r>
      <w:r>
        <w:rPr>
          <w:rFonts w:cs="Times New Roman"/>
        </w:rPr>
        <w:t>, including Ukraine,</w:t>
      </w:r>
      <w:r w:rsidR="009A662C">
        <w:rPr>
          <w:rFonts w:cs="Times New Roman"/>
        </w:rPr>
        <w:t xml:space="preserve"> and</w:t>
      </w:r>
      <w:r w:rsidRPr="001F4205">
        <w:rPr>
          <w:rFonts w:cs="Times New Roman"/>
        </w:rPr>
        <w:t xml:space="preserve"> </w:t>
      </w:r>
      <w:r w:rsidR="00537DBC">
        <w:rPr>
          <w:rFonts w:cs="Times New Roman"/>
        </w:rPr>
        <w:t xml:space="preserve">in countries </w:t>
      </w:r>
      <w:r w:rsidR="009A662C">
        <w:rPr>
          <w:rFonts w:cs="Times New Roman"/>
        </w:rPr>
        <w:t xml:space="preserve">between Russia, China, and Iran, </w:t>
      </w:r>
      <w:r>
        <w:rPr>
          <w:rFonts w:cs="Times New Roman"/>
        </w:rPr>
        <w:t>and Pentagon-funded gain-of-function and zoonosis experts</w:t>
      </w:r>
      <w:r w:rsidR="009A662C">
        <w:rPr>
          <w:rFonts w:cs="Times New Roman"/>
        </w:rPr>
        <w:t>,</w:t>
      </w:r>
      <w:r>
        <w:rPr>
          <w:rFonts w:cs="Times New Roman"/>
        </w:rPr>
        <w:t xml:space="preserve"> </w:t>
      </w:r>
      <w:r w:rsidR="00856FE0">
        <w:rPr>
          <w:rFonts w:cs="Times New Roman"/>
        </w:rPr>
        <w:t xml:space="preserve">somehow (i.e., deep </w:t>
      </w:r>
      <w:r w:rsidR="009A4DFC">
        <w:rPr>
          <w:rFonts w:cs="Times New Roman"/>
        </w:rPr>
        <w:t>state-sanctioned</w:t>
      </w:r>
      <w:r w:rsidR="00856FE0">
        <w:rPr>
          <w:rFonts w:cs="Times New Roman"/>
        </w:rPr>
        <w:t xml:space="preserve">), </w:t>
      </w:r>
      <w:r w:rsidRPr="001F4205">
        <w:rPr>
          <w:rFonts w:cs="Times New Roman"/>
        </w:rPr>
        <w:t>be relevant to</w:t>
      </w:r>
      <w:r>
        <w:rPr>
          <w:rFonts w:cs="Times New Roman"/>
        </w:rPr>
        <w:t xml:space="preserve"> an alternative</w:t>
      </w:r>
      <w:r w:rsidRPr="001F4205">
        <w:rPr>
          <w:rFonts w:cs="Times New Roman"/>
        </w:rPr>
        <w:t xml:space="preserve"> </w:t>
      </w:r>
      <w:r w:rsidRPr="00796FA4">
        <w:rPr>
          <w:rFonts w:cs="Times New Roman"/>
        </w:rPr>
        <w:t>SARS-CoV-2 origin</w:t>
      </w:r>
      <w:r w:rsidRPr="001F4205">
        <w:rPr>
          <w:rFonts w:cs="Times New Roman"/>
        </w:rPr>
        <w:t>?</w:t>
      </w:r>
      <w:r>
        <w:rPr>
          <w:rFonts w:cs="Times New Roman"/>
        </w:rPr>
        <w:t xml:space="preserve"> In other words, </w:t>
      </w:r>
      <w:r w:rsidRPr="00796FA4">
        <w:rPr>
          <w:rFonts w:cs="Times New Roman"/>
          <w:b/>
          <w:bCs w:val="0"/>
        </w:rPr>
        <w:t xml:space="preserve">was China </w:t>
      </w:r>
      <w:r w:rsidR="00856FE0">
        <w:rPr>
          <w:rFonts w:cs="Times New Roman"/>
          <w:b/>
          <w:bCs w:val="0"/>
        </w:rPr>
        <w:t xml:space="preserve">framed </w:t>
      </w:r>
      <w:r w:rsidR="00F45406">
        <w:rPr>
          <w:rFonts w:cs="Times New Roman"/>
          <w:b/>
          <w:bCs w:val="0"/>
        </w:rPr>
        <w:t xml:space="preserve">(2014-2017) </w:t>
      </w:r>
      <w:r w:rsidR="00856FE0">
        <w:rPr>
          <w:rFonts w:cs="Times New Roman"/>
          <w:b/>
          <w:bCs w:val="0"/>
        </w:rPr>
        <w:t xml:space="preserve">and </w:t>
      </w:r>
      <w:r w:rsidR="004479A5">
        <w:rPr>
          <w:rFonts w:cs="Times New Roman"/>
          <w:b/>
          <w:bCs w:val="0"/>
        </w:rPr>
        <w:t>blamed</w:t>
      </w:r>
      <w:r>
        <w:rPr>
          <w:rFonts w:cs="Times New Roman"/>
          <w:b/>
          <w:bCs w:val="0"/>
        </w:rPr>
        <w:t xml:space="preserve"> </w:t>
      </w:r>
      <w:r w:rsidR="00F45406">
        <w:rPr>
          <w:rFonts w:cs="Times New Roman"/>
          <w:b/>
          <w:bCs w:val="0"/>
        </w:rPr>
        <w:t>(20</w:t>
      </w:r>
      <w:r w:rsidR="00642C30">
        <w:rPr>
          <w:rFonts w:cs="Times New Roman"/>
          <w:b/>
          <w:bCs w:val="0"/>
        </w:rPr>
        <w:t>19</w:t>
      </w:r>
      <w:r w:rsidR="00F45406">
        <w:rPr>
          <w:rFonts w:cs="Times New Roman"/>
          <w:b/>
          <w:bCs w:val="0"/>
        </w:rPr>
        <w:t xml:space="preserve">) </w:t>
      </w:r>
      <w:r w:rsidRPr="00F867BB">
        <w:rPr>
          <w:rFonts w:cs="Times New Roman"/>
        </w:rPr>
        <w:t>for COVID-19</w:t>
      </w:r>
      <w:r w:rsidR="009A4DFC">
        <w:rPr>
          <w:rFonts w:cs="Times New Roman"/>
        </w:rPr>
        <w:t>?</w:t>
      </w:r>
      <w:r w:rsidR="009A662C">
        <w:rPr>
          <w:rFonts w:cs="Times New Roman"/>
        </w:rPr>
        <w:t xml:space="preserve"> </w:t>
      </w:r>
    </w:p>
    <w:p w14:paraId="5D2D1C05" w14:textId="50355F53" w:rsidR="009C6E7E" w:rsidRDefault="009C6E7E" w:rsidP="009C6E7E">
      <w:pPr>
        <w:spacing w:after="240"/>
      </w:pPr>
      <w:r w:rsidRPr="00553E99">
        <w:t>Under the pretext of the Cooperative Threat Reduction program and its subsidiary Biological Threat Reduction Program (BTRP) implemented by the Defense Threat Reduction Agency (DTRA),</w:t>
      </w:r>
      <w:r w:rsidRPr="00553E99">
        <w:rPr>
          <w:rStyle w:val="EndnoteReference"/>
          <w:rFonts w:eastAsiaTheme="majorEastAsia"/>
        </w:rPr>
        <w:endnoteReference w:id="477"/>
      </w:r>
      <w:r w:rsidRPr="00553E99">
        <w:rPr>
          <w:vertAlign w:val="superscript"/>
        </w:rPr>
        <w:t>,</w:t>
      </w:r>
      <w:r w:rsidRPr="00553E99">
        <w:rPr>
          <w:rStyle w:val="EndnoteReference"/>
          <w:rFonts w:eastAsiaTheme="majorEastAsia"/>
        </w:rPr>
        <w:endnoteReference w:id="478"/>
      </w:r>
      <w:r w:rsidRPr="00553E99">
        <w:rPr>
          <w:vertAlign w:val="superscript"/>
        </w:rPr>
        <w:t>,</w:t>
      </w:r>
      <w:r w:rsidRPr="00553E99">
        <w:rPr>
          <w:rStyle w:val="EndnoteReference"/>
          <w:rFonts w:eastAsiaTheme="majorEastAsia"/>
        </w:rPr>
        <w:endnoteReference w:id="479"/>
      </w:r>
      <w:r w:rsidRPr="00553E99">
        <w:t xml:space="preserve"> the </w:t>
      </w:r>
      <w:r w:rsidRPr="00553E99">
        <w:lastRenderedPageBreak/>
        <w:t xml:space="preserve">US Department of Defense (DoD) partnered with the Ukrainian Ministry of Health to support the biological detection </w:t>
      </w:r>
      <w:r w:rsidR="007110FD">
        <w:t>and reduction of</w:t>
      </w:r>
      <w:r w:rsidRPr="00553E99">
        <w:t xml:space="preserve"> threats posed by pathogens and bioterrorists. In 2005</w:t>
      </w:r>
      <w:r w:rsidR="004C5C79">
        <w:t>,</w:t>
      </w:r>
      <w:r w:rsidRPr="00553E99">
        <w:t xml:space="preserve"> under </w:t>
      </w:r>
      <w:r w:rsidR="004C5C79">
        <w:t>this pretext</w:t>
      </w:r>
      <w:r w:rsidRPr="00553E99">
        <w:t xml:space="preserve">, </w:t>
      </w:r>
      <w:r w:rsidR="004C5C79">
        <w:t>Senators</w:t>
      </w:r>
      <w:r w:rsidRPr="00553E99">
        <w:rPr>
          <w:bCs w:val="0"/>
        </w:rPr>
        <w:t xml:space="preserve"> </w:t>
      </w:r>
      <w:r w:rsidRPr="007E51DB">
        <w:rPr>
          <w:b/>
        </w:rPr>
        <w:t>Barack Obama</w:t>
      </w:r>
      <w:r w:rsidRPr="00553E99">
        <w:t xml:space="preserve"> and Dick Lugar entered a partnership with </w:t>
      </w:r>
      <w:r>
        <w:t xml:space="preserve">the </w:t>
      </w:r>
      <w:r w:rsidRPr="00553E99">
        <w:t xml:space="preserve">Ukrainian Government and authorized the construction of a level-3 </w:t>
      </w:r>
      <w:r w:rsidR="004C5C79">
        <w:t>Biolab</w:t>
      </w:r>
      <w:r w:rsidRPr="00553E99">
        <w:t xml:space="preserve"> </w:t>
      </w:r>
      <w:r w:rsidR="00D24AA9">
        <w:t>in Odesa</w:t>
      </w:r>
      <w:r w:rsidR="00D24AA9" w:rsidRPr="00553E99">
        <w:t xml:space="preserve"> </w:t>
      </w:r>
      <w:r w:rsidRPr="00553E99">
        <w:t>for processing and researching dangerous pathogens.</w:t>
      </w:r>
      <w:r w:rsidRPr="00553E99">
        <w:rPr>
          <w:rStyle w:val="EndnoteReference"/>
          <w:rFonts w:eastAsiaTheme="majorEastAsia"/>
        </w:rPr>
        <w:endnoteReference w:id="480"/>
      </w:r>
      <w:r w:rsidRPr="00553E99">
        <w:rPr>
          <w:vertAlign w:val="superscript"/>
        </w:rPr>
        <w:t>,</w:t>
      </w:r>
      <w:r w:rsidRPr="00553E99">
        <w:rPr>
          <w:rStyle w:val="EndnoteReference"/>
          <w:rFonts w:eastAsiaTheme="majorEastAsia"/>
        </w:rPr>
        <w:endnoteReference w:id="481"/>
      </w:r>
      <w:r w:rsidRPr="00553E99">
        <w:rPr>
          <w:vertAlign w:val="superscript"/>
        </w:rPr>
        <w:t>,</w:t>
      </w:r>
      <w:r w:rsidRPr="00553E99">
        <w:rPr>
          <w:rStyle w:val="EndnoteReference"/>
          <w:rFonts w:eastAsiaTheme="majorEastAsia"/>
        </w:rPr>
        <w:endnoteReference w:id="482"/>
      </w:r>
      <w:r w:rsidRPr="00553E99">
        <w:t xml:space="preserve"> The associated BTRP contract effectively gave the DoD </w:t>
      </w:r>
      <w:r w:rsidRPr="00553E99">
        <w:rPr>
          <w:rFonts w:cs="Times New Roman"/>
        </w:rPr>
        <w:t xml:space="preserve">full operational control over what Ukraine could do with </w:t>
      </w:r>
      <w:r w:rsidR="004C5C79">
        <w:rPr>
          <w:rFonts w:cs="Times New Roman"/>
        </w:rPr>
        <w:t>its</w:t>
      </w:r>
      <w:r w:rsidRPr="00553E99">
        <w:rPr>
          <w:rFonts w:cs="Times New Roman"/>
        </w:rPr>
        <w:t xml:space="preserve"> deadly pathogens while providing strict confidentiality protections for the USA.</w:t>
      </w:r>
      <w:r w:rsidRPr="00553E99">
        <w:rPr>
          <w:rStyle w:val="EndnoteReference"/>
          <w:rFonts w:eastAsiaTheme="majorEastAsia" w:cs="Times New Roman"/>
        </w:rPr>
        <w:endnoteReference w:id="483"/>
      </w:r>
      <w:r w:rsidRPr="00553E99">
        <w:rPr>
          <w:rFonts w:cs="Times New Roman"/>
          <w:vertAlign w:val="superscript"/>
        </w:rPr>
        <w:t>,</w:t>
      </w:r>
      <w:r w:rsidRPr="00553E99">
        <w:rPr>
          <w:rStyle w:val="EndnoteReference"/>
          <w:rFonts w:eastAsiaTheme="majorEastAsia"/>
        </w:rPr>
        <w:endnoteReference w:id="484"/>
      </w:r>
      <w:r w:rsidRPr="00553E99">
        <w:rPr>
          <w:rFonts w:cs="Times New Roman"/>
          <w:vertAlign w:val="superscript"/>
        </w:rPr>
        <w:t xml:space="preserve"> </w:t>
      </w:r>
      <w:r w:rsidR="00D61540">
        <w:t>As of March 2022 t</w:t>
      </w:r>
      <w:r w:rsidRPr="00553E99">
        <w:t xml:space="preserve">he BTRP Ukraine partners also </w:t>
      </w:r>
      <w:r w:rsidRPr="00043449">
        <w:rPr>
          <w:b/>
          <w:bCs w:val="0"/>
        </w:rPr>
        <w:t>included</w:t>
      </w:r>
      <w:r w:rsidRPr="00553E99">
        <w:t xml:space="preserve"> the WHO, </w:t>
      </w:r>
      <w:r w:rsidR="009A4DFC">
        <w:t xml:space="preserve">the </w:t>
      </w:r>
      <w:r w:rsidRPr="00553E99">
        <w:t xml:space="preserve">World Organization for Animal Health, and </w:t>
      </w:r>
      <w:r w:rsidR="00247C76">
        <w:t xml:space="preserve">the </w:t>
      </w:r>
      <w:r w:rsidRPr="00553E99">
        <w:t>US Centers for Disease Control and Prevention, among other institutions.</w:t>
      </w:r>
      <w:r w:rsidRPr="00553E99">
        <w:rPr>
          <w:rStyle w:val="EndnoteReference"/>
          <w:rFonts w:eastAsiaTheme="majorEastAsia"/>
        </w:rPr>
        <w:endnoteReference w:id="485"/>
      </w:r>
      <w:r w:rsidR="00043449">
        <w:t xml:space="preserve"> Ukraine must have been </w:t>
      </w:r>
      <w:r w:rsidR="00043449" w:rsidRPr="00247C76">
        <w:rPr>
          <w:b/>
          <w:bCs w:val="0"/>
        </w:rPr>
        <w:t>strategically important</w:t>
      </w:r>
      <w:r w:rsidR="009A4DFC">
        <w:t xml:space="preserve"> to have garnered this level of UN affiliate and US domestic agency</w:t>
      </w:r>
      <w:r w:rsidR="00043449">
        <w:t xml:space="preserve"> involvement.</w:t>
      </w:r>
    </w:p>
    <w:p w14:paraId="2698C8BB" w14:textId="19A2D533" w:rsidR="009C6E7E" w:rsidRPr="00203B26" w:rsidRDefault="009C6E7E" w:rsidP="009C6E7E">
      <w:pPr>
        <w:spacing w:after="240"/>
      </w:pPr>
      <w:r>
        <w:t xml:space="preserve">Under this </w:t>
      </w:r>
      <w:r w:rsidRPr="00975A43">
        <w:t>BTRP</w:t>
      </w:r>
      <w:r>
        <w:t xml:space="preserve"> pretext</w:t>
      </w:r>
      <w:r w:rsidR="00D24AA9">
        <w:t>,</w:t>
      </w:r>
      <w:r>
        <w:t xml:space="preserve"> the Pentagon operated an </w:t>
      </w:r>
      <w:r w:rsidRPr="00186BB9">
        <w:rPr>
          <w:szCs w:val="22"/>
        </w:rPr>
        <w:t xml:space="preserve">extensive network of </w:t>
      </w:r>
      <w:r>
        <w:t>Biolabs in Ukraine and in other countries along Russia’s borders</w:t>
      </w:r>
      <w:r w:rsidRPr="00186BB9">
        <w:t xml:space="preserve"> (i.e., Georgia, Kazakhstan, Tajikistan, Kyrgyzstan</w:t>
      </w:r>
      <w:r>
        <w:t>,</w:t>
      </w:r>
      <w:r w:rsidRPr="00FB090E">
        <w:t xml:space="preserve"> </w:t>
      </w:r>
      <w:r>
        <w:t>Armenia</w:t>
      </w:r>
      <w:r w:rsidRPr="00186BB9">
        <w:t>.</w:t>
      </w:r>
      <w:r w:rsidRPr="00C306E0">
        <w:rPr>
          <w:rStyle w:val="EndnoteReference"/>
          <w:rFonts w:cs="Times New Roman"/>
        </w:rPr>
        <w:endnoteReference w:id="486"/>
      </w:r>
      <w:r w:rsidRPr="00C306E0">
        <w:rPr>
          <w:rFonts w:cs="Times New Roman"/>
          <w:vertAlign w:val="superscript"/>
        </w:rPr>
        <w:t>,</w:t>
      </w:r>
      <w:r w:rsidRPr="00C306E0">
        <w:rPr>
          <w:rStyle w:val="EndnoteReference"/>
          <w:rFonts w:cs="Times New Roman"/>
        </w:rPr>
        <w:endnoteReference w:id="487"/>
      </w:r>
      <w:r w:rsidRPr="00186BB9">
        <w:t xml:space="preserve">), </w:t>
      </w:r>
      <w:r>
        <w:t xml:space="preserve">with </w:t>
      </w:r>
      <w:r w:rsidRPr="000E69A6">
        <w:t>Black &amp; Veatch Special Projects Corporation (“Black &amp; Veatch”)</w:t>
      </w:r>
      <w:r>
        <w:t xml:space="preserve"> a key contractor</w:t>
      </w:r>
      <w:r w:rsidR="00E259B3">
        <w:t>, among others</w:t>
      </w:r>
      <w:r>
        <w:t>.</w:t>
      </w:r>
      <w:r w:rsidRPr="001C3DB9">
        <w:rPr>
          <w:rStyle w:val="EndnoteReference"/>
        </w:rPr>
        <w:endnoteReference w:id="488"/>
      </w:r>
      <w:r w:rsidRPr="001C3DB9">
        <w:rPr>
          <w:vertAlign w:val="superscript"/>
        </w:rPr>
        <w:t xml:space="preserve"> </w:t>
      </w:r>
      <w:r w:rsidRPr="000E69A6">
        <w:t>In 2008 the DTRA awarded one of its Biological Threat Reduction Integrating Contracts</w:t>
      </w:r>
      <w:r>
        <w:t xml:space="preserve"> to </w:t>
      </w:r>
      <w:r w:rsidRPr="000E69A6">
        <w:t>Black &amp; Veatch</w:t>
      </w:r>
      <w:r>
        <w:t>,</w:t>
      </w:r>
      <w:r w:rsidRPr="000E69A6">
        <w:t xml:space="preserve"> </w:t>
      </w:r>
      <w:r>
        <w:t>including</w:t>
      </w:r>
      <w:r w:rsidRPr="000E69A6">
        <w:t xml:space="preserve"> its first task order with Ukraine </w:t>
      </w:r>
      <w:r>
        <w:t>authorities.</w:t>
      </w:r>
      <w:r w:rsidRPr="000E69A6">
        <w:rPr>
          <w:rStyle w:val="EndnoteReference"/>
          <w:rFonts w:eastAsiaTheme="majorEastAsia"/>
        </w:rPr>
        <w:endnoteReference w:id="489"/>
      </w:r>
      <w:r w:rsidRPr="000E69A6">
        <w:t xml:space="preserve"> </w:t>
      </w:r>
      <w:r>
        <w:t>Since then it was</w:t>
      </w:r>
      <w:r w:rsidRPr="000E69A6">
        <w:t xml:space="preserve"> awarded $337.5 million </w:t>
      </w:r>
      <w:r>
        <w:t>DoD/</w:t>
      </w:r>
      <w:r w:rsidRPr="000E69A6">
        <w:t xml:space="preserve">DTRA contracts to build and operate </w:t>
      </w:r>
      <w:r>
        <w:t>Biolabs</w:t>
      </w:r>
      <w:r w:rsidRPr="000E69A6">
        <w:t xml:space="preserve"> in Ukraine ($140.2 million,</w:t>
      </w:r>
      <w:r w:rsidRPr="000E69A6">
        <w:rPr>
          <w:rStyle w:val="EndnoteReference"/>
          <w:rFonts w:eastAsiaTheme="majorEastAsia"/>
        </w:rPr>
        <w:endnoteReference w:id="490"/>
      </w:r>
      <w:r w:rsidRPr="000E69A6">
        <w:t xml:space="preserve"> $116.6 million</w:t>
      </w:r>
      <w:r w:rsidRPr="000E69A6">
        <w:rPr>
          <w:rStyle w:val="EndnoteReference"/>
          <w:rFonts w:eastAsiaTheme="majorEastAsia"/>
        </w:rPr>
        <w:endnoteReference w:id="491"/>
      </w:r>
      <w:r w:rsidRPr="000E69A6">
        <w:t xml:space="preserve">), Cameroon, Iraq, </w:t>
      </w:r>
      <w:r>
        <w:t xml:space="preserve">and </w:t>
      </w:r>
      <w:r w:rsidRPr="000E69A6">
        <w:t>Armenia, among other countries.</w:t>
      </w:r>
      <w:r w:rsidRPr="000E69A6">
        <w:rPr>
          <w:rStyle w:val="EndnoteReference"/>
          <w:rFonts w:eastAsiaTheme="majorEastAsia"/>
        </w:rPr>
        <w:endnoteReference w:id="492"/>
      </w:r>
      <w:r w:rsidRPr="000E69A6">
        <w:rPr>
          <w:vertAlign w:val="superscript"/>
        </w:rPr>
        <w:t>,</w:t>
      </w:r>
      <w:r w:rsidRPr="000E69A6">
        <w:rPr>
          <w:rStyle w:val="EndnoteReference"/>
          <w:rFonts w:eastAsiaTheme="majorEastAsia"/>
        </w:rPr>
        <w:endnoteReference w:id="493"/>
      </w:r>
      <w:r w:rsidRPr="000E69A6">
        <w:t xml:space="preserve"> </w:t>
      </w:r>
      <w:r>
        <w:t>T</w:t>
      </w:r>
      <w:r w:rsidRPr="000E69A6">
        <w:t xml:space="preserve">he DoD/DTRA and Russian Defense Ministry </w:t>
      </w:r>
      <w:r>
        <w:t xml:space="preserve">indicate </w:t>
      </w:r>
      <w:r w:rsidRPr="000E69A6">
        <w:t>the US invested $200 milli</w:t>
      </w:r>
      <w:r>
        <w:t>on in supporting 46 Biolabs in Ukraine</w:t>
      </w:r>
      <w:r w:rsidRPr="000E69A6">
        <w:t>.</w:t>
      </w:r>
      <w:r w:rsidRPr="000E69A6">
        <w:rPr>
          <w:rStyle w:val="EndnoteReference"/>
          <w:rFonts w:eastAsiaTheme="majorEastAsia"/>
        </w:rPr>
        <w:endnoteReference w:id="494"/>
      </w:r>
      <w:r w:rsidRPr="000E69A6">
        <w:rPr>
          <w:vertAlign w:val="superscript"/>
        </w:rPr>
        <w:t>,</w:t>
      </w:r>
      <w:r w:rsidRPr="000E69A6">
        <w:rPr>
          <w:rStyle w:val="EndnoteReference"/>
          <w:rFonts w:eastAsiaTheme="majorEastAsia"/>
        </w:rPr>
        <w:endnoteReference w:id="495"/>
      </w:r>
      <w:r w:rsidRPr="000E69A6">
        <w:rPr>
          <w:vertAlign w:val="superscript"/>
        </w:rPr>
        <w:t xml:space="preserve"> </w:t>
      </w:r>
    </w:p>
    <w:p w14:paraId="58855873" w14:textId="41780054" w:rsidR="007110FD" w:rsidRDefault="00C371D7" w:rsidP="009C6E7E">
      <w:pPr>
        <w:spacing w:after="240"/>
      </w:pPr>
      <w:r>
        <w:t xml:space="preserve">In February 2022 </w:t>
      </w:r>
      <w:r w:rsidR="004C5C79">
        <w:t xml:space="preserve">Russian </w:t>
      </w:r>
      <w:r w:rsidR="004C5C79" w:rsidRPr="00404699">
        <w:t>official</w:t>
      </w:r>
      <w:r w:rsidR="004C5C79">
        <w:t>s claimed</w:t>
      </w:r>
      <w:r w:rsidR="004C5C79" w:rsidRPr="00404699">
        <w:t xml:space="preserve"> the </w:t>
      </w:r>
      <w:r w:rsidR="004C5C79">
        <w:t>US DoD</w:t>
      </w:r>
      <w:r w:rsidR="004C5C79" w:rsidRPr="00404699">
        <w:rPr>
          <w:szCs w:val="22"/>
        </w:rPr>
        <w:t xml:space="preserve"> </w:t>
      </w:r>
      <w:r w:rsidR="004C5C79" w:rsidRPr="00404699">
        <w:t xml:space="preserve">and Ukraine violated Article 1 of the Biological Weapons Convention by conducting research on highly dangerous pathogens in Ukraine </w:t>
      </w:r>
      <w:r w:rsidR="004C5C79">
        <w:t xml:space="preserve">using </w:t>
      </w:r>
      <w:r w:rsidR="004C5C79" w:rsidRPr="007110FD">
        <w:rPr>
          <w:b/>
          <w:bCs w:val="0"/>
        </w:rPr>
        <w:t>gain-of-function synthetic</w:t>
      </w:r>
      <w:r w:rsidR="004C5C79" w:rsidRPr="00404699">
        <w:rPr>
          <w:b/>
          <w:bCs w:val="0"/>
        </w:rPr>
        <w:t xml:space="preserve"> biology</w:t>
      </w:r>
      <w:r w:rsidR="004C5C79" w:rsidRPr="00404699">
        <w:t xml:space="preserve"> </w:t>
      </w:r>
      <w:r w:rsidR="007110FD">
        <w:t>technology</w:t>
      </w:r>
      <w:r w:rsidRPr="00C371D7">
        <w:t xml:space="preserve"> </w:t>
      </w:r>
      <w:r w:rsidRPr="00404699">
        <w:t xml:space="preserve">including </w:t>
      </w:r>
      <w:r w:rsidRPr="00404699">
        <w:rPr>
          <w:b/>
        </w:rPr>
        <w:t>coronaviruses, influenza,</w:t>
      </w:r>
      <w:r w:rsidRPr="00404699">
        <w:t xml:space="preserve"> and </w:t>
      </w:r>
      <w:r w:rsidRPr="00404699">
        <w:rPr>
          <w:b/>
        </w:rPr>
        <w:t xml:space="preserve">filoviruses </w:t>
      </w:r>
      <w:r w:rsidRPr="00404699">
        <w:t>(i.e., highly lethal African hemorrhagic fevers).</w:t>
      </w:r>
      <w:r w:rsidRPr="006C7E5B">
        <w:rPr>
          <w:rStyle w:val="EndnoteReference"/>
        </w:rPr>
        <w:endnoteReference w:id="496"/>
      </w:r>
      <w:r>
        <w:rPr>
          <w:vertAlign w:val="superscript"/>
        </w:rPr>
        <w:t>,</w:t>
      </w:r>
      <w:r w:rsidRPr="00E70195">
        <w:rPr>
          <w:rStyle w:val="EndnoteReference"/>
        </w:rPr>
        <w:endnoteReference w:id="497"/>
      </w:r>
      <w:r>
        <w:rPr>
          <w:vertAlign w:val="superscript"/>
        </w:rPr>
        <w:t>,</w:t>
      </w:r>
      <w:r>
        <w:rPr>
          <w:rStyle w:val="EndnoteReference"/>
        </w:rPr>
        <w:endnoteReference w:id="498"/>
      </w:r>
      <w:r>
        <w:rPr>
          <w:vertAlign w:val="superscript"/>
        </w:rPr>
        <w:t>,</w:t>
      </w:r>
      <w:r>
        <w:rPr>
          <w:rStyle w:val="EndnoteReference"/>
        </w:rPr>
        <w:endnoteReference w:id="499"/>
      </w:r>
      <w:r>
        <w:rPr>
          <w:vertAlign w:val="superscript"/>
        </w:rPr>
        <w:t>,</w:t>
      </w:r>
      <w:r>
        <w:rPr>
          <w:rStyle w:val="EndnoteReference"/>
        </w:rPr>
        <w:endnoteReference w:id="500"/>
      </w:r>
      <w:r>
        <w:t xml:space="preserve"> Russian officials claimed these programs </w:t>
      </w:r>
      <w:r w:rsidR="00D24AA9">
        <w:t xml:space="preserve">also </w:t>
      </w:r>
      <w:r w:rsidR="00E259B3">
        <w:t>assess</w:t>
      </w:r>
      <w:r>
        <w:t>ed virus</w:t>
      </w:r>
      <w:r w:rsidR="00E259B3">
        <w:t xml:space="preserve"> spread </w:t>
      </w:r>
      <w:r>
        <w:t>using</w:t>
      </w:r>
      <w:r w:rsidR="004C5C79">
        <w:t xml:space="preserve"> </w:t>
      </w:r>
      <w:r w:rsidR="004C5C79" w:rsidRPr="00404699">
        <w:t xml:space="preserve">migratory birds and </w:t>
      </w:r>
      <w:r w:rsidR="004C5C79">
        <w:t>b</w:t>
      </w:r>
      <w:r w:rsidR="004C5C79" w:rsidRPr="00404699">
        <w:t>ats</w:t>
      </w:r>
      <w:r>
        <w:t xml:space="preserve"> as vectors or intermediate hosts.</w:t>
      </w:r>
      <w:r w:rsidR="004C5C79" w:rsidRPr="00404699">
        <w:t xml:space="preserve"> Ukraine has also faced numerous </w:t>
      </w:r>
      <w:r w:rsidR="004C5C79" w:rsidRPr="00404699">
        <w:rPr>
          <w:b/>
          <w:bCs w:val="0"/>
        </w:rPr>
        <w:t>mysterious outbreaks</w:t>
      </w:r>
      <w:r w:rsidR="004C5C79" w:rsidRPr="00404699">
        <w:t xml:space="preserve"> of highly pathogenic diseases</w:t>
      </w:r>
      <w:r w:rsidR="004C5C79">
        <w:t xml:space="preserve"> in recent years.</w:t>
      </w:r>
      <w:r w:rsidR="004C5C79" w:rsidRPr="00E70195">
        <w:rPr>
          <w:rStyle w:val="EndnoteReference"/>
        </w:rPr>
        <w:endnoteReference w:id="501"/>
      </w:r>
      <w:r w:rsidR="004C5C79">
        <w:rPr>
          <w:vertAlign w:val="superscript"/>
        </w:rPr>
        <w:t>,</w:t>
      </w:r>
      <w:r w:rsidR="004C5C79" w:rsidRPr="00E70195">
        <w:rPr>
          <w:rStyle w:val="EndnoteReference"/>
        </w:rPr>
        <w:endnoteReference w:id="502"/>
      </w:r>
      <w:r w:rsidR="004C5C79" w:rsidRPr="00E70195">
        <w:rPr>
          <w:vertAlign w:val="superscript"/>
        </w:rPr>
        <w:t>,</w:t>
      </w:r>
      <w:r w:rsidR="004C5C79" w:rsidRPr="00E70195">
        <w:rPr>
          <w:rStyle w:val="EndnoteReference"/>
        </w:rPr>
        <w:endnoteReference w:id="503"/>
      </w:r>
      <w:r w:rsidR="004C5C79">
        <w:rPr>
          <w:vertAlign w:val="superscript"/>
        </w:rPr>
        <w:t>,</w:t>
      </w:r>
      <w:r w:rsidR="004C5C79" w:rsidRPr="00E70195">
        <w:rPr>
          <w:rStyle w:val="EndnoteReference"/>
        </w:rPr>
        <w:endnoteReference w:id="504"/>
      </w:r>
      <w:r w:rsidR="004C5C79" w:rsidRPr="00E70195">
        <w:rPr>
          <w:vertAlign w:val="superscript"/>
        </w:rPr>
        <w:t xml:space="preserve"> </w:t>
      </w:r>
      <w:r w:rsidR="004C5C79" w:rsidRPr="00404699">
        <w:rPr>
          <w:rFonts w:cs="Times New Roman"/>
        </w:rPr>
        <w:t xml:space="preserve">The Russian Defense Ministry </w:t>
      </w:r>
      <w:r w:rsidR="004C5C79">
        <w:rPr>
          <w:rFonts w:cs="Times New Roman"/>
        </w:rPr>
        <w:t xml:space="preserve">also </w:t>
      </w:r>
      <w:r w:rsidR="004C5C79" w:rsidRPr="00404699">
        <w:rPr>
          <w:rFonts w:cs="Times New Roman"/>
        </w:rPr>
        <w:t xml:space="preserve">reported a </w:t>
      </w:r>
      <w:r w:rsidR="004C5C79" w:rsidRPr="00E70195">
        <w:rPr>
          <w:rFonts w:cs="Times New Roman"/>
          <w:b/>
          <w:bCs w:val="0"/>
        </w:rPr>
        <w:t>100-fold increase</w:t>
      </w:r>
      <w:r w:rsidR="004C5C79" w:rsidRPr="00404699">
        <w:rPr>
          <w:rFonts w:cs="Times New Roman"/>
        </w:rPr>
        <w:t xml:space="preserve"> in rare African hemorrhagic viruses, </w:t>
      </w:r>
      <w:r w:rsidR="004C5C79" w:rsidRPr="00404699">
        <w:t>Crimean-Congo hemorrhagic fever</w:t>
      </w:r>
      <w:r w:rsidR="004C5C79" w:rsidRPr="00404699">
        <w:rPr>
          <w:rFonts w:cs="Times New Roman"/>
        </w:rPr>
        <w:t>, and African Swine Fever in Donbas.</w:t>
      </w:r>
      <w:r w:rsidR="004C5C79" w:rsidRPr="00404699">
        <w:rPr>
          <w:rStyle w:val="EndnoteReference"/>
          <w:rFonts w:cs="Times New Roman"/>
        </w:rPr>
        <w:endnoteReference w:id="505"/>
      </w:r>
      <w:r w:rsidR="004C5C79">
        <w:t xml:space="preserve"> </w:t>
      </w:r>
      <w:r w:rsidR="00043449">
        <w:t xml:space="preserve">How did that </w:t>
      </w:r>
      <w:r w:rsidR="00043449" w:rsidRPr="00043449">
        <w:rPr>
          <w:b/>
          <w:bCs w:val="0"/>
        </w:rPr>
        <w:t>African connection</w:t>
      </w:r>
      <w:r w:rsidR="00043449">
        <w:t xml:space="preserve"> happen?</w:t>
      </w:r>
    </w:p>
    <w:p w14:paraId="4EBC49C0" w14:textId="5C8AF3BC" w:rsidR="007110FD" w:rsidRDefault="00D24AA9" w:rsidP="009C6E7E">
      <w:pPr>
        <w:spacing w:after="240"/>
      </w:pPr>
      <w:r>
        <w:t>On 25/10/2022, R</w:t>
      </w:r>
      <w:r w:rsidRPr="00C371D7">
        <w:t>ussia file</w:t>
      </w:r>
      <w:r>
        <w:t>d</w:t>
      </w:r>
      <w:r w:rsidRPr="00C371D7">
        <w:t xml:space="preserve"> an official complaint </w:t>
      </w:r>
      <w:r>
        <w:t>U</w:t>
      </w:r>
      <w:r w:rsidRPr="00C371D7">
        <w:t xml:space="preserve">nder </w:t>
      </w:r>
      <w:r w:rsidRPr="00E96E89">
        <w:rPr>
          <w:b/>
          <w:bCs w:val="0"/>
        </w:rPr>
        <w:t>Article VI of the convention</w:t>
      </w:r>
      <w:r w:rsidRPr="00C371D7">
        <w:t xml:space="preserve"> alleging </w:t>
      </w:r>
      <w:r>
        <w:t>the US and Ukraine participated in</w:t>
      </w:r>
      <w:r w:rsidRPr="00C371D7">
        <w:t xml:space="preserve"> banned biological activities in Ukraine</w:t>
      </w:r>
      <w:r>
        <w:t>. D</w:t>
      </w:r>
      <w:r w:rsidRPr="00C371D7">
        <w:t>uring Russia</w:t>
      </w:r>
      <w:r>
        <w:t xml:space="preserve">’s </w:t>
      </w:r>
      <w:r w:rsidRPr="00E96E89">
        <w:rPr>
          <w:b/>
          <w:bCs w:val="0"/>
        </w:rPr>
        <w:t>special military operation</w:t>
      </w:r>
      <w:r w:rsidRPr="00C371D7">
        <w:t xml:space="preserve"> in Ukraine, </w:t>
      </w:r>
      <w:r>
        <w:t xml:space="preserve">in part motivated by these </w:t>
      </w:r>
      <w:r w:rsidRPr="00D27AF7">
        <w:rPr>
          <w:b/>
          <w:bCs w:val="0"/>
        </w:rPr>
        <w:t>aggression-intentioned Biolaboratories</w:t>
      </w:r>
      <w:r>
        <w:t xml:space="preserve">, </w:t>
      </w:r>
      <w:r w:rsidRPr="00C371D7">
        <w:t>it obtained “</w:t>
      </w:r>
      <w:r w:rsidRPr="00C371D7">
        <w:rPr>
          <w:i/>
          <w:iCs/>
        </w:rPr>
        <w:t>a variety of documents and evidence that shed light on the true nature of military biological activities of the U.S. and Ukraine on the Ukrainian territory</w:t>
      </w:r>
      <w:r w:rsidRPr="00C371D7">
        <w:t xml:space="preserve">” </w:t>
      </w:r>
      <w:r>
        <w:t xml:space="preserve">and </w:t>
      </w:r>
      <w:r w:rsidRPr="00C371D7">
        <w:rPr>
          <w:i/>
          <w:iCs/>
        </w:rPr>
        <w:t>American and Ukrainian non-compliance with the provisions</w:t>
      </w:r>
      <w:r w:rsidRPr="00C371D7">
        <w:t xml:space="preserve"> of the biological weapons convention</w:t>
      </w:r>
      <w:r>
        <w:t>.</w:t>
      </w:r>
      <w:r>
        <w:rPr>
          <w:rStyle w:val="EndnoteReference"/>
        </w:rPr>
        <w:endnoteReference w:id="506"/>
      </w:r>
      <w:r>
        <w:t xml:space="preserve"> </w:t>
      </w:r>
      <w:r w:rsidR="007110FD" w:rsidRPr="00404699">
        <w:t xml:space="preserve">Why </w:t>
      </w:r>
      <w:r w:rsidR="00C371D7">
        <w:t xml:space="preserve">has it taken the United Nations (UN) so long to listen </w:t>
      </w:r>
      <w:r w:rsidR="00856FE0">
        <w:t xml:space="preserve">to </w:t>
      </w:r>
      <w:r w:rsidR="00C371D7">
        <w:t xml:space="preserve">and </w:t>
      </w:r>
      <w:r w:rsidR="0054018C">
        <w:t xml:space="preserve">seriously </w:t>
      </w:r>
      <w:r w:rsidR="00C371D7">
        <w:t xml:space="preserve">investigate </w:t>
      </w:r>
      <w:r w:rsidR="007110FD">
        <w:t xml:space="preserve">claims made by </w:t>
      </w:r>
      <w:r w:rsidR="007110FD" w:rsidRPr="00404699">
        <w:t>senior Russian Government officials</w:t>
      </w:r>
      <w:r w:rsidR="007110FD">
        <w:t xml:space="preserve"> about </w:t>
      </w:r>
      <w:r>
        <w:t xml:space="preserve">these </w:t>
      </w:r>
      <w:r w:rsidR="007110FD">
        <w:t>Pentagon-operated Biolabs in Ukraine</w:t>
      </w:r>
      <w:r>
        <w:t>?</w:t>
      </w:r>
      <w:r w:rsidRPr="006C7E5B">
        <w:rPr>
          <w:rStyle w:val="EndnoteReference"/>
        </w:rPr>
        <w:endnoteReference w:id="507"/>
      </w:r>
      <w:r>
        <w:t xml:space="preserve"> During this intervening period </w:t>
      </w:r>
      <w:r w:rsidR="00254131">
        <w:t xml:space="preserve">seemingly </w:t>
      </w:r>
      <w:r w:rsidR="0054018C">
        <w:t xml:space="preserve">devoid of </w:t>
      </w:r>
      <w:r w:rsidR="00227259">
        <w:t xml:space="preserve">serious </w:t>
      </w:r>
      <w:r w:rsidR="0054018C">
        <w:t xml:space="preserve">investigation </w:t>
      </w:r>
      <w:r>
        <w:t xml:space="preserve">NATO has </w:t>
      </w:r>
      <w:r>
        <w:lastRenderedPageBreak/>
        <w:t>provid</w:t>
      </w:r>
      <w:r w:rsidR="00227259">
        <w:t>e</w:t>
      </w:r>
      <w:r>
        <w:t xml:space="preserve">d many tens of billions </w:t>
      </w:r>
      <w:r w:rsidR="00227259">
        <w:t xml:space="preserve">of Fiat currency </w:t>
      </w:r>
      <w:r w:rsidR="00D27AF7">
        <w:t xml:space="preserve">dollars </w:t>
      </w:r>
      <w:r w:rsidR="00254131">
        <w:t xml:space="preserve">in military aid </w:t>
      </w:r>
      <w:r>
        <w:t xml:space="preserve">to fund </w:t>
      </w:r>
      <w:r w:rsidR="0054018C">
        <w:t>its</w:t>
      </w:r>
      <w:r>
        <w:t xml:space="preserve"> proxy-hybrid war against Russia</w:t>
      </w:r>
      <w:r w:rsidR="0054018C">
        <w:t>, which</w:t>
      </w:r>
      <w:r w:rsidR="0054018C" w:rsidRPr="0054018C">
        <w:t xml:space="preserve"> </w:t>
      </w:r>
      <w:r w:rsidR="00227259">
        <w:t xml:space="preserve">has destabilized </w:t>
      </w:r>
      <w:r w:rsidR="0054018C">
        <w:t xml:space="preserve">global </w:t>
      </w:r>
      <w:r w:rsidR="00227259">
        <w:t>geopolitics</w:t>
      </w:r>
      <w:r w:rsidR="00254131">
        <w:t>, energy supply,</w:t>
      </w:r>
      <w:r w:rsidR="00227259">
        <w:t xml:space="preserve"> the economy and </w:t>
      </w:r>
      <w:r w:rsidR="00254131">
        <w:t>provokes</w:t>
      </w:r>
      <w:r w:rsidR="0054018C">
        <w:t xml:space="preserve"> nuclear brinkmanship</w:t>
      </w:r>
      <w:r>
        <w:t>.</w:t>
      </w:r>
      <w:r w:rsidR="007110FD" w:rsidRPr="00404699">
        <w:t xml:space="preserve"> </w:t>
      </w:r>
      <w:r w:rsidR="00D61540">
        <w:t>Did</w:t>
      </w:r>
      <w:r w:rsidR="004C5C79">
        <w:t xml:space="preserve"> the </w:t>
      </w:r>
      <w:r w:rsidR="004C5C79" w:rsidRPr="004C5C79">
        <w:rPr>
          <w:b/>
          <w:bCs w:val="0"/>
        </w:rPr>
        <w:t>WHO partnership</w:t>
      </w:r>
      <w:r w:rsidR="004C5C79">
        <w:t xml:space="preserve"> with the DoD’s </w:t>
      </w:r>
      <w:r w:rsidR="004C5C79" w:rsidRPr="00553E99">
        <w:t>Biological Threat Reduction Program</w:t>
      </w:r>
      <w:r w:rsidR="004C5C79">
        <w:t xml:space="preserve"> in Ukraine create any </w:t>
      </w:r>
      <w:r w:rsidR="004C5C79" w:rsidRPr="00F53C38">
        <w:rPr>
          <w:b/>
          <w:bCs w:val="0"/>
        </w:rPr>
        <w:t xml:space="preserve">conflict of interest </w:t>
      </w:r>
      <w:r w:rsidR="00C371D7">
        <w:t xml:space="preserve">for the UN </w:t>
      </w:r>
      <w:r w:rsidR="007110FD">
        <w:t xml:space="preserve">in investigating Russia’s </w:t>
      </w:r>
      <w:r w:rsidR="00C371D7">
        <w:t>claims</w:t>
      </w:r>
      <w:r w:rsidR="00E96E89">
        <w:t xml:space="preserve"> and </w:t>
      </w:r>
      <w:r w:rsidR="00227259">
        <w:t>the</w:t>
      </w:r>
      <w:r w:rsidR="00D27AF7">
        <w:t xml:space="preserve">ir </w:t>
      </w:r>
      <w:r w:rsidR="00227259">
        <w:t xml:space="preserve">own </w:t>
      </w:r>
      <w:r w:rsidR="00E96E89">
        <w:t xml:space="preserve">belated </w:t>
      </w:r>
      <w:r w:rsidR="009A4DFC">
        <w:t>China-origin</w:t>
      </w:r>
      <w:r w:rsidR="00E96E89">
        <w:t xml:space="preserve"> investigation</w:t>
      </w:r>
      <w:r w:rsidR="007110FD">
        <w:t xml:space="preserve">? </w:t>
      </w:r>
    </w:p>
    <w:p w14:paraId="73FA7B35" w14:textId="7BE2832F" w:rsidR="004C5C79" w:rsidRPr="004C5C79" w:rsidRDefault="00BC5C61" w:rsidP="004C5C79">
      <w:pPr>
        <w:pStyle w:val="Heading3"/>
      </w:pPr>
      <w:bookmarkStart w:id="212" w:name="_Toc121035152"/>
      <w:r>
        <w:t xml:space="preserve">Follow </w:t>
      </w:r>
      <w:r w:rsidRPr="004C5C79">
        <w:t>Pentagon</w:t>
      </w:r>
      <w:r>
        <w:t xml:space="preserve"> Money from </w:t>
      </w:r>
      <w:r w:rsidRPr="004C5C79">
        <w:t>EcoHealth Alliance</w:t>
      </w:r>
      <w:r w:rsidR="00BB49E9">
        <w:t xml:space="preserve"> (</w:t>
      </w:r>
      <w:r w:rsidR="00BB49E9" w:rsidRPr="004C5C79">
        <w:t>Gain-of-Function</w:t>
      </w:r>
      <w:r w:rsidR="00BB49E9">
        <w:t>,</w:t>
      </w:r>
      <w:r w:rsidR="00BB49E9" w:rsidRPr="004C5C79">
        <w:t xml:space="preserve"> Cover-up</w:t>
      </w:r>
      <w:r w:rsidR="00BB49E9">
        <w:t xml:space="preserve">) </w:t>
      </w:r>
      <w:r w:rsidR="004C5C79" w:rsidRPr="004C5C79">
        <w:t xml:space="preserve">to </w:t>
      </w:r>
      <w:r w:rsidR="00650C55" w:rsidRPr="004C5C79">
        <w:t>Hunter Biden</w:t>
      </w:r>
      <w:r w:rsidR="00650C55">
        <w:t xml:space="preserve">’s part-owned </w:t>
      </w:r>
      <w:r w:rsidRPr="004C5C79">
        <w:t>Metabiota</w:t>
      </w:r>
      <w:r w:rsidR="00650C55">
        <w:t xml:space="preserve"> to</w:t>
      </w:r>
      <w:r w:rsidRPr="004C5C79">
        <w:t xml:space="preserve"> </w:t>
      </w:r>
      <w:r w:rsidR="00650C55">
        <w:t>Off-</w:t>
      </w:r>
      <w:r w:rsidR="0072040C">
        <w:t>S</w:t>
      </w:r>
      <w:r w:rsidR="00650C55">
        <w:t>hored Biolabs (Ukraine</w:t>
      </w:r>
      <w:r w:rsidR="0015799F">
        <w:t>, Cameroon</w:t>
      </w:r>
      <w:r w:rsidR="00650C55">
        <w:t>)</w:t>
      </w:r>
      <w:bookmarkEnd w:id="212"/>
    </w:p>
    <w:p w14:paraId="5D783A78" w14:textId="1417790C" w:rsidR="003472C9" w:rsidRPr="00CA338C" w:rsidRDefault="007110FD" w:rsidP="003472C9">
      <w:pPr>
        <w:spacing w:after="240"/>
      </w:pPr>
      <w:r>
        <w:t xml:space="preserve">This section </w:t>
      </w:r>
      <w:r w:rsidR="00CE3D57">
        <w:t xml:space="preserve">also </w:t>
      </w:r>
      <w:r w:rsidR="00837335">
        <w:t>applies</w:t>
      </w:r>
      <w:r>
        <w:t xml:space="preserve"> </w:t>
      </w:r>
      <w:r w:rsidR="009A4DFC">
        <w:t>the</w:t>
      </w:r>
      <w:r w:rsidR="0015799F">
        <w:t xml:space="preserve"> previously discussed</w:t>
      </w:r>
      <w:r w:rsidR="009A4DFC">
        <w:t xml:space="preserve"> investigatory</w:t>
      </w:r>
      <w:r>
        <w:t xml:space="preserve"> principle of following the money </w:t>
      </w:r>
      <w:r w:rsidRPr="00642C30">
        <w:rPr>
          <w:b/>
          <w:bCs w:val="0"/>
        </w:rPr>
        <w:t>one degree removed</w:t>
      </w:r>
      <w:r>
        <w:t xml:space="preserve"> </w:t>
      </w:r>
      <w:r w:rsidR="00C371D7">
        <w:t>from the exposed cover-up</w:t>
      </w:r>
      <w:r w:rsidR="00837335">
        <w:t xml:space="preserve">. There is no accusation intended, simply a motive to appraise people of the </w:t>
      </w:r>
      <w:r w:rsidR="00A90AFD">
        <w:t xml:space="preserve">broader </w:t>
      </w:r>
      <w:r w:rsidR="009A4DFC">
        <w:t xml:space="preserve">associated </w:t>
      </w:r>
      <w:r w:rsidR="00837335">
        <w:t xml:space="preserve">facts that have </w:t>
      </w:r>
      <w:r w:rsidR="00C371D7">
        <w:t xml:space="preserve">largely </w:t>
      </w:r>
      <w:r w:rsidR="00837335">
        <w:t xml:space="preserve">escaped the </w:t>
      </w:r>
      <w:r w:rsidR="00C371D7">
        <w:t xml:space="preserve">mainstream </w:t>
      </w:r>
      <w:r w:rsidR="00837335">
        <w:t>media narrative</w:t>
      </w:r>
      <w:r>
        <w:t xml:space="preserve">. </w:t>
      </w:r>
      <w:r w:rsidR="003472C9" w:rsidRPr="00CA338C">
        <w:t xml:space="preserve">Dr. Daszak’s gain-of-function/zoonosis research collaborations </w:t>
      </w:r>
      <w:r w:rsidR="003472C9">
        <w:t>were</w:t>
      </w:r>
      <w:r w:rsidR="003472C9" w:rsidRPr="00CA338C">
        <w:t xml:space="preserve"> largely funded by the DoD</w:t>
      </w:r>
      <w:r w:rsidR="003472C9">
        <w:t>/</w:t>
      </w:r>
      <w:r w:rsidR="003472C9" w:rsidRPr="00CA338C">
        <w:t xml:space="preserve">DTRA, NIH/NIAID, and USAID PREDICT dollars. </w:t>
      </w:r>
      <w:r w:rsidR="003472C9">
        <w:t xml:space="preserve">According to </w:t>
      </w:r>
      <w:r w:rsidR="003472C9" w:rsidRPr="00CA338C">
        <w:t xml:space="preserve">USASpending.gov, Dr. Daszak was awarded $69 million </w:t>
      </w:r>
      <w:r w:rsidR="003472C9">
        <w:t xml:space="preserve">in </w:t>
      </w:r>
      <w:r w:rsidR="003472C9" w:rsidRPr="00CA338C">
        <w:t xml:space="preserve">funding for bat coronavirus emergence research (i.e., </w:t>
      </w:r>
      <w:r w:rsidR="003472C9" w:rsidRPr="004974A2">
        <w:rPr>
          <w:i/>
          <w:iCs/>
        </w:rPr>
        <w:t>from 2014</w:t>
      </w:r>
      <w:r w:rsidR="003472C9" w:rsidRPr="00CA338C">
        <w:t>), bat-borne and other zoonotic potential viruses (Henipaviruses), severe hemorrhagic diseases (</w:t>
      </w:r>
      <w:r w:rsidR="003472C9">
        <w:t xml:space="preserve">i.e., </w:t>
      </w:r>
      <w:r w:rsidR="003472C9" w:rsidRPr="004974A2">
        <w:rPr>
          <w:i/>
          <w:iCs/>
        </w:rPr>
        <w:t>Crimean-Congo hemorrhagic feve</w:t>
      </w:r>
      <w:r w:rsidR="003472C9">
        <w:rPr>
          <w:i/>
          <w:iCs/>
        </w:rPr>
        <w:t xml:space="preserve">r and </w:t>
      </w:r>
      <w:r w:rsidR="003472C9" w:rsidRPr="004974A2">
        <w:rPr>
          <w:i/>
          <w:iCs/>
        </w:rPr>
        <w:t>filoviruses</w:t>
      </w:r>
      <w:r w:rsidR="003472C9">
        <w:rPr>
          <w:i/>
          <w:iCs/>
        </w:rPr>
        <w:t>,</w:t>
      </w:r>
      <w:r w:rsidR="003472C9" w:rsidRPr="004974A2">
        <w:rPr>
          <w:i/>
          <w:iCs/>
        </w:rPr>
        <w:t xml:space="preserve"> </w:t>
      </w:r>
      <w:r w:rsidR="003472C9">
        <w:rPr>
          <w:i/>
          <w:iCs/>
        </w:rPr>
        <w:t>including</w:t>
      </w:r>
      <w:r w:rsidR="003472C9" w:rsidRPr="004974A2">
        <w:rPr>
          <w:i/>
          <w:iCs/>
        </w:rPr>
        <w:t xml:space="preserve"> Ebola</w:t>
      </w:r>
      <w:r w:rsidR="003472C9">
        <w:rPr>
          <w:i/>
          <w:iCs/>
        </w:rPr>
        <w:t xml:space="preserve"> and</w:t>
      </w:r>
      <w:r w:rsidR="003472C9" w:rsidRPr="004974A2">
        <w:rPr>
          <w:i/>
          <w:iCs/>
        </w:rPr>
        <w:t xml:space="preserve"> Marburg</w:t>
      </w:r>
      <w:r w:rsidR="003472C9" w:rsidRPr="00CA338C">
        <w:t>), among other zoonotic viruses.</w:t>
      </w:r>
      <w:r w:rsidR="003472C9" w:rsidRPr="00CA338C">
        <w:rPr>
          <w:rStyle w:val="EndnoteReference"/>
        </w:rPr>
        <w:endnoteReference w:id="508"/>
      </w:r>
      <w:r w:rsidR="003472C9" w:rsidRPr="00CA338C">
        <w:t xml:space="preserve"> </w:t>
      </w:r>
      <w:r w:rsidR="003472C9" w:rsidRPr="00CA338C">
        <w:rPr>
          <w:rFonts w:cs="Times New Roman"/>
        </w:rPr>
        <w:t xml:space="preserve">Why did </w:t>
      </w:r>
      <w:r w:rsidR="003472C9">
        <w:rPr>
          <w:rFonts w:cs="Times New Roman"/>
        </w:rPr>
        <w:t xml:space="preserve">the NIH and </w:t>
      </w:r>
      <w:r w:rsidR="003472C9" w:rsidRPr="00CA338C">
        <w:rPr>
          <w:rFonts w:cs="Times New Roman"/>
        </w:rPr>
        <w:t xml:space="preserve">EcoHealth Alliance </w:t>
      </w:r>
      <w:r w:rsidR="003472C9">
        <w:rPr>
          <w:rFonts w:cs="Times New Roman"/>
        </w:rPr>
        <w:t>fund coronavirus gain-of-function</w:t>
      </w:r>
      <w:r w:rsidR="003472C9" w:rsidRPr="00CA338C">
        <w:rPr>
          <w:rFonts w:cs="Times New Roman"/>
        </w:rPr>
        <w:t xml:space="preserve"> research at the W</w:t>
      </w:r>
      <w:r w:rsidR="003472C9">
        <w:rPr>
          <w:rFonts w:cs="Times New Roman"/>
        </w:rPr>
        <w:t>uhan-</w:t>
      </w:r>
      <w:r w:rsidR="003472C9" w:rsidRPr="00CA338C">
        <w:rPr>
          <w:rFonts w:cs="Times New Roman"/>
        </w:rPr>
        <w:t xml:space="preserve">IV? Was this so </w:t>
      </w:r>
      <w:r w:rsidR="003472C9">
        <w:rPr>
          <w:rFonts w:cs="Times New Roman"/>
        </w:rPr>
        <w:t>the US government</w:t>
      </w:r>
      <w:r w:rsidR="003472C9" w:rsidRPr="00CA338C">
        <w:rPr>
          <w:rFonts w:cs="Times New Roman"/>
        </w:rPr>
        <w:t xml:space="preserve"> could </w:t>
      </w:r>
      <w:r w:rsidR="003472C9">
        <w:rPr>
          <w:rFonts w:cs="Times New Roman"/>
        </w:rPr>
        <w:t>skirt</w:t>
      </w:r>
      <w:r w:rsidR="003472C9" w:rsidRPr="00CA338C">
        <w:rPr>
          <w:rFonts w:cs="Times New Roman"/>
        </w:rPr>
        <w:t xml:space="preserve"> </w:t>
      </w:r>
      <w:r w:rsidR="003472C9">
        <w:rPr>
          <w:rFonts w:cs="Times New Roman"/>
        </w:rPr>
        <w:t xml:space="preserve">its </w:t>
      </w:r>
      <w:r w:rsidR="00650C55">
        <w:rPr>
          <w:rFonts w:cs="Times New Roman"/>
        </w:rPr>
        <w:t>short-lived</w:t>
      </w:r>
      <w:r w:rsidR="003472C9">
        <w:rPr>
          <w:rFonts w:cs="Times New Roman"/>
        </w:rPr>
        <w:t xml:space="preserve"> </w:t>
      </w:r>
      <w:r w:rsidR="0015799F">
        <w:rPr>
          <w:rFonts w:cs="Times New Roman"/>
        </w:rPr>
        <w:t>(</w:t>
      </w:r>
      <w:r w:rsidR="009A4DFC">
        <w:rPr>
          <w:rFonts w:cs="Times New Roman"/>
        </w:rPr>
        <w:t xml:space="preserve">i.e., </w:t>
      </w:r>
      <w:r w:rsidR="0015799F">
        <w:rPr>
          <w:rFonts w:cs="Times New Roman"/>
        </w:rPr>
        <w:t>why</w:t>
      </w:r>
      <w:r w:rsidR="009A4DFC">
        <w:rPr>
          <w:rFonts w:cs="Times New Roman"/>
        </w:rPr>
        <w:t xml:space="preserve"> so short</w:t>
      </w:r>
      <w:r w:rsidR="0015799F">
        <w:rPr>
          <w:rFonts w:cs="Times New Roman"/>
        </w:rPr>
        <w:t xml:space="preserve">?) </w:t>
      </w:r>
      <w:r w:rsidR="003472C9" w:rsidRPr="00254131">
        <w:rPr>
          <w:rFonts w:cs="Times New Roman"/>
          <w:b/>
          <w:bCs w:val="0"/>
        </w:rPr>
        <w:t>2014-2017 moratorium</w:t>
      </w:r>
      <w:r w:rsidR="003472C9" w:rsidRPr="00CA338C">
        <w:rPr>
          <w:rFonts w:cs="Times New Roman"/>
        </w:rPr>
        <w:t xml:space="preserve"> on SARS</w:t>
      </w:r>
      <w:r w:rsidR="003472C9">
        <w:rPr>
          <w:rFonts w:cs="Times New Roman"/>
        </w:rPr>
        <w:t>-CoV-1</w:t>
      </w:r>
      <w:r w:rsidR="003472C9" w:rsidRPr="00CA338C">
        <w:rPr>
          <w:rFonts w:cs="Times New Roman"/>
        </w:rPr>
        <w:t xml:space="preserve"> and MERS gain-of-function research</w:t>
      </w:r>
      <w:r w:rsidR="003472C9">
        <w:rPr>
          <w:rFonts w:cs="Times New Roman"/>
        </w:rPr>
        <w:t>?</w:t>
      </w:r>
      <w:r w:rsidR="003472C9" w:rsidRPr="00CA338C">
        <w:rPr>
          <w:rStyle w:val="EndnoteReference"/>
          <w:szCs w:val="22"/>
        </w:rPr>
        <w:endnoteReference w:id="509"/>
      </w:r>
      <w:r w:rsidR="003472C9" w:rsidRPr="00CA338C">
        <w:rPr>
          <w:rFonts w:cs="Times New Roman"/>
          <w:vertAlign w:val="superscript"/>
        </w:rPr>
        <w:t>,</w:t>
      </w:r>
      <w:r w:rsidR="003472C9" w:rsidRPr="00CA338C">
        <w:rPr>
          <w:rStyle w:val="EndnoteReference"/>
          <w:szCs w:val="22"/>
        </w:rPr>
        <w:endnoteReference w:id="510"/>
      </w:r>
      <w:r w:rsidR="003472C9" w:rsidRPr="00CA338C">
        <w:rPr>
          <w:rFonts w:cs="Times New Roman"/>
        </w:rPr>
        <w:t xml:space="preserve"> </w:t>
      </w:r>
      <w:r w:rsidR="003472C9">
        <w:rPr>
          <w:rFonts w:cs="Times New Roman"/>
        </w:rPr>
        <w:t>O</w:t>
      </w:r>
      <w:r w:rsidR="003472C9" w:rsidRPr="00CA338C">
        <w:rPr>
          <w:rFonts w:cs="Times New Roman"/>
        </w:rPr>
        <w:t xml:space="preserve">r was </w:t>
      </w:r>
      <w:r w:rsidR="003472C9">
        <w:rPr>
          <w:rFonts w:cs="Times New Roman"/>
        </w:rPr>
        <w:t xml:space="preserve">there a more </w:t>
      </w:r>
      <w:r w:rsidR="003472C9" w:rsidRPr="00475610">
        <w:rPr>
          <w:rFonts w:cs="Times New Roman"/>
          <w:b/>
          <w:bCs w:val="0"/>
        </w:rPr>
        <w:t>strategic reason</w:t>
      </w:r>
      <w:r w:rsidR="003472C9">
        <w:rPr>
          <w:rFonts w:cs="Times New Roman"/>
        </w:rPr>
        <w:t>?</w:t>
      </w:r>
    </w:p>
    <w:p w14:paraId="686808D9" w14:textId="4C00DACE" w:rsidR="003472C9" w:rsidRDefault="004D64FE" w:rsidP="003472C9">
      <w:pPr>
        <w:spacing w:after="240"/>
      </w:pPr>
      <w:r w:rsidRPr="006C26A9">
        <w:t xml:space="preserve">EcoHealth Alliance’s </w:t>
      </w:r>
      <w:r>
        <w:t xml:space="preserve">(EHA) Dr. </w:t>
      </w:r>
      <w:r w:rsidRPr="006C26A9">
        <w:t xml:space="preserve">Daszak also has an extensive </w:t>
      </w:r>
      <w:r>
        <w:t xml:space="preserve">and long-standing </w:t>
      </w:r>
      <w:r w:rsidRPr="006C26A9">
        <w:t xml:space="preserve">collaborative history with Metabiota’s </w:t>
      </w:r>
      <w:r>
        <w:t xml:space="preserve">Dr. </w:t>
      </w:r>
      <w:r w:rsidRPr="006C26A9">
        <w:t>Wolfe</w:t>
      </w:r>
      <w:r w:rsidRPr="00592056">
        <w:t>.</w:t>
      </w:r>
      <w:r>
        <w:rPr>
          <w:rStyle w:val="EndnoteReference"/>
          <w:rFonts w:eastAsiaTheme="majorEastAsia"/>
        </w:rPr>
        <w:endnoteReference w:id="511"/>
      </w:r>
      <w:r>
        <w:t xml:space="preserve"> </w:t>
      </w:r>
      <w:r w:rsidR="003472C9">
        <w:t xml:space="preserve">The USAID’s PREDICT project (Emerging Pandemic Threats </w:t>
      </w:r>
      <w:r w:rsidR="003472C9" w:rsidRPr="00A86DF9">
        <w:t>program</w:t>
      </w:r>
      <w:r w:rsidR="003472C9">
        <w:t xml:space="preserve">, </w:t>
      </w:r>
      <w:r w:rsidR="003472C9" w:rsidRPr="00A86DF9">
        <w:t>2009</w:t>
      </w:r>
      <w:r w:rsidR="003472C9">
        <w:t>) lists EHA and Metabiota</w:t>
      </w:r>
      <w:r w:rsidR="003472C9" w:rsidRPr="00BE158C">
        <w:t xml:space="preserve"> </w:t>
      </w:r>
      <w:r w:rsidR="003472C9">
        <w:t>as core implementing partners,</w:t>
      </w:r>
      <w:r w:rsidR="003472C9" w:rsidRPr="00125340">
        <w:rPr>
          <w:rStyle w:val="EndnoteReference"/>
          <w:rFonts w:eastAsiaTheme="majorEastAsia"/>
        </w:rPr>
        <w:endnoteReference w:id="512"/>
      </w:r>
      <w:r w:rsidR="003472C9" w:rsidRPr="00125340">
        <w:rPr>
          <w:vertAlign w:val="superscript"/>
        </w:rPr>
        <w:t>,</w:t>
      </w:r>
      <w:r w:rsidR="003472C9">
        <w:rPr>
          <w:rStyle w:val="EndnoteReference"/>
          <w:rFonts w:eastAsiaTheme="majorEastAsia"/>
        </w:rPr>
        <w:endnoteReference w:id="513"/>
      </w:r>
      <w:r w:rsidR="003472C9">
        <w:t xml:space="preserve"> while its successor the Global Virome Project lists Dr. Daszak and Metabiota’s Chief Scientific Officer in its leadership team.</w:t>
      </w:r>
      <w:r w:rsidR="003472C9">
        <w:rPr>
          <w:rStyle w:val="EndnoteReference"/>
          <w:rFonts w:eastAsiaTheme="majorEastAsia"/>
        </w:rPr>
        <w:endnoteReference w:id="514"/>
      </w:r>
      <w:r w:rsidR="003472C9">
        <w:t xml:space="preserve"> R</w:t>
      </w:r>
      <w:r w:rsidR="003472C9" w:rsidRPr="00CD3242">
        <w:t xml:space="preserve">esearchers from </w:t>
      </w:r>
      <w:r w:rsidR="003472C9">
        <w:t>EHA</w:t>
      </w:r>
      <w:r w:rsidR="003472C9" w:rsidRPr="00CD3242">
        <w:t>, Metabiota</w:t>
      </w:r>
      <w:r w:rsidR="00AC5197">
        <w:t>,</w:t>
      </w:r>
      <w:r w:rsidR="003472C9">
        <w:t xml:space="preserve"> and the </w:t>
      </w:r>
      <w:r w:rsidR="003472C9" w:rsidRPr="00CD3242">
        <w:t>W</w:t>
      </w:r>
      <w:r w:rsidR="003472C9">
        <w:t>uhan-</w:t>
      </w:r>
      <w:r w:rsidR="003472C9" w:rsidRPr="00CD3242">
        <w:t>IV (</w:t>
      </w:r>
      <w:r w:rsidR="003472C9">
        <w:t xml:space="preserve">Dr. </w:t>
      </w:r>
      <w:r w:rsidR="003472C9" w:rsidRPr="00CD3242">
        <w:t>Zhengli Shi)</w:t>
      </w:r>
      <w:r w:rsidR="003472C9">
        <w:t xml:space="preserve"> </w:t>
      </w:r>
      <w:r w:rsidR="003472C9" w:rsidRPr="00CD3242">
        <w:t xml:space="preserve">collaborated on a study </w:t>
      </w:r>
      <w:r w:rsidR="009A4DFC">
        <w:t>on</w:t>
      </w:r>
      <w:r w:rsidR="003472C9" w:rsidRPr="00CD3242">
        <w:t xml:space="preserve"> b</w:t>
      </w:r>
      <w:r w:rsidR="003472C9">
        <w:t>at infectious diseases in China.</w:t>
      </w:r>
      <w:r w:rsidR="003472C9" w:rsidRPr="00CD3242">
        <w:rPr>
          <w:rStyle w:val="EndnoteReference"/>
          <w:rFonts w:eastAsiaTheme="majorEastAsia"/>
        </w:rPr>
        <w:endnoteReference w:id="515"/>
      </w:r>
      <w:r w:rsidR="003472C9">
        <w:t xml:space="preserve"> Likewise, EHA and Metabiota collaborated in numerous studies, including g</w:t>
      </w:r>
      <w:r w:rsidR="003472C9" w:rsidRPr="00343048">
        <w:t xml:space="preserve">lobal patterns in coronavirus diversity </w:t>
      </w:r>
      <w:r w:rsidR="003472C9">
        <w:t>(2017),</w:t>
      </w:r>
      <w:r w:rsidR="003472C9">
        <w:rPr>
          <w:rStyle w:val="EndnoteReference"/>
          <w:rFonts w:eastAsiaTheme="majorEastAsia"/>
        </w:rPr>
        <w:endnoteReference w:id="516"/>
      </w:r>
      <w:r w:rsidR="003472C9">
        <w:t xml:space="preserve"> Africa c</w:t>
      </w:r>
      <w:r w:rsidR="003472C9" w:rsidRPr="00CD3242">
        <w:t>oronavirus surveillance</w:t>
      </w:r>
      <w:r w:rsidR="003472C9">
        <w:t xml:space="preserve"> (2006-2018),</w:t>
      </w:r>
      <w:r w:rsidR="003472C9" w:rsidRPr="00CD3242">
        <w:rPr>
          <w:rStyle w:val="EndnoteReference"/>
          <w:rFonts w:eastAsiaTheme="majorEastAsia"/>
        </w:rPr>
        <w:endnoteReference w:id="517"/>
      </w:r>
      <w:r w:rsidR="003472C9">
        <w:t xml:space="preserve"> China wildlife-zoonosis risk,</w:t>
      </w:r>
      <w:r w:rsidR="003472C9">
        <w:rPr>
          <w:rStyle w:val="EndnoteReference"/>
          <w:rFonts w:eastAsiaTheme="majorEastAsia" w:cs="Times New Roman"/>
        </w:rPr>
        <w:endnoteReference w:id="518"/>
      </w:r>
      <w:r w:rsidR="003472C9">
        <w:t xml:space="preserve"> viral diversity,</w:t>
      </w:r>
      <w:r w:rsidR="003472C9" w:rsidRPr="00CD3242">
        <w:rPr>
          <w:rStyle w:val="EndnoteReference"/>
          <w:rFonts w:eastAsiaTheme="majorEastAsia"/>
        </w:rPr>
        <w:endnoteReference w:id="519"/>
      </w:r>
      <w:r w:rsidR="003472C9">
        <w:t xml:space="preserve"> </w:t>
      </w:r>
      <w:r w:rsidR="003472C9" w:rsidRPr="00CD3242">
        <w:t>Henipavirus</w:t>
      </w:r>
      <w:r w:rsidR="003472C9">
        <w:t>es</w:t>
      </w:r>
      <w:r w:rsidR="003472C9" w:rsidRPr="00CD3242">
        <w:t>,</w:t>
      </w:r>
      <w:r w:rsidR="003472C9" w:rsidRPr="00CD3242">
        <w:rPr>
          <w:rStyle w:val="EndnoteReference"/>
          <w:rFonts w:eastAsiaTheme="majorEastAsia"/>
        </w:rPr>
        <w:endnoteReference w:id="520"/>
      </w:r>
      <w:r w:rsidR="003472C9">
        <w:t xml:space="preserve"> Ebola,</w:t>
      </w:r>
      <w:r w:rsidR="003472C9" w:rsidRPr="00CD3242">
        <w:rPr>
          <w:rStyle w:val="EndnoteReference"/>
          <w:rFonts w:eastAsiaTheme="majorEastAsia"/>
        </w:rPr>
        <w:endnoteReference w:id="521"/>
      </w:r>
      <w:r w:rsidR="003472C9">
        <w:t xml:space="preserve"> Herpes,</w:t>
      </w:r>
      <w:r w:rsidR="003472C9" w:rsidRPr="00CD3242">
        <w:rPr>
          <w:rStyle w:val="EndnoteReference"/>
          <w:rFonts w:eastAsiaTheme="majorEastAsia"/>
        </w:rPr>
        <w:endnoteReference w:id="522"/>
      </w:r>
      <w:r w:rsidR="003472C9">
        <w:t xml:space="preserve"> and Flaviviruses in bats.</w:t>
      </w:r>
      <w:r w:rsidR="003472C9">
        <w:rPr>
          <w:rStyle w:val="EndnoteReference"/>
          <w:rFonts w:eastAsiaTheme="majorEastAsia"/>
        </w:rPr>
        <w:endnoteReference w:id="523"/>
      </w:r>
      <w:r w:rsidR="003472C9">
        <w:t xml:space="preserve"> This collaborative research was </w:t>
      </w:r>
      <w:r w:rsidR="009A4DFC">
        <w:t xml:space="preserve">variously </w:t>
      </w:r>
      <w:r w:rsidR="003472C9">
        <w:t xml:space="preserve">funded </w:t>
      </w:r>
      <w:r>
        <w:t>by</w:t>
      </w:r>
      <w:r w:rsidR="003472C9">
        <w:t xml:space="preserve"> </w:t>
      </w:r>
      <w:r>
        <w:t xml:space="preserve">the </w:t>
      </w:r>
      <w:r w:rsidR="003472C9">
        <w:t xml:space="preserve">USAID PREDICT project, </w:t>
      </w:r>
      <w:r w:rsidR="003472C9" w:rsidRPr="0018525C">
        <w:t>Google.org</w:t>
      </w:r>
      <w:r w:rsidR="003472C9">
        <w:t xml:space="preserve">, </w:t>
      </w:r>
      <w:r w:rsidR="003472C9" w:rsidRPr="00EA3939">
        <w:t xml:space="preserve">the </w:t>
      </w:r>
      <w:r w:rsidR="003472C9">
        <w:t xml:space="preserve">Skoll and </w:t>
      </w:r>
      <w:r w:rsidR="003472C9" w:rsidRPr="00EA3939">
        <w:t>Rockefeller Foundation</w:t>
      </w:r>
      <w:r w:rsidR="003472C9">
        <w:t>s,</w:t>
      </w:r>
      <w:r w:rsidR="003472C9" w:rsidRPr="00EA3939">
        <w:t xml:space="preserve"> </w:t>
      </w:r>
      <w:r w:rsidR="003472C9">
        <w:t>and</w:t>
      </w:r>
      <w:r w:rsidR="003472C9" w:rsidRPr="00EA3939">
        <w:t xml:space="preserve"> </w:t>
      </w:r>
      <w:r w:rsidR="003472C9">
        <w:t>the DoD.</w:t>
      </w:r>
      <w:r w:rsidR="003472C9" w:rsidRPr="00CD3242">
        <w:rPr>
          <w:rStyle w:val="EndnoteReference"/>
          <w:rFonts w:eastAsiaTheme="majorEastAsia"/>
        </w:rPr>
        <w:endnoteReference w:id="524"/>
      </w:r>
      <w:r w:rsidR="003472C9">
        <w:t xml:space="preserve"> </w:t>
      </w:r>
    </w:p>
    <w:p w14:paraId="35766CEE" w14:textId="2D6B7E3E" w:rsidR="004C5C79" w:rsidRDefault="004C5C79" w:rsidP="004C5C79">
      <w:pPr>
        <w:spacing w:after="240"/>
      </w:pPr>
      <w:r w:rsidRPr="00D4758C">
        <w:t>Metabiota is a pand</w:t>
      </w:r>
      <w:r>
        <w:t>emic tracking and response firm</w:t>
      </w:r>
      <w:r w:rsidRPr="00D4758C">
        <w:t xml:space="preserve"> that </w:t>
      </w:r>
      <w:r w:rsidRPr="00D4758C">
        <w:rPr>
          <w:rFonts w:cs="Times New Roman"/>
        </w:rPr>
        <w:t>sells pandemic insurance</w:t>
      </w:r>
      <w:r w:rsidRPr="00D4758C">
        <w:t>, conducts zoonotic pathogen research</w:t>
      </w:r>
      <w:r>
        <w:t>, and operates Biolabs</w:t>
      </w:r>
      <w:r w:rsidRPr="00D4758C">
        <w:t xml:space="preserve"> in Ukraine, </w:t>
      </w:r>
      <w:r>
        <w:t xml:space="preserve">Georgia, and </w:t>
      </w:r>
      <w:r w:rsidRPr="00D4758C">
        <w:t xml:space="preserve">Cameroon, </w:t>
      </w:r>
      <w:r>
        <w:t>among</w:t>
      </w:r>
      <w:r w:rsidRPr="00D4758C">
        <w:t xml:space="preserve"> other </w:t>
      </w:r>
      <w:r>
        <w:t>countries</w:t>
      </w:r>
      <w:r w:rsidRPr="00D4758C">
        <w:t>.</w:t>
      </w:r>
      <w:r w:rsidRPr="00D4758C">
        <w:rPr>
          <w:rStyle w:val="EndnoteReference"/>
          <w:rFonts w:eastAsiaTheme="majorEastAsia"/>
        </w:rPr>
        <w:endnoteReference w:id="525"/>
      </w:r>
      <w:r w:rsidRPr="00D4758C">
        <w:rPr>
          <w:rFonts w:cs="Times New Roman"/>
        </w:rPr>
        <w:t xml:space="preserve"> </w:t>
      </w:r>
      <w:r>
        <w:t>In</w:t>
      </w:r>
      <w:r w:rsidRPr="00D4758C">
        <w:t xml:space="preserve"> 2014 Metabiota was awarded a $23.9 million </w:t>
      </w:r>
      <w:r>
        <w:t xml:space="preserve">contract </w:t>
      </w:r>
      <w:r w:rsidRPr="00D4758C">
        <w:t>from DoD/DTRA for unspecified R&amp;D programs and services in Ukraine</w:t>
      </w:r>
      <w:r w:rsidRPr="00D838FA">
        <w:t xml:space="preserve"> </w:t>
      </w:r>
      <w:r w:rsidRPr="00D4758C">
        <w:t>and Georgia.</w:t>
      </w:r>
      <w:r w:rsidRPr="00D4758C">
        <w:rPr>
          <w:rStyle w:val="EndnoteReference"/>
          <w:rFonts w:eastAsiaTheme="majorEastAsia"/>
        </w:rPr>
        <w:endnoteReference w:id="526"/>
      </w:r>
      <w:r w:rsidRPr="00D4758C">
        <w:rPr>
          <w:vertAlign w:val="superscript"/>
        </w:rPr>
        <w:t xml:space="preserve"> </w:t>
      </w:r>
      <w:r>
        <w:rPr>
          <w:rFonts w:cs="Times New Roman"/>
        </w:rPr>
        <w:t>Metabiota also shared</w:t>
      </w:r>
      <w:r w:rsidRPr="00D4758C">
        <w:rPr>
          <w:rFonts w:cs="Times New Roman"/>
        </w:rPr>
        <w:t xml:space="preserve"> an office with Black &amp; Veatch in Kyiv,</w:t>
      </w:r>
      <w:r w:rsidRPr="00D4758C">
        <w:rPr>
          <w:rStyle w:val="EndnoteReference"/>
          <w:rFonts w:eastAsiaTheme="majorEastAsia" w:cs="Times New Roman"/>
        </w:rPr>
        <w:endnoteReference w:id="527"/>
      </w:r>
      <w:r w:rsidRPr="00D4758C">
        <w:rPr>
          <w:rFonts w:cs="Times New Roman"/>
        </w:rPr>
        <w:t xml:space="preserve"> </w:t>
      </w:r>
      <w:r w:rsidRPr="00D4758C">
        <w:rPr>
          <w:rFonts w:cs="Times New Roman"/>
        </w:rPr>
        <w:lastRenderedPageBreak/>
        <w:t xml:space="preserve">and participated </w:t>
      </w:r>
      <w:r>
        <w:rPr>
          <w:rFonts w:cs="Times New Roman"/>
        </w:rPr>
        <w:t>alongside</w:t>
      </w:r>
      <w:r w:rsidRPr="00D4758C">
        <w:rPr>
          <w:rFonts w:cs="Times New Roman"/>
        </w:rPr>
        <w:t xml:space="preserve"> </w:t>
      </w:r>
      <w:r w:rsidR="007110FD">
        <w:rPr>
          <w:rFonts w:cs="Times New Roman"/>
        </w:rPr>
        <w:t xml:space="preserve">the </w:t>
      </w:r>
      <w:r w:rsidRPr="00D4758C">
        <w:rPr>
          <w:rFonts w:cs="Times New Roman"/>
        </w:rPr>
        <w:t xml:space="preserve">DoD and </w:t>
      </w:r>
      <w:r>
        <w:rPr>
          <w:rFonts w:cs="Times New Roman"/>
        </w:rPr>
        <w:t>Black &amp; Veatch i</w:t>
      </w:r>
      <w:r w:rsidRPr="00D4758C">
        <w:rPr>
          <w:rFonts w:cs="Times New Roman"/>
        </w:rPr>
        <w:t xml:space="preserve">n </w:t>
      </w:r>
      <w:r>
        <w:t>regional biosecurity meetings</w:t>
      </w:r>
      <w:r w:rsidRPr="00D4758C">
        <w:t>.</w:t>
      </w:r>
      <w:r w:rsidRPr="00D4758C">
        <w:rPr>
          <w:rStyle w:val="EndnoteReference"/>
          <w:rFonts w:eastAsiaTheme="majorEastAsia"/>
        </w:rPr>
        <w:endnoteReference w:id="528"/>
      </w:r>
    </w:p>
    <w:p w14:paraId="0B323618" w14:textId="04F36CE3" w:rsidR="00E42007" w:rsidRDefault="004C5C79" w:rsidP="001C2E2B">
      <w:pPr>
        <w:spacing w:after="240"/>
      </w:pPr>
      <w:r w:rsidRPr="00DF7309">
        <w:t>The $23.9 million DoD/DTRA contract in 2014 likely assisted Metabiota’s $30 million Series-A investment in 2015,</w:t>
      </w:r>
      <w:r w:rsidRPr="00DF7309">
        <w:rPr>
          <w:rStyle w:val="EndnoteReference"/>
          <w:rFonts w:eastAsiaTheme="majorEastAsia"/>
        </w:rPr>
        <w:endnoteReference w:id="529"/>
      </w:r>
      <w:r w:rsidRPr="00DF7309">
        <w:t xml:space="preserve"> which </w:t>
      </w:r>
      <w:r w:rsidRPr="00DF7309">
        <w:rPr>
          <w:rFonts w:cs="Times New Roman"/>
        </w:rPr>
        <w:t>Rosemont Seneca Technology Partners</w:t>
      </w:r>
      <w:r w:rsidRPr="00DF7309">
        <w:t xml:space="preserve"> led (RSTP),</w:t>
      </w:r>
      <w:r w:rsidRPr="00DF7309">
        <w:rPr>
          <w:rStyle w:val="EndnoteReference"/>
          <w:rFonts w:eastAsiaTheme="majorEastAsia" w:cs="Times New Roman"/>
        </w:rPr>
        <w:endnoteReference w:id="530"/>
      </w:r>
      <w:r w:rsidRPr="00DF7309">
        <w:rPr>
          <w:rFonts w:cs="Times New Roman"/>
        </w:rPr>
        <w:t xml:space="preserve"> and </w:t>
      </w:r>
      <w:r w:rsidRPr="00DF7309">
        <w:t>included Google Ventures in the syndicate.</w:t>
      </w:r>
      <w:r w:rsidRPr="00DF7309">
        <w:rPr>
          <w:rStyle w:val="EndnoteReference"/>
          <w:rFonts w:eastAsiaTheme="majorEastAsia" w:cs="Times New Roman"/>
        </w:rPr>
        <w:endnoteReference w:id="531"/>
      </w:r>
      <w:r w:rsidRPr="00DF7309">
        <w:rPr>
          <w:rFonts w:cs="Times New Roman"/>
          <w:vertAlign w:val="superscript"/>
        </w:rPr>
        <w:t>,</w:t>
      </w:r>
      <w:r w:rsidRPr="00DF7309">
        <w:rPr>
          <w:rStyle w:val="EndnoteReference"/>
          <w:rFonts w:eastAsiaTheme="majorEastAsia"/>
        </w:rPr>
        <w:endnoteReference w:id="532"/>
      </w:r>
      <w:r w:rsidRPr="00DF7309">
        <w:rPr>
          <w:vertAlign w:val="superscript"/>
        </w:rPr>
        <w:t xml:space="preserve"> </w:t>
      </w:r>
      <w:r w:rsidRPr="00DF7309">
        <w:t xml:space="preserve">RSTP was an offshoot of Rosemont Capital, an investment firm founded in 2009 by </w:t>
      </w:r>
      <w:r w:rsidRPr="00DF7309">
        <w:rPr>
          <w:b/>
          <w:bCs w:val="0"/>
        </w:rPr>
        <w:t xml:space="preserve">Hunter Biden </w:t>
      </w:r>
      <w:r w:rsidRPr="00DF7309">
        <w:t>and Christopher Heinz (stepson of former US Secretary of State John Kerry).</w:t>
      </w:r>
      <w:r w:rsidRPr="00DF7309">
        <w:rPr>
          <w:rFonts w:cs="Times New Roman"/>
        </w:rPr>
        <w:t xml:space="preserve"> </w:t>
      </w:r>
      <w:r w:rsidR="001C2E2B" w:rsidRPr="00DF7309">
        <w:rPr>
          <w:rFonts w:cs="Times New Roman"/>
        </w:rPr>
        <w:t xml:space="preserve">Emails retrieved from Hunter </w:t>
      </w:r>
      <w:r w:rsidR="001C2E2B" w:rsidRPr="00DF7309">
        <w:t>Biden’s abandoned laptop</w:t>
      </w:r>
      <w:r w:rsidR="00E42007">
        <w:t xml:space="preserve"> (i.e., “</w:t>
      </w:r>
      <w:r w:rsidR="00E42007" w:rsidRPr="004862F9">
        <w:rPr>
          <w:i/>
          <w:iCs/>
        </w:rPr>
        <w:t xml:space="preserve">the </w:t>
      </w:r>
      <w:r w:rsidR="00E42007" w:rsidRPr="00601874">
        <w:rPr>
          <w:i/>
        </w:rPr>
        <w:t xml:space="preserve">Biden Laptop illuminated previously convoluted webs of the people you see </w:t>
      </w:r>
      <w:r w:rsidR="00E42007" w:rsidRPr="006D38A5">
        <w:rPr>
          <w:b/>
          <w:i/>
        </w:rPr>
        <w:t>leading the charge for global governanc</w:t>
      </w:r>
      <w:r w:rsidR="00E42007">
        <w:rPr>
          <w:b/>
          <w:i/>
        </w:rPr>
        <w:t>e</w:t>
      </w:r>
      <w:r w:rsidR="00E42007">
        <w:t>”)</w:t>
      </w:r>
      <w:r w:rsidR="00E42007">
        <w:rPr>
          <w:rStyle w:val="EndnoteReference"/>
          <w:rFonts w:eastAsiaTheme="majorEastAsia"/>
        </w:rPr>
        <w:endnoteReference w:id="533"/>
      </w:r>
      <w:r w:rsidR="00E42007">
        <w:t xml:space="preserve"> </w:t>
      </w:r>
      <w:r w:rsidR="001C2E2B" w:rsidRPr="00DF7309">
        <w:t>implicated him as a key decision-maker in 2014 between Metabiota</w:t>
      </w:r>
      <w:r w:rsidR="00C078E6">
        <w:t xml:space="preserve"> and</w:t>
      </w:r>
      <w:r w:rsidR="001C2E2B" w:rsidRPr="00DF7309">
        <w:t xml:space="preserve"> the RSTP investment committee</w:t>
      </w:r>
      <w:r w:rsidR="00475610">
        <w:t xml:space="preserve"> </w:t>
      </w:r>
      <w:r w:rsidR="00E42007">
        <w:t>while</w:t>
      </w:r>
      <w:r w:rsidR="00475610">
        <w:t xml:space="preserve"> he made</w:t>
      </w:r>
      <w:r w:rsidR="001C2E2B" w:rsidRPr="00DF7309">
        <w:t xml:space="preserve"> </w:t>
      </w:r>
      <w:r w:rsidR="00C078E6">
        <w:t xml:space="preserve">an investment pitch </w:t>
      </w:r>
      <w:r w:rsidR="00E42007">
        <w:t>to</w:t>
      </w:r>
      <w:r w:rsidR="00C078E6">
        <w:t xml:space="preserve"> </w:t>
      </w:r>
      <w:r w:rsidR="001C2E2B" w:rsidRPr="00DF7309">
        <w:t xml:space="preserve">Burisma executive </w:t>
      </w:r>
      <w:proofErr w:type="spellStart"/>
      <w:r w:rsidR="001C2E2B" w:rsidRPr="00DF7309">
        <w:t>Vadym</w:t>
      </w:r>
      <w:proofErr w:type="spellEnd"/>
      <w:r w:rsidR="001C2E2B" w:rsidRPr="00DF7309">
        <w:t xml:space="preserve"> </w:t>
      </w:r>
      <w:proofErr w:type="spellStart"/>
      <w:r w:rsidR="001C2E2B" w:rsidRPr="00DF7309">
        <w:t>Pozharskyi</w:t>
      </w:r>
      <w:proofErr w:type="spellEnd"/>
      <w:r w:rsidR="001C2E2B" w:rsidRPr="00DF7309">
        <w:t xml:space="preserve"> about the “</w:t>
      </w:r>
      <w:r w:rsidR="001C2E2B" w:rsidRPr="0091619D">
        <w:rPr>
          <w:b/>
          <w:bCs w:val="0"/>
        </w:rPr>
        <w:t>Ukraine Science</w:t>
      </w:r>
      <w:r w:rsidR="001C2E2B" w:rsidRPr="00DF7309">
        <w:t>”</w:t>
      </w:r>
      <w:r w:rsidR="00E42007">
        <w:t xml:space="preserve"> (see next)</w:t>
      </w:r>
      <w:r w:rsidR="0091619D">
        <w:t>.</w:t>
      </w:r>
      <w:r w:rsidR="001C2E2B" w:rsidRPr="00DF7309">
        <w:rPr>
          <w:rStyle w:val="EndnoteReference"/>
        </w:rPr>
        <w:endnoteReference w:id="534"/>
      </w:r>
      <w:r w:rsidR="001C2E2B" w:rsidRPr="00DF7309">
        <w:rPr>
          <w:vertAlign w:val="superscript"/>
        </w:rPr>
        <w:t>,</w:t>
      </w:r>
      <w:r w:rsidR="001C2E2B" w:rsidRPr="00DF7309">
        <w:rPr>
          <w:rStyle w:val="EndnoteReference"/>
          <w:rFonts w:eastAsiaTheme="majorEastAsia"/>
        </w:rPr>
        <w:endnoteReference w:id="535"/>
      </w:r>
      <w:r w:rsidR="001C2E2B" w:rsidRPr="00DF7309">
        <w:t xml:space="preserve"> </w:t>
      </w:r>
      <w:r w:rsidR="0091619D">
        <w:t xml:space="preserve">After this funding round, </w:t>
      </w:r>
      <w:r w:rsidR="00C078E6">
        <w:t xml:space="preserve">Hunter Biden may </w:t>
      </w:r>
      <w:r w:rsidR="00980110">
        <w:t xml:space="preserve">have </w:t>
      </w:r>
      <w:r w:rsidR="00E42007">
        <w:t xml:space="preserve">publicly </w:t>
      </w:r>
      <w:r w:rsidR="00C078E6">
        <w:t>distance</w:t>
      </w:r>
      <w:r w:rsidR="00E42007">
        <w:t>d</w:t>
      </w:r>
      <w:r w:rsidR="00C078E6">
        <w:t xml:space="preserve"> himself from RSTP because his </w:t>
      </w:r>
      <w:r w:rsidR="00B136DB">
        <w:t xml:space="preserve">name </w:t>
      </w:r>
      <w:r w:rsidR="0091619D">
        <w:t>was</w:t>
      </w:r>
      <w:r w:rsidR="00C078E6">
        <w:t xml:space="preserve"> removed </w:t>
      </w:r>
      <w:r w:rsidR="00B136DB">
        <w:t xml:space="preserve">from RSTP’s website </w:t>
      </w:r>
      <w:r w:rsidR="004862F9">
        <w:t>in</w:t>
      </w:r>
      <w:r w:rsidR="0091619D">
        <w:t xml:space="preserve"> 2015</w:t>
      </w:r>
      <w:r w:rsidR="00C078E6">
        <w:t>.</w:t>
      </w:r>
      <w:r w:rsidR="00C078E6" w:rsidRPr="00B06188">
        <w:rPr>
          <w:rStyle w:val="EndnoteReference"/>
          <w:rFonts w:eastAsiaTheme="majorEastAsia"/>
        </w:rPr>
        <w:endnoteReference w:id="536"/>
      </w:r>
      <w:r w:rsidR="00C078E6">
        <w:rPr>
          <w:rStyle w:val="EndnoteReference"/>
          <w:rFonts w:eastAsiaTheme="majorEastAsia"/>
        </w:rPr>
        <w:t>,</w:t>
      </w:r>
      <w:r w:rsidR="00C078E6" w:rsidRPr="00B06188">
        <w:rPr>
          <w:rStyle w:val="EndnoteReference"/>
          <w:rFonts w:eastAsiaTheme="majorEastAsia" w:cs="Times New Roman"/>
        </w:rPr>
        <w:endnoteReference w:id="537"/>
      </w:r>
      <w:r w:rsidR="00C078E6">
        <w:t xml:space="preserve"> </w:t>
      </w:r>
      <w:r w:rsidR="00C078E6">
        <w:rPr>
          <w:rFonts w:cs="Times New Roman"/>
        </w:rPr>
        <w:t xml:space="preserve">However, Hunter Biden </w:t>
      </w:r>
      <w:r w:rsidR="004862F9">
        <w:rPr>
          <w:rFonts w:cs="Times New Roman"/>
        </w:rPr>
        <w:t xml:space="preserve">was still connected with RSTP </w:t>
      </w:r>
      <w:r w:rsidR="00E42007">
        <w:rPr>
          <w:rFonts w:cs="Times New Roman"/>
        </w:rPr>
        <w:t>as</w:t>
      </w:r>
      <w:r w:rsidR="004862F9">
        <w:rPr>
          <w:rFonts w:cs="Times New Roman"/>
        </w:rPr>
        <w:t xml:space="preserve"> </w:t>
      </w:r>
      <w:r w:rsidR="001C2E2B" w:rsidRPr="00B06188">
        <w:rPr>
          <w:rFonts w:cs="Times New Roman"/>
        </w:rPr>
        <w:t>Fox Business</w:t>
      </w:r>
      <w:r w:rsidR="00E42007">
        <w:rPr>
          <w:rFonts w:cs="Times New Roman"/>
        </w:rPr>
        <w:t>’s</w:t>
      </w:r>
      <w:r w:rsidR="001C2E2B" w:rsidRPr="00B06188">
        <w:rPr>
          <w:rFonts w:cs="Times New Roman"/>
        </w:rPr>
        <w:t xml:space="preserve"> </w:t>
      </w:r>
      <w:r w:rsidR="004862F9">
        <w:rPr>
          <w:rFonts w:cs="Times New Roman"/>
        </w:rPr>
        <w:t>posted Biden emails show</w:t>
      </w:r>
      <w:r w:rsidR="00E42007">
        <w:rPr>
          <w:rFonts w:cs="Times New Roman"/>
        </w:rPr>
        <w:t>ed</w:t>
      </w:r>
      <w:r w:rsidR="001C2E2B" w:rsidRPr="00B06188">
        <w:rPr>
          <w:rFonts w:cs="Times New Roman"/>
        </w:rPr>
        <w:t xml:space="preserve"> </w:t>
      </w:r>
      <w:r w:rsidR="00C078E6">
        <w:rPr>
          <w:rFonts w:cs="Times New Roman"/>
        </w:rPr>
        <w:t>he</w:t>
      </w:r>
      <w:r w:rsidR="001C2E2B" w:rsidRPr="00B06188">
        <w:rPr>
          <w:rFonts w:cs="Times New Roman"/>
        </w:rPr>
        <w:t xml:space="preserve"> still owned shares in RSTP (2017) and was </w:t>
      </w:r>
      <w:r w:rsidR="001C2E2B" w:rsidRPr="00B06188">
        <w:t xml:space="preserve">communicating with RSTP executives </w:t>
      </w:r>
      <w:r w:rsidR="0091619D">
        <w:t>about</w:t>
      </w:r>
      <w:r w:rsidR="001C2E2B" w:rsidRPr="00B06188">
        <w:t xml:space="preserve"> RSTP </w:t>
      </w:r>
      <w:r w:rsidR="0091619D" w:rsidRPr="00B06188">
        <w:t xml:space="preserve">investments </w:t>
      </w:r>
      <w:r w:rsidR="00980110">
        <w:t xml:space="preserve">in </w:t>
      </w:r>
      <w:r w:rsidR="001C2E2B" w:rsidRPr="00B06188">
        <w:t>2016</w:t>
      </w:r>
      <w:r w:rsidR="001C2E2B">
        <w:t>-</w:t>
      </w:r>
      <w:r w:rsidR="001C2E2B" w:rsidRPr="00B06188">
        <w:t>17.</w:t>
      </w:r>
      <w:r w:rsidR="001C2E2B" w:rsidRPr="00B06188">
        <w:rPr>
          <w:rStyle w:val="EndnoteReference"/>
          <w:rFonts w:eastAsiaTheme="majorEastAsia" w:cs="Times New Roman"/>
        </w:rPr>
        <w:endnoteReference w:id="538"/>
      </w:r>
      <w:r w:rsidR="001C2E2B" w:rsidRPr="00B06188">
        <w:t xml:space="preserve"> </w:t>
      </w:r>
      <w:r w:rsidR="001C2E2B" w:rsidRPr="00AC39B2">
        <w:t>Th</w:t>
      </w:r>
      <w:r w:rsidR="001C2E2B">
        <w:t>is</w:t>
      </w:r>
      <w:r w:rsidR="00E42007">
        <w:t xml:space="preserve"> </w:t>
      </w:r>
      <w:r w:rsidR="001C2E2B" w:rsidRPr="00AC39B2">
        <w:t xml:space="preserve">connected Biden with Metabiota and the Ukraine Science during the DoD Ukraine contract period while he was generously paid as a Burisma board member. </w:t>
      </w:r>
    </w:p>
    <w:p w14:paraId="1B3DAFAB" w14:textId="103C7049" w:rsidR="004C5C79" w:rsidRPr="00DF7309" w:rsidRDefault="00DF7309" w:rsidP="004C5C79">
      <w:pPr>
        <w:spacing w:after="240"/>
        <w:rPr>
          <w:vertAlign w:val="superscript"/>
        </w:rPr>
      </w:pPr>
      <w:r w:rsidRPr="00DF7309">
        <w:t xml:space="preserve">One </w:t>
      </w:r>
      <w:r w:rsidR="00602739">
        <w:t xml:space="preserve">Biden laptop </w:t>
      </w:r>
      <w:r w:rsidR="00E42007">
        <w:t xml:space="preserve">Ukraine </w:t>
      </w:r>
      <w:r w:rsidR="00980110">
        <w:t>Science-related</w:t>
      </w:r>
      <w:r w:rsidR="00E42007">
        <w:t xml:space="preserve"> </w:t>
      </w:r>
      <w:r w:rsidRPr="00DF7309">
        <w:t xml:space="preserve">email </w:t>
      </w:r>
      <w:r w:rsidR="004862F9" w:rsidRPr="00DF7309">
        <w:t>stood out</w:t>
      </w:r>
      <w:r w:rsidR="004862F9">
        <w:t xml:space="preserve"> as </w:t>
      </w:r>
      <w:r w:rsidR="004862F9" w:rsidRPr="00C078E6">
        <w:rPr>
          <w:b/>
          <w:bCs w:val="0"/>
        </w:rPr>
        <w:t xml:space="preserve">very </w:t>
      </w:r>
      <w:r w:rsidR="00204EA9">
        <w:rPr>
          <w:b/>
          <w:bCs w:val="0"/>
        </w:rPr>
        <w:t>strange</w:t>
      </w:r>
      <w:r w:rsidR="004862F9">
        <w:t xml:space="preserve"> coming from a biotech executive</w:t>
      </w:r>
      <w:r w:rsidR="004862F9" w:rsidRPr="00DF7309">
        <w:t xml:space="preserve"> </w:t>
      </w:r>
      <w:r w:rsidR="004862F9">
        <w:t>(i.e.,</w:t>
      </w:r>
      <w:r w:rsidRPr="00DF7309">
        <w:t xml:space="preserve"> Metabiota</w:t>
      </w:r>
      <w:r w:rsidR="004862F9">
        <w:t xml:space="preserve">) </w:t>
      </w:r>
      <w:r w:rsidRPr="00DF7309">
        <w:t xml:space="preserve">to Hunter Biden just after </w:t>
      </w:r>
      <w:r w:rsidR="004862F9">
        <w:t>Russia annexed</w:t>
      </w:r>
      <w:r w:rsidRPr="00DF7309">
        <w:t xml:space="preserve"> Crimea in 2014; </w:t>
      </w:r>
      <w:r w:rsidRPr="00DF7309">
        <w:rPr>
          <w:rFonts w:cs="Times New Roman"/>
        </w:rPr>
        <w:t>“</w:t>
      </w:r>
      <w:r w:rsidR="00E75053" w:rsidRPr="00DF7309">
        <w:rPr>
          <w:rFonts w:cs="Times New Roman"/>
          <w:i/>
          <w:iCs/>
        </w:rPr>
        <w:t xml:space="preserve">I’ve prepared the attached memo, which provides an overview of Metabiota, our engagement in Ukraine, and how we can potentially leverage our team, networks, and concepts to </w:t>
      </w:r>
      <w:r w:rsidR="00E75053" w:rsidRPr="00DF7309">
        <w:rPr>
          <w:rFonts w:cs="Times New Roman"/>
          <w:b/>
          <w:bCs w:val="0"/>
          <w:i/>
          <w:iCs/>
        </w:rPr>
        <w:t>assert Ukraine's cultural and economic independence from Russia</w:t>
      </w:r>
      <w:r w:rsidR="00E75053" w:rsidRPr="00DF7309">
        <w:rPr>
          <w:rFonts w:cs="Times New Roman"/>
          <w:i/>
          <w:iCs/>
        </w:rPr>
        <w:t xml:space="preserve"> and continued integration into Western society</w:t>
      </w:r>
      <w:r w:rsidR="00BF4655">
        <w:t xml:space="preserve"> (</w:t>
      </w:r>
      <w:r w:rsidR="002432BB">
        <w:t xml:space="preserve">now </w:t>
      </w:r>
      <w:r w:rsidR="00BF4655">
        <w:t>fast forward to 2022)</w:t>
      </w:r>
      <w:r w:rsidR="00E75053" w:rsidRPr="00DF7309">
        <w:rPr>
          <w:rFonts w:cs="Times New Roman"/>
        </w:rPr>
        <w:t>.</w:t>
      </w:r>
      <w:r w:rsidR="00E75053" w:rsidRPr="00DF7309">
        <w:rPr>
          <w:rStyle w:val="EndnoteReference"/>
          <w:rFonts w:cs="Times New Roman"/>
        </w:rPr>
        <w:endnoteReference w:id="539"/>
      </w:r>
      <w:r w:rsidR="00E75053" w:rsidRPr="00DF7309">
        <w:t xml:space="preserve"> </w:t>
      </w:r>
      <w:r w:rsidR="00204EA9">
        <w:t xml:space="preserve">How did Metabiota propose to achieve that </w:t>
      </w:r>
      <w:r w:rsidR="00602739">
        <w:t xml:space="preserve">colossal </w:t>
      </w:r>
      <w:r w:rsidR="00B136DB">
        <w:t xml:space="preserve">strategic </w:t>
      </w:r>
      <w:r w:rsidR="00204EA9">
        <w:t xml:space="preserve">feat? </w:t>
      </w:r>
      <w:r w:rsidR="004862F9">
        <w:t>Meanwhile</w:t>
      </w:r>
      <w:r w:rsidR="00DB7332">
        <w:t xml:space="preserve">, </w:t>
      </w:r>
      <w:r w:rsidR="004C5C79" w:rsidRPr="00DF7309">
        <w:t xml:space="preserve">Hunter Biden (2014-2019) and Devon Archer, both RSTP Directors, were paid millions as Burisma directors </w:t>
      </w:r>
      <w:r w:rsidR="004862F9">
        <w:t xml:space="preserve">as confirmed by </w:t>
      </w:r>
      <w:r w:rsidR="00B136DB">
        <w:t>a</w:t>
      </w:r>
      <w:r w:rsidR="00C371D7" w:rsidRPr="00DF7309">
        <w:t xml:space="preserve"> </w:t>
      </w:r>
      <w:r w:rsidR="004C5C79" w:rsidRPr="00DF7309">
        <w:rPr>
          <w:iCs/>
        </w:rPr>
        <w:t>US Senate Committee investigation</w:t>
      </w:r>
      <w:r w:rsidR="004862F9">
        <w:rPr>
          <w:iCs/>
        </w:rPr>
        <w:t>:</w:t>
      </w:r>
      <w:r w:rsidR="004C5C79" w:rsidRPr="00DF7309">
        <w:rPr>
          <w:iCs/>
        </w:rPr>
        <w:t xml:space="preserve"> </w:t>
      </w:r>
      <w:r w:rsidR="00A90AFD" w:rsidRPr="00DF7309">
        <w:rPr>
          <w:b/>
          <w:bCs w:val="0"/>
          <w:iCs/>
        </w:rPr>
        <w:t>“</w:t>
      </w:r>
      <w:r w:rsidR="004C5C79" w:rsidRPr="00DF7309">
        <w:rPr>
          <w:b/>
          <w:bCs w:val="0"/>
          <w:iCs/>
        </w:rPr>
        <w:t>Hunter Biden, Burisma and Corruption</w:t>
      </w:r>
      <w:r w:rsidR="00A90AFD" w:rsidRPr="00DF7309">
        <w:rPr>
          <w:b/>
          <w:bCs w:val="0"/>
          <w:iCs/>
        </w:rPr>
        <w:t>”</w:t>
      </w:r>
      <w:r w:rsidR="00923F1D" w:rsidRPr="00DF7309">
        <w:rPr>
          <w:b/>
          <w:bCs w:val="0"/>
          <w:iCs/>
        </w:rPr>
        <w:t xml:space="preserve"> </w:t>
      </w:r>
      <w:r w:rsidR="004862F9">
        <w:rPr>
          <w:iCs/>
        </w:rPr>
        <w:t xml:space="preserve">(a </w:t>
      </w:r>
      <w:r w:rsidR="00642C30" w:rsidRPr="00DF7309">
        <w:rPr>
          <w:b/>
          <w:bCs w:val="0"/>
          <w:iCs/>
        </w:rPr>
        <w:t>must-read</w:t>
      </w:r>
      <w:r w:rsidR="004C5C79" w:rsidRPr="00DF7309">
        <w:t>)</w:t>
      </w:r>
      <w:r w:rsidR="00AC5197" w:rsidRPr="00DF7309">
        <w:t xml:space="preserve"> during a time </w:t>
      </w:r>
      <w:r w:rsidR="00F04BC9" w:rsidRPr="00DF7309">
        <w:t xml:space="preserve">when </w:t>
      </w:r>
      <w:r w:rsidR="00B136DB">
        <w:t xml:space="preserve">Hunter Biden’s father was </w:t>
      </w:r>
      <w:r w:rsidR="00AC5197" w:rsidRPr="00DF7309">
        <w:t xml:space="preserve">Vice President </w:t>
      </w:r>
      <w:r w:rsidR="00B136DB">
        <w:t>and</w:t>
      </w:r>
      <w:r w:rsidR="004862F9">
        <w:t xml:space="preserve"> the</w:t>
      </w:r>
      <w:r w:rsidR="00AC5197" w:rsidRPr="00DF7309">
        <w:t xml:space="preserve"> “</w:t>
      </w:r>
      <w:r w:rsidR="00AC5197" w:rsidRPr="00DB7332">
        <w:rPr>
          <w:i/>
          <w:iCs/>
        </w:rPr>
        <w:t>public face of the administration’s handling of Ukraine</w:t>
      </w:r>
      <w:r w:rsidR="00AC5197" w:rsidRPr="00DF7309">
        <w:t>.”</w:t>
      </w:r>
      <w:r w:rsidR="004C5C79" w:rsidRPr="00DF7309">
        <w:rPr>
          <w:rStyle w:val="EndnoteReference"/>
          <w:rFonts w:eastAsiaTheme="majorEastAsia"/>
        </w:rPr>
        <w:endnoteReference w:id="540"/>
      </w:r>
      <w:r w:rsidR="00DB7332">
        <w:t xml:space="preserve"> </w:t>
      </w:r>
    </w:p>
    <w:p w14:paraId="29AC8E9B" w14:textId="6F3F52B9" w:rsidR="004C5C79" w:rsidRPr="00FA655E" w:rsidRDefault="004C5C79" w:rsidP="004C5C79">
      <w:pPr>
        <w:spacing w:after="240"/>
        <w:rPr>
          <w:rFonts w:cs="Times New Roman"/>
        </w:rPr>
      </w:pPr>
      <w:r>
        <w:t xml:space="preserve">Dr. Nathan Wolfe is the founder and chair of Metabiota and </w:t>
      </w:r>
      <w:r w:rsidR="00BB64C4">
        <w:t xml:space="preserve">is </w:t>
      </w:r>
      <w:r>
        <w:t xml:space="preserve">a </w:t>
      </w:r>
      <w:r w:rsidRPr="00EE106B">
        <w:t xml:space="preserve">World Economic Forum </w:t>
      </w:r>
      <w:r>
        <w:t xml:space="preserve">(WEF) </w:t>
      </w:r>
      <w:r w:rsidRPr="00EE106B">
        <w:t>Young Global Leader</w:t>
      </w:r>
      <w:r>
        <w:t>,</w:t>
      </w:r>
      <w:r>
        <w:rPr>
          <w:rStyle w:val="EndnoteReference"/>
          <w:rFonts w:eastAsiaTheme="majorEastAsia"/>
        </w:rPr>
        <w:endnoteReference w:id="541"/>
      </w:r>
      <w:r>
        <w:t xml:space="preserve"> and Metabiota was a WEF Technology Pioneer in 2021</w:t>
      </w:r>
      <w:r w:rsidR="00C371D7">
        <w:t xml:space="preserve"> (</w:t>
      </w:r>
      <w:r w:rsidR="00980110">
        <w:t xml:space="preserve">for </w:t>
      </w:r>
      <w:r w:rsidR="00C371D7" w:rsidRPr="00DB7332">
        <w:rPr>
          <w:i/>
          <w:iCs/>
        </w:rPr>
        <w:t>what</w:t>
      </w:r>
      <w:r w:rsidR="00DB7332" w:rsidRPr="00DB7332">
        <w:rPr>
          <w:i/>
          <w:iCs/>
        </w:rPr>
        <w:t xml:space="preserve"> technology</w:t>
      </w:r>
      <w:r w:rsidR="00C371D7">
        <w:t>?)</w:t>
      </w:r>
      <w:r>
        <w:t>.</w:t>
      </w:r>
      <w:r>
        <w:rPr>
          <w:rStyle w:val="EndnoteReference"/>
          <w:rFonts w:eastAsiaTheme="majorEastAsia"/>
        </w:rPr>
        <w:endnoteReference w:id="542"/>
      </w:r>
      <w:r>
        <w:t xml:space="preserve"> Dr. Wolfe served on the editorial board of EcoHealth since 2004 and was on </w:t>
      </w:r>
      <w:r w:rsidR="00A90AFD">
        <w:t>DARPA’s</w:t>
      </w:r>
      <w:r>
        <w:t xml:space="preserve"> Defense Science Research Council between 2008 and its disbandment.</w:t>
      </w:r>
      <w:r>
        <w:rPr>
          <w:rStyle w:val="EndnoteReference"/>
          <w:rFonts w:eastAsiaTheme="majorEastAsia"/>
        </w:rPr>
        <w:endnoteReference w:id="543"/>
      </w:r>
      <w:r>
        <w:t xml:space="preserve"> Dr. Wolfe received more than $20 million from various branches of the DoD, NIH, Google.org, the Skoll and National Science Foundations, and the Gates Foundation, among others.</w:t>
      </w:r>
      <w:r>
        <w:rPr>
          <w:rStyle w:val="EndnoteReference"/>
          <w:rFonts w:eastAsiaTheme="majorEastAsia"/>
        </w:rPr>
        <w:endnoteReference w:id="544"/>
      </w:r>
      <w:r>
        <w:t xml:space="preserve"> </w:t>
      </w:r>
      <w:r w:rsidR="00642C30">
        <w:t>Before</w:t>
      </w:r>
      <w:r>
        <w:t xml:space="preserve"> Metabiota, Dr. </w:t>
      </w:r>
      <w:r w:rsidRPr="005E7DA6">
        <w:rPr>
          <w:rFonts w:cs="Times New Roman"/>
        </w:rPr>
        <w:t xml:space="preserve">Wolfe founded Global Viral and </w:t>
      </w:r>
      <w:r>
        <w:rPr>
          <w:rFonts w:cs="Times New Roman"/>
        </w:rPr>
        <w:t>wa</w:t>
      </w:r>
      <w:r w:rsidRPr="005E7DA6">
        <w:rPr>
          <w:rFonts w:cs="Times New Roman"/>
        </w:rPr>
        <w:t>s director of the Global Viral</w:t>
      </w:r>
      <w:r>
        <w:rPr>
          <w:rFonts w:cs="Times New Roman"/>
        </w:rPr>
        <w:t xml:space="preserve"> Forecasting Initiative, which</w:t>
      </w:r>
      <w:r w:rsidRPr="005E7DA6">
        <w:rPr>
          <w:rFonts w:cs="Times New Roman"/>
        </w:rPr>
        <w:t xml:space="preserve"> received $5.5 million </w:t>
      </w:r>
      <w:r>
        <w:rPr>
          <w:rFonts w:cs="Times New Roman"/>
        </w:rPr>
        <w:t xml:space="preserve">in grants each </w:t>
      </w:r>
      <w:r w:rsidRPr="005E7DA6">
        <w:rPr>
          <w:rFonts w:cs="Times New Roman"/>
        </w:rPr>
        <w:t>from Google</w:t>
      </w:r>
      <w:r>
        <w:rPr>
          <w:rFonts w:cs="Times New Roman"/>
        </w:rPr>
        <w:t>.org</w:t>
      </w:r>
      <w:r w:rsidRPr="005E7DA6">
        <w:rPr>
          <w:rFonts w:cs="Times New Roman"/>
        </w:rPr>
        <w:t xml:space="preserve"> and </w:t>
      </w:r>
      <w:r>
        <w:rPr>
          <w:rFonts w:cs="Times New Roman"/>
        </w:rPr>
        <w:t xml:space="preserve">the Skoll Foundation </w:t>
      </w:r>
      <w:r w:rsidRPr="005E7DA6">
        <w:rPr>
          <w:rFonts w:cs="Times New Roman"/>
        </w:rPr>
        <w:t>to detect early evidence of future pandemics</w:t>
      </w:r>
      <w:r>
        <w:rPr>
          <w:rFonts w:cs="Times New Roman"/>
        </w:rPr>
        <w:t xml:space="preserve"> in </w:t>
      </w:r>
      <w:r w:rsidRPr="00115567">
        <w:rPr>
          <w:rFonts w:cs="Times New Roman"/>
        </w:rPr>
        <w:t>Cameroon, Democratic Republic of Congo, China, Ma</w:t>
      </w:r>
      <w:r>
        <w:rPr>
          <w:rFonts w:cs="Times New Roman"/>
        </w:rPr>
        <w:t>laysia, Lao PDR, and Madagascar</w:t>
      </w:r>
      <w:r w:rsidRPr="005E7DA6">
        <w:rPr>
          <w:rFonts w:cs="Times New Roman"/>
        </w:rPr>
        <w:t>.</w:t>
      </w:r>
      <w:r w:rsidRPr="00247E47">
        <w:rPr>
          <w:rStyle w:val="EndnoteReference"/>
          <w:rFonts w:eastAsiaTheme="majorEastAsia" w:cs="Times New Roman"/>
        </w:rPr>
        <w:endnoteReference w:id="545"/>
      </w:r>
      <w:r>
        <w:rPr>
          <w:rStyle w:val="EndnoteReference"/>
          <w:rFonts w:eastAsiaTheme="majorEastAsia" w:cs="Times New Roman"/>
        </w:rPr>
        <w:t>,</w:t>
      </w:r>
      <w:r w:rsidRPr="00247E47">
        <w:rPr>
          <w:rStyle w:val="EndnoteReference"/>
          <w:rFonts w:eastAsiaTheme="majorEastAsia" w:cs="Times New Roman"/>
        </w:rPr>
        <w:endnoteReference w:id="546"/>
      </w:r>
      <w:r w:rsidRPr="006C26A9">
        <w:rPr>
          <w:rFonts w:cs="Times New Roman"/>
        </w:rPr>
        <w:t xml:space="preserve"> </w:t>
      </w:r>
      <w:r w:rsidRPr="00186BB9">
        <w:rPr>
          <w:rFonts w:cs="Times New Roman"/>
        </w:rPr>
        <w:t>Metabiota implement</w:t>
      </w:r>
      <w:r>
        <w:rPr>
          <w:rFonts w:cs="Times New Roman"/>
        </w:rPr>
        <w:t>ed</w:t>
      </w:r>
      <w:r w:rsidRPr="00186BB9">
        <w:rPr>
          <w:rFonts w:cs="Times New Roman"/>
        </w:rPr>
        <w:t xml:space="preserve"> $38.5 million in grants and contracts mainly </w:t>
      </w:r>
      <w:r>
        <w:rPr>
          <w:rFonts w:cs="Times New Roman"/>
        </w:rPr>
        <w:t>from</w:t>
      </w:r>
      <w:r w:rsidRPr="00186BB9">
        <w:rPr>
          <w:rFonts w:cs="Times New Roman"/>
        </w:rPr>
        <w:t xml:space="preserve"> </w:t>
      </w:r>
      <w:r w:rsidR="00BB64C4">
        <w:rPr>
          <w:rFonts w:cs="Times New Roman"/>
        </w:rPr>
        <w:t xml:space="preserve">the </w:t>
      </w:r>
      <w:r w:rsidRPr="00186BB9">
        <w:rPr>
          <w:rFonts w:cs="Times New Roman"/>
        </w:rPr>
        <w:t>DoD/DTRA and Homeland Security across Central Africa</w:t>
      </w:r>
      <w:r>
        <w:rPr>
          <w:rFonts w:cs="Times New Roman"/>
        </w:rPr>
        <w:t>,</w:t>
      </w:r>
      <w:r w:rsidRPr="00186BB9">
        <w:rPr>
          <w:rStyle w:val="EndnoteReference"/>
          <w:rFonts w:cs="Times New Roman"/>
        </w:rPr>
        <w:endnoteReference w:id="547"/>
      </w:r>
      <w:r w:rsidRPr="00186BB9">
        <w:rPr>
          <w:rFonts w:cs="Times New Roman"/>
          <w:vertAlign w:val="superscript"/>
        </w:rPr>
        <w:t>,</w:t>
      </w:r>
      <w:r w:rsidRPr="00186BB9">
        <w:rPr>
          <w:rStyle w:val="EndnoteReference"/>
          <w:rFonts w:cs="Times New Roman"/>
        </w:rPr>
        <w:endnoteReference w:id="548"/>
      </w:r>
      <w:r w:rsidRPr="00186BB9">
        <w:rPr>
          <w:rFonts w:cs="Times New Roman"/>
        </w:rPr>
        <w:t xml:space="preserve"> </w:t>
      </w:r>
      <w:r>
        <w:rPr>
          <w:rFonts w:cs="Times New Roman"/>
        </w:rPr>
        <w:t xml:space="preserve">including those </w:t>
      </w:r>
      <w:r>
        <w:rPr>
          <w:rFonts w:cs="Times New Roman"/>
        </w:rPr>
        <w:lastRenderedPageBreak/>
        <w:t xml:space="preserve">linked to the </w:t>
      </w:r>
      <w:r w:rsidR="00A90AFD">
        <w:rPr>
          <w:rFonts w:cs="Times New Roman"/>
        </w:rPr>
        <w:t xml:space="preserve">2014 </w:t>
      </w:r>
      <w:r w:rsidRPr="00186BB9">
        <w:rPr>
          <w:rFonts w:cs="Times New Roman"/>
        </w:rPr>
        <w:t>Ebola crisis in Sierra Leone</w:t>
      </w:r>
      <w:r>
        <w:rPr>
          <w:rFonts w:cs="Times New Roman"/>
        </w:rPr>
        <w:t>.</w:t>
      </w:r>
      <w:r w:rsidRPr="00186BB9">
        <w:rPr>
          <w:rStyle w:val="EndnoteReference"/>
          <w:rFonts w:cs="Times New Roman"/>
        </w:rPr>
        <w:endnoteReference w:id="549"/>
      </w:r>
      <w:r w:rsidRPr="00186BB9">
        <w:rPr>
          <w:rFonts w:cs="Times New Roman"/>
        </w:rPr>
        <w:t xml:space="preserve"> </w:t>
      </w:r>
      <w:r>
        <w:rPr>
          <w:rFonts w:cs="Times New Roman"/>
        </w:rPr>
        <w:t xml:space="preserve">Metabiota’s surveillance role in the </w:t>
      </w:r>
      <w:r w:rsidRPr="00186BB9">
        <w:rPr>
          <w:rFonts w:cs="Times New Roman"/>
        </w:rPr>
        <w:t>Sierra Leone</w:t>
      </w:r>
      <w:r>
        <w:rPr>
          <w:rFonts w:cs="Times New Roman"/>
        </w:rPr>
        <w:t xml:space="preserve"> Ebola outbreak was </w:t>
      </w:r>
      <w:r w:rsidRPr="00260C8F">
        <w:rPr>
          <w:rFonts w:cs="Times New Roman"/>
        </w:rPr>
        <w:t xml:space="preserve">not without </w:t>
      </w:r>
      <w:r w:rsidRPr="00626057">
        <w:rPr>
          <w:rFonts w:cs="Times New Roman"/>
          <w:b/>
          <w:bCs w:val="0"/>
        </w:rPr>
        <w:t>major</w:t>
      </w:r>
      <w:r>
        <w:rPr>
          <w:rFonts w:cs="Times New Roman"/>
        </w:rPr>
        <w:t xml:space="preserve"> </w:t>
      </w:r>
      <w:r w:rsidRPr="00260C8F">
        <w:rPr>
          <w:rFonts w:cs="Times New Roman"/>
          <w:b/>
          <w:bCs w:val="0"/>
        </w:rPr>
        <w:t>controversies</w:t>
      </w:r>
      <w:r>
        <w:rPr>
          <w:rFonts w:cs="Times New Roman"/>
        </w:rPr>
        <w:t>.</w:t>
      </w:r>
      <w:r w:rsidRPr="00296A32">
        <w:rPr>
          <w:rStyle w:val="EndnoteReference"/>
          <w:rFonts w:cs="Times New Roman"/>
        </w:rPr>
        <w:endnoteReference w:id="550"/>
      </w:r>
      <w:r w:rsidRPr="00296A32">
        <w:rPr>
          <w:rFonts w:cs="Times New Roman"/>
          <w:vertAlign w:val="superscript"/>
        </w:rPr>
        <w:t>,</w:t>
      </w:r>
      <w:r w:rsidRPr="00296A32">
        <w:rPr>
          <w:rStyle w:val="EndnoteReference"/>
          <w:rFonts w:cs="Times New Roman"/>
        </w:rPr>
        <w:endnoteReference w:id="551"/>
      </w:r>
      <w:r>
        <w:rPr>
          <w:rFonts w:cs="Times New Roman"/>
          <w:vertAlign w:val="superscript"/>
        </w:rPr>
        <w:t>,</w:t>
      </w:r>
      <w:r>
        <w:rPr>
          <w:rStyle w:val="EndnoteReference"/>
          <w:rFonts w:cs="Times New Roman"/>
        </w:rPr>
        <w:endnoteReference w:id="552"/>
      </w:r>
      <w:r>
        <w:rPr>
          <w:rFonts w:cs="Times New Roman"/>
          <w:vertAlign w:val="superscript"/>
        </w:rPr>
        <w:t>,</w:t>
      </w:r>
      <w:r>
        <w:rPr>
          <w:rStyle w:val="EndnoteReference"/>
          <w:rFonts w:cs="Times New Roman"/>
        </w:rPr>
        <w:endnoteReference w:id="553"/>
      </w:r>
      <w:r>
        <w:rPr>
          <w:rFonts w:cs="Times New Roman"/>
          <w:vertAlign w:val="superscript"/>
        </w:rPr>
        <w:t>,</w:t>
      </w:r>
      <w:r>
        <w:rPr>
          <w:rStyle w:val="EndnoteReference"/>
          <w:rFonts w:cs="Times New Roman"/>
        </w:rPr>
        <w:endnoteReference w:id="554"/>
      </w:r>
      <w:r w:rsidR="00A90AFD">
        <w:rPr>
          <w:rFonts w:cs="Times New Roman"/>
          <w:vertAlign w:val="superscript"/>
        </w:rPr>
        <w:t xml:space="preserve"> </w:t>
      </w:r>
      <w:r w:rsidR="00A90AFD">
        <w:rPr>
          <w:szCs w:val="22"/>
        </w:rPr>
        <w:t>In Cameroon, Metabiota researched</w:t>
      </w:r>
      <w:r w:rsidR="00A90AFD" w:rsidRPr="002029FF">
        <w:rPr>
          <w:szCs w:val="22"/>
        </w:rPr>
        <w:t xml:space="preserve"> </w:t>
      </w:r>
      <w:r w:rsidR="00A90AFD" w:rsidRPr="00A90AFD">
        <w:rPr>
          <w:szCs w:val="22"/>
        </w:rPr>
        <w:t>corona-, monkeypox-,</w:t>
      </w:r>
      <w:r w:rsidR="00A90AFD" w:rsidRPr="002029FF">
        <w:rPr>
          <w:szCs w:val="22"/>
        </w:rPr>
        <w:t xml:space="preserve"> influenza-, and hemorrhagic fever- viruses</w:t>
      </w:r>
      <w:r w:rsidR="00923F1D">
        <w:rPr>
          <w:szCs w:val="22"/>
        </w:rPr>
        <w:t xml:space="preserve"> (i.e., Ebola)</w:t>
      </w:r>
      <w:r w:rsidR="00F53C38">
        <w:rPr>
          <w:szCs w:val="22"/>
        </w:rPr>
        <w:t xml:space="preserve">. Coincidentally, </w:t>
      </w:r>
      <w:r w:rsidR="00F53C38" w:rsidRPr="00642C30">
        <w:rPr>
          <w:b/>
          <w:bCs w:val="0"/>
          <w:szCs w:val="22"/>
        </w:rPr>
        <w:t>t</w:t>
      </w:r>
      <w:r w:rsidR="00A90AFD" w:rsidRPr="00642C30">
        <w:rPr>
          <w:b/>
          <w:bCs w:val="0"/>
          <w:szCs w:val="22"/>
        </w:rPr>
        <w:t>hree</w:t>
      </w:r>
      <w:r w:rsidR="00F53C38" w:rsidRPr="00642C30">
        <w:rPr>
          <w:b/>
          <w:bCs w:val="0"/>
          <w:szCs w:val="22"/>
        </w:rPr>
        <w:t xml:space="preserve"> of these</w:t>
      </w:r>
      <w:r w:rsidR="00A90AFD" w:rsidRPr="00642C30">
        <w:rPr>
          <w:b/>
          <w:bCs w:val="0"/>
          <w:szCs w:val="22"/>
        </w:rPr>
        <w:t xml:space="preserve"> </w:t>
      </w:r>
      <w:r w:rsidR="00FC1CA9" w:rsidRPr="00642C30">
        <w:rPr>
          <w:b/>
          <w:bCs w:val="0"/>
          <w:szCs w:val="22"/>
        </w:rPr>
        <w:t>viruses</w:t>
      </w:r>
      <w:r w:rsidR="00FC1CA9">
        <w:rPr>
          <w:szCs w:val="22"/>
        </w:rPr>
        <w:t xml:space="preserve"> </w:t>
      </w:r>
      <w:r w:rsidR="00A90AFD">
        <w:rPr>
          <w:szCs w:val="22"/>
        </w:rPr>
        <w:t>became public health emergencies of international concern (</w:t>
      </w:r>
      <w:r w:rsidR="00A90AFD" w:rsidRPr="00A90AFD">
        <w:rPr>
          <w:b/>
          <w:bCs w:val="0"/>
          <w:szCs w:val="22"/>
        </w:rPr>
        <w:t>PHEIC</w:t>
      </w:r>
      <w:r w:rsidR="00A90AFD">
        <w:rPr>
          <w:szCs w:val="22"/>
        </w:rPr>
        <w:t>).</w:t>
      </w:r>
    </w:p>
    <w:p w14:paraId="6767830F" w14:textId="6660D51D" w:rsidR="004C5C79" w:rsidRDefault="004C5C79" w:rsidP="004C5C79">
      <w:pPr>
        <w:spacing w:after="240"/>
        <w:rPr>
          <w:rFonts w:cs="Times New Roman"/>
        </w:rPr>
      </w:pPr>
      <w:r w:rsidRPr="00E854AC">
        <w:rPr>
          <w:rFonts w:cs="Times New Roman"/>
        </w:rPr>
        <w:t xml:space="preserve">Given </w:t>
      </w:r>
      <w:r w:rsidR="004D64FE">
        <w:rPr>
          <w:rFonts w:cs="Times New Roman"/>
        </w:rPr>
        <w:t>Dr. Daszak’s gain-of-function cover-up exposure, his</w:t>
      </w:r>
      <w:r w:rsidRPr="00E854AC">
        <w:rPr>
          <w:rFonts w:cs="Times New Roman"/>
        </w:rPr>
        <w:t xml:space="preserve"> long-standing research collaborations </w:t>
      </w:r>
      <w:r w:rsidR="0056745E">
        <w:rPr>
          <w:rFonts w:cs="Times New Roman"/>
        </w:rPr>
        <w:t>with</w:t>
      </w:r>
      <w:r w:rsidRPr="00E854AC">
        <w:rPr>
          <w:rFonts w:cs="Times New Roman"/>
        </w:rPr>
        <w:t xml:space="preserve"> </w:t>
      </w:r>
      <w:r w:rsidR="00980110">
        <w:rPr>
          <w:rFonts w:cs="Times New Roman"/>
        </w:rPr>
        <w:t xml:space="preserve">Metabiota’s </w:t>
      </w:r>
      <w:r w:rsidR="004D64FE">
        <w:rPr>
          <w:rFonts w:cs="Times New Roman"/>
        </w:rPr>
        <w:t>Dr.</w:t>
      </w:r>
      <w:r w:rsidRPr="00E854AC">
        <w:rPr>
          <w:rFonts w:cs="Times New Roman"/>
        </w:rPr>
        <w:t xml:space="preserve"> Wolf</w:t>
      </w:r>
      <w:r w:rsidR="004D64FE">
        <w:rPr>
          <w:rFonts w:cs="Times New Roman"/>
        </w:rPr>
        <w:t>,</w:t>
      </w:r>
      <w:r w:rsidRPr="00E854AC">
        <w:rPr>
          <w:rFonts w:cs="Times New Roman"/>
        </w:rPr>
        <w:t xml:space="preserve"> and their joint </w:t>
      </w:r>
      <w:r w:rsidR="004D64FE">
        <w:rPr>
          <w:rFonts w:cs="Times New Roman"/>
        </w:rPr>
        <w:t xml:space="preserve">long-standing </w:t>
      </w:r>
      <w:r w:rsidRPr="00E854AC">
        <w:rPr>
          <w:rFonts w:cs="Times New Roman"/>
        </w:rPr>
        <w:t xml:space="preserve">funders the US DoD/DTRA, the NIH, USAID, </w:t>
      </w:r>
      <w:r w:rsidR="00AD1389">
        <w:rPr>
          <w:rFonts w:cs="Times New Roman"/>
        </w:rPr>
        <w:t>and</w:t>
      </w:r>
      <w:r w:rsidRPr="00E854AC">
        <w:rPr>
          <w:rFonts w:cs="Times New Roman"/>
        </w:rPr>
        <w:t xml:space="preserve"> other</w:t>
      </w:r>
      <w:r w:rsidR="004D64FE">
        <w:rPr>
          <w:rFonts w:cs="Times New Roman"/>
        </w:rPr>
        <w:t xml:space="preserve">s, a </w:t>
      </w:r>
      <w:r>
        <w:rPr>
          <w:rFonts w:cs="Times New Roman"/>
        </w:rPr>
        <w:t>question</w:t>
      </w:r>
      <w:r w:rsidR="004D64FE">
        <w:rPr>
          <w:rFonts w:cs="Times New Roman"/>
        </w:rPr>
        <w:t xml:space="preserve"> </w:t>
      </w:r>
      <w:r w:rsidR="00C371D7">
        <w:rPr>
          <w:rFonts w:cs="Times New Roman"/>
        </w:rPr>
        <w:t xml:space="preserve">naturally </w:t>
      </w:r>
      <w:r w:rsidR="004D64FE">
        <w:rPr>
          <w:rFonts w:cs="Times New Roman"/>
        </w:rPr>
        <w:t>arises</w:t>
      </w:r>
      <w:r>
        <w:rPr>
          <w:rFonts w:cs="Times New Roman"/>
        </w:rPr>
        <w:t>.</w:t>
      </w:r>
      <w:r w:rsidRPr="00E854AC">
        <w:rPr>
          <w:rFonts w:cs="Times New Roman"/>
        </w:rPr>
        <w:t xml:space="preserve"> Did the </w:t>
      </w:r>
      <w:r w:rsidR="00B83F99" w:rsidRPr="00B83F99">
        <w:rPr>
          <w:rFonts w:cs="Times New Roman"/>
          <w:bCs w:val="0"/>
        </w:rPr>
        <w:t>US government</w:t>
      </w:r>
      <w:r w:rsidR="00F53C38">
        <w:rPr>
          <w:rFonts w:cs="Times New Roman"/>
          <w:bCs w:val="0"/>
        </w:rPr>
        <w:t>-</w:t>
      </w:r>
      <w:r w:rsidR="00B83F99" w:rsidRPr="00B83F99">
        <w:rPr>
          <w:rFonts w:cs="Times New Roman"/>
          <w:bCs w:val="0"/>
        </w:rPr>
        <w:t xml:space="preserve"> </w:t>
      </w:r>
      <w:r w:rsidR="00F53C38">
        <w:rPr>
          <w:rFonts w:cs="Times New Roman"/>
          <w:bCs w:val="0"/>
        </w:rPr>
        <w:t xml:space="preserve">and/or a transnational- </w:t>
      </w:r>
      <w:r w:rsidR="00D61540">
        <w:rPr>
          <w:rFonts w:cs="Times New Roman"/>
          <w:bCs w:val="0"/>
        </w:rPr>
        <w:t xml:space="preserve">deep state </w:t>
      </w:r>
      <w:r w:rsidR="00F53C38">
        <w:rPr>
          <w:rFonts w:cs="Times New Roman"/>
          <w:bCs w:val="0"/>
        </w:rPr>
        <w:t xml:space="preserve">entity </w:t>
      </w:r>
      <w:r w:rsidR="00B83F99" w:rsidRPr="00B83F99">
        <w:rPr>
          <w:rFonts w:cs="Times New Roman"/>
          <w:bCs w:val="0"/>
        </w:rPr>
        <w:t xml:space="preserve">via the </w:t>
      </w:r>
      <w:r w:rsidR="00980110">
        <w:rPr>
          <w:rFonts w:cs="Times New Roman"/>
          <w:bCs w:val="0"/>
        </w:rPr>
        <w:t>DoD</w:t>
      </w:r>
      <w:r w:rsidR="00B83F99" w:rsidRPr="00B83F99">
        <w:rPr>
          <w:rFonts w:cs="Times New Roman"/>
          <w:bCs w:val="0"/>
        </w:rPr>
        <w:t xml:space="preserve"> </w:t>
      </w:r>
      <w:r w:rsidRPr="00E854AC">
        <w:rPr>
          <w:rFonts w:cs="Times New Roman"/>
          <w:b/>
        </w:rPr>
        <w:t>operate a second gain-of-function R&amp;D axis</w:t>
      </w:r>
      <w:r w:rsidRPr="00E854AC">
        <w:rPr>
          <w:rFonts w:cs="Times New Roman"/>
        </w:rPr>
        <w:t>, which was capable of creating coronaviruses with enhanced human infectivity</w:t>
      </w:r>
      <w:r w:rsidR="00980651">
        <w:rPr>
          <w:rFonts w:cs="Times New Roman"/>
        </w:rPr>
        <w:t xml:space="preserve"> and pathogenicity</w:t>
      </w:r>
      <w:r w:rsidRPr="00E854AC">
        <w:rPr>
          <w:rFonts w:cs="Times New Roman"/>
        </w:rPr>
        <w:t xml:space="preserve">? </w:t>
      </w:r>
      <w:r w:rsidR="00B83F99">
        <w:rPr>
          <w:rFonts w:cs="Times New Roman"/>
        </w:rPr>
        <w:t>If so, was</w:t>
      </w:r>
      <w:r>
        <w:rPr>
          <w:rFonts w:cs="Times New Roman"/>
        </w:rPr>
        <w:t xml:space="preserve"> this located in Ukraine, </w:t>
      </w:r>
      <w:r w:rsidR="00FC1CA9">
        <w:rPr>
          <w:rFonts w:cs="Times New Roman"/>
        </w:rPr>
        <w:t xml:space="preserve">Cameroon, </w:t>
      </w:r>
      <w:r w:rsidR="00B83F99">
        <w:rPr>
          <w:rFonts w:cs="Times New Roman"/>
        </w:rPr>
        <w:t xml:space="preserve">or in a nation </w:t>
      </w:r>
      <w:r>
        <w:rPr>
          <w:rFonts w:cs="Times New Roman"/>
        </w:rPr>
        <w:t>along Russia’s borders and between China and Iran?</w:t>
      </w:r>
      <w:r w:rsidR="000B59C9">
        <w:rPr>
          <w:rFonts w:cs="Times New Roman"/>
        </w:rPr>
        <w:t xml:space="preserve"> </w:t>
      </w:r>
    </w:p>
    <w:p w14:paraId="718B3613" w14:textId="404F554E" w:rsidR="00467B2D" w:rsidRPr="00613E0C" w:rsidRDefault="00467B2D" w:rsidP="00660BB8">
      <w:pPr>
        <w:pStyle w:val="Heading2"/>
      </w:pPr>
      <w:bookmarkStart w:id="213" w:name="_Toc121035153"/>
      <w:r>
        <w:t>How A C</w:t>
      </w:r>
      <w:r w:rsidRPr="00613E0C">
        <w:t xml:space="preserve">ontainable </w:t>
      </w:r>
      <w:r>
        <w:t xml:space="preserve">SARS-CoV-2 Outbreak Led </w:t>
      </w:r>
      <w:r w:rsidR="0094398B">
        <w:t>to</w:t>
      </w:r>
      <w:r>
        <w:t xml:space="preserve"> A P</w:t>
      </w:r>
      <w:r w:rsidRPr="00613E0C">
        <w:t>andemic</w:t>
      </w:r>
      <w:bookmarkEnd w:id="204"/>
      <w:bookmarkEnd w:id="205"/>
      <w:bookmarkEnd w:id="206"/>
      <w:bookmarkEnd w:id="207"/>
      <w:bookmarkEnd w:id="208"/>
      <w:bookmarkEnd w:id="209"/>
      <w:bookmarkEnd w:id="210"/>
      <w:bookmarkEnd w:id="211"/>
      <w:bookmarkEnd w:id="213"/>
    </w:p>
    <w:p w14:paraId="04A65B63" w14:textId="471E0BCE" w:rsidR="00467B2D" w:rsidRPr="00787883" w:rsidRDefault="00467B2D" w:rsidP="00467B2D">
      <w:pPr>
        <w:rPr>
          <w:szCs w:val="22"/>
        </w:rPr>
      </w:pPr>
      <w:r w:rsidRPr="00787883">
        <w:rPr>
          <w:szCs w:val="22"/>
        </w:rPr>
        <w:t xml:space="preserve">While </w:t>
      </w:r>
      <w:r w:rsidR="00DA7D54">
        <w:rPr>
          <w:szCs w:val="22"/>
        </w:rPr>
        <w:t>a</w:t>
      </w:r>
      <w:r w:rsidRPr="00787883">
        <w:rPr>
          <w:szCs w:val="22"/>
        </w:rPr>
        <w:t xml:space="preserve"> </w:t>
      </w:r>
      <w:r w:rsidR="000D5476">
        <w:rPr>
          <w:szCs w:val="22"/>
        </w:rPr>
        <w:t xml:space="preserve">specific </w:t>
      </w:r>
      <w:r w:rsidRPr="00787883">
        <w:rPr>
          <w:szCs w:val="22"/>
        </w:rPr>
        <w:t xml:space="preserve">SARS-CoV-2 </w:t>
      </w:r>
      <w:r>
        <w:rPr>
          <w:szCs w:val="22"/>
        </w:rPr>
        <w:t xml:space="preserve">gain-of-function </w:t>
      </w:r>
      <w:r w:rsidRPr="00787883">
        <w:rPr>
          <w:szCs w:val="22"/>
        </w:rPr>
        <w:t>origin</w:t>
      </w:r>
      <w:r>
        <w:rPr>
          <w:szCs w:val="22"/>
        </w:rPr>
        <w:t>ator</w:t>
      </w:r>
      <w:r w:rsidRPr="00787883">
        <w:rPr>
          <w:szCs w:val="22"/>
        </w:rPr>
        <w:t xml:space="preserve"> </w:t>
      </w:r>
      <w:r>
        <w:rPr>
          <w:szCs w:val="22"/>
        </w:rPr>
        <w:t>is</w:t>
      </w:r>
      <w:r w:rsidRPr="00787883">
        <w:rPr>
          <w:szCs w:val="22"/>
        </w:rPr>
        <w:t xml:space="preserve"> difficult to </w:t>
      </w:r>
      <w:r w:rsidR="00936564">
        <w:rPr>
          <w:szCs w:val="22"/>
        </w:rPr>
        <w:t>prove</w:t>
      </w:r>
      <w:r w:rsidRPr="00787883">
        <w:rPr>
          <w:szCs w:val="22"/>
        </w:rPr>
        <w:t xml:space="preserve"> </w:t>
      </w:r>
      <w:r>
        <w:rPr>
          <w:szCs w:val="22"/>
        </w:rPr>
        <w:t>without a</w:t>
      </w:r>
      <w:r w:rsidR="0030245C">
        <w:rPr>
          <w:szCs w:val="22"/>
        </w:rPr>
        <w:t xml:space="preserve"> </w:t>
      </w:r>
      <w:r w:rsidR="008B062A">
        <w:rPr>
          <w:szCs w:val="22"/>
        </w:rPr>
        <w:t>thorough</w:t>
      </w:r>
      <w:r w:rsidR="00C371D7">
        <w:rPr>
          <w:szCs w:val="22"/>
        </w:rPr>
        <w:t xml:space="preserve"> </w:t>
      </w:r>
      <w:r w:rsidR="008672D2">
        <w:rPr>
          <w:szCs w:val="22"/>
        </w:rPr>
        <w:t xml:space="preserve">independent </w:t>
      </w:r>
      <w:r>
        <w:rPr>
          <w:szCs w:val="22"/>
        </w:rPr>
        <w:t xml:space="preserve">investigation, </w:t>
      </w:r>
      <w:r w:rsidRPr="00787883">
        <w:rPr>
          <w:szCs w:val="22"/>
        </w:rPr>
        <w:t xml:space="preserve">what is evident along the </w:t>
      </w:r>
      <w:r w:rsidRPr="00435796">
        <w:rPr>
          <w:szCs w:val="22"/>
        </w:rPr>
        <w:t>chain of events</w:t>
      </w:r>
      <w:r w:rsidRPr="00787883">
        <w:rPr>
          <w:szCs w:val="22"/>
        </w:rPr>
        <w:t xml:space="preserve"> from patient-zero</w:t>
      </w:r>
      <w:r w:rsidR="00F53C38">
        <w:rPr>
          <w:szCs w:val="22"/>
        </w:rPr>
        <w:t>-ish</w:t>
      </w:r>
      <w:r w:rsidRPr="00787883">
        <w:rPr>
          <w:szCs w:val="22"/>
        </w:rPr>
        <w:t xml:space="preserve"> to a full-blown pandemic was a containable outbreak was facilitated </w:t>
      </w:r>
      <w:r>
        <w:rPr>
          <w:szCs w:val="22"/>
        </w:rPr>
        <w:t xml:space="preserve">in the critical early stages </w:t>
      </w:r>
      <w:r w:rsidRPr="00787883">
        <w:rPr>
          <w:szCs w:val="22"/>
        </w:rPr>
        <w:t>in its global spread by two protagonists failing to fulfill their International Health Regulation mandate obligations (IHR</w:t>
      </w:r>
      <w:r w:rsidRPr="00787883">
        <w:rPr>
          <w:rStyle w:val="EndnoteReference"/>
          <w:szCs w:val="22"/>
        </w:rPr>
        <w:endnoteReference w:id="555"/>
      </w:r>
      <w:r w:rsidRPr="00787883">
        <w:rPr>
          <w:szCs w:val="22"/>
        </w:rPr>
        <w:t xml:space="preserve"> i.e., </w:t>
      </w:r>
      <w:r w:rsidRPr="00787883">
        <w:rPr>
          <w:i/>
          <w:szCs w:val="22"/>
        </w:rPr>
        <w:t>the code of international regulations for the control of transboundary infectious diseases</w:t>
      </w:r>
      <w:r w:rsidRPr="00787883">
        <w:rPr>
          <w:szCs w:val="22"/>
        </w:rPr>
        <w:t>).</w:t>
      </w:r>
    </w:p>
    <w:p w14:paraId="7D0C8867" w14:textId="0042E140" w:rsidR="00467B2D" w:rsidRPr="00C47028" w:rsidRDefault="00467B2D" w:rsidP="004C5C79">
      <w:pPr>
        <w:pStyle w:val="Heading3"/>
      </w:pPr>
      <w:bookmarkStart w:id="214" w:name="_Toc510678536"/>
      <w:bookmarkStart w:id="215" w:name="_Toc510880040"/>
      <w:bookmarkStart w:id="216" w:name="_Toc512275169"/>
      <w:bookmarkStart w:id="217" w:name="_Toc512360387"/>
      <w:bookmarkStart w:id="218" w:name="_Toc516645079"/>
      <w:bookmarkStart w:id="219" w:name="_Toc517556097"/>
      <w:bookmarkStart w:id="220" w:name="_Toc113965084"/>
      <w:bookmarkStart w:id="221" w:name="_Toc121035154"/>
      <w:r>
        <w:t>International Health Regulation</w:t>
      </w:r>
      <w:r w:rsidRPr="00C47028">
        <w:t xml:space="preserve"> </w:t>
      </w:r>
      <w:r>
        <w:t xml:space="preserve">Mandate Failures </w:t>
      </w:r>
      <w:r w:rsidR="00C91946">
        <w:t xml:space="preserve">That </w:t>
      </w:r>
      <w:r w:rsidR="000C46C8">
        <w:t xml:space="preserve">Helped </w:t>
      </w:r>
      <w:r>
        <w:t>Ignite the Pandemic</w:t>
      </w:r>
      <w:bookmarkEnd w:id="214"/>
      <w:bookmarkEnd w:id="215"/>
      <w:bookmarkEnd w:id="216"/>
      <w:bookmarkEnd w:id="217"/>
      <w:bookmarkEnd w:id="218"/>
      <w:bookmarkEnd w:id="219"/>
      <w:bookmarkEnd w:id="220"/>
      <w:bookmarkEnd w:id="221"/>
    </w:p>
    <w:p w14:paraId="64D9D465" w14:textId="55F1BC02" w:rsidR="00467B2D" w:rsidRDefault="00467B2D" w:rsidP="00467B2D">
      <w:pPr>
        <w:rPr>
          <w:szCs w:val="22"/>
        </w:rPr>
      </w:pPr>
      <w:r>
        <w:rPr>
          <w:szCs w:val="22"/>
        </w:rPr>
        <w:t xml:space="preserve">In the US </w:t>
      </w:r>
      <w:r w:rsidRPr="00F45DD7">
        <w:rPr>
          <w:rFonts w:cs="Times New Roman"/>
          <w:szCs w:val="22"/>
        </w:rPr>
        <w:t>House Foreign Affairs Committee Report Minority Staff investigation report</w:t>
      </w:r>
      <w:r>
        <w:rPr>
          <w:rFonts w:cs="Times New Roman"/>
          <w:szCs w:val="22"/>
        </w:rPr>
        <w:t xml:space="preserve"> (HFACR)</w:t>
      </w:r>
      <w:r>
        <w:rPr>
          <w:szCs w:val="22"/>
        </w:rPr>
        <w:t>, “</w:t>
      </w:r>
      <w:r w:rsidRPr="0002504F">
        <w:rPr>
          <w:szCs w:val="22"/>
        </w:rPr>
        <w:t xml:space="preserve">The origins of the COVID-19 global pandemic, including alleged roles of the Chinese Communist Party </w:t>
      </w:r>
      <w:r w:rsidR="008513BE">
        <w:rPr>
          <w:szCs w:val="22"/>
        </w:rPr>
        <w:t xml:space="preserve">(CCP) </w:t>
      </w:r>
      <w:r w:rsidRPr="0002504F">
        <w:rPr>
          <w:szCs w:val="22"/>
        </w:rPr>
        <w:t>and the World Health Organization,</w:t>
      </w:r>
      <w:r>
        <w:rPr>
          <w:szCs w:val="22"/>
        </w:rPr>
        <w:t>”</w:t>
      </w:r>
      <w:r w:rsidRPr="006E3F8C">
        <w:rPr>
          <w:rStyle w:val="EndnoteReference"/>
          <w:szCs w:val="22"/>
        </w:rPr>
        <w:endnoteReference w:id="556"/>
      </w:r>
      <w:r>
        <w:rPr>
          <w:szCs w:val="22"/>
        </w:rPr>
        <w:t xml:space="preserve"> the following is stated: “</w:t>
      </w:r>
      <w:r w:rsidRPr="000C62CC">
        <w:rPr>
          <w:i/>
          <w:szCs w:val="22"/>
        </w:rPr>
        <w:t>It is important to note that in addition to the obligations imparted on Member States, the IHR requires certain actions and behaviors of the WHO. Among other obligations, the WHO is tasked with conducting global public health surveillance and assessment of significant public health events, disseminating public health information to Member States, and determining whether a particular event notified by a Member State under the IHR constitutes a PHEIC</w:t>
      </w:r>
      <w:r>
        <w:rPr>
          <w:iCs/>
          <w:szCs w:val="22"/>
        </w:rPr>
        <w:t xml:space="preserve"> (i.e., public health emergency of international concern)</w:t>
      </w:r>
      <w:r w:rsidRPr="000C62CC">
        <w:rPr>
          <w:i/>
          <w:szCs w:val="22"/>
        </w:rPr>
        <w:t xml:space="preserve">. In </w:t>
      </w:r>
      <w:r w:rsidRPr="00307503">
        <w:rPr>
          <w:i/>
          <w:szCs w:val="22"/>
        </w:rPr>
        <w:t xml:space="preserve">each of these obligations, the </w:t>
      </w:r>
      <w:r w:rsidRPr="00307503">
        <w:rPr>
          <w:b/>
          <w:bCs w:val="0"/>
          <w:i/>
          <w:szCs w:val="22"/>
        </w:rPr>
        <w:t>WHO failed to fulfill its mandate</w:t>
      </w:r>
      <w:r w:rsidRPr="00866ECE">
        <w:rPr>
          <w:szCs w:val="22"/>
        </w:rPr>
        <w:t>.</w:t>
      </w:r>
      <w:r>
        <w:rPr>
          <w:szCs w:val="22"/>
        </w:rPr>
        <w:t>”</w:t>
      </w:r>
    </w:p>
    <w:p w14:paraId="13B625FF" w14:textId="77777777" w:rsidR="00467B2D" w:rsidRDefault="00467B2D" w:rsidP="00467B2D">
      <w:pPr>
        <w:rPr>
          <w:szCs w:val="22"/>
        </w:rPr>
      </w:pPr>
      <w:r>
        <w:rPr>
          <w:szCs w:val="22"/>
        </w:rPr>
        <w:t xml:space="preserve">The HFACR report identified the following </w:t>
      </w:r>
      <w:r w:rsidRPr="000D5476">
        <w:rPr>
          <w:b/>
          <w:szCs w:val="22"/>
        </w:rPr>
        <w:t>IHR Article breaches</w:t>
      </w:r>
      <w:r>
        <w:rPr>
          <w:szCs w:val="22"/>
        </w:rPr>
        <w:t xml:space="preserve"> (pgs. 43-47): (1) </w:t>
      </w:r>
      <w:r w:rsidRPr="00E81FBF">
        <w:rPr>
          <w:b/>
          <w:bCs w:val="0"/>
          <w:szCs w:val="22"/>
        </w:rPr>
        <w:t>Article 9</w:t>
      </w:r>
      <w:r>
        <w:rPr>
          <w:szCs w:val="22"/>
        </w:rPr>
        <w:t xml:space="preserve">: </w:t>
      </w:r>
      <w:r w:rsidRPr="001F12EA">
        <w:rPr>
          <w:i/>
          <w:szCs w:val="22"/>
        </w:rPr>
        <w:t>a failure</w:t>
      </w:r>
      <w:r w:rsidRPr="003B6F62">
        <w:rPr>
          <w:i/>
          <w:szCs w:val="22"/>
        </w:rPr>
        <w:t xml:space="preserve"> to assess </w:t>
      </w:r>
      <w:r>
        <w:rPr>
          <w:i/>
          <w:szCs w:val="22"/>
        </w:rPr>
        <w:t xml:space="preserve">an </w:t>
      </w:r>
      <w:r w:rsidRPr="003B6F62">
        <w:rPr>
          <w:i/>
          <w:szCs w:val="22"/>
        </w:rPr>
        <w:t xml:space="preserve">unofficial Taiwan </w:t>
      </w:r>
      <w:r>
        <w:rPr>
          <w:i/>
          <w:szCs w:val="22"/>
        </w:rPr>
        <w:t xml:space="preserve">CDC </w:t>
      </w:r>
      <w:r w:rsidRPr="003B6F62">
        <w:rPr>
          <w:i/>
          <w:szCs w:val="22"/>
        </w:rPr>
        <w:t xml:space="preserve">email </w:t>
      </w:r>
      <w:r>
        <w:rPr>
          <w:i/>
          <w:szCs w:val="22"/>
        </w:rPr>
        <w:t>concerning</w:t>
      </w:r>
      <w:r w:rsidRPr="003B6F62">
        <w:rPr>
          <w:i/>
          <w:szCs w:val="22"/>
        </w:rPr>
        <w:t xml:space="preserve"> SARS-like cases and report this to member states</w:t>
      </w:r>
      <w:r>
        <w:rPr>
          <w:szCs w:val="22"/>
        </w:rPr>
        <w:t xml:space="preserve">. (2) </w:t>
      </w:r>
      <w:r w:rsidRPr="00E81FBF">
        <w:rPr>
          <w:b/>
          <w:bCs w:val="0"/>
          <w:szCs w:val="22"/>
        </w:rPr>
        <w:t>Article 9</w:t>
      </w:r>
      <w:r>
        <w:rPr>
          <w:szCs w:val="22"/>
        </w:rPr>
        <w:t xml:space="preserve">: </w:t>
      </w:r>
      <w:r>
        <w:rPr>
          <w:i/>
          <w:szCs w:val="22"/>
        </w:rPr>
        <w:t>a f</w:t>
      </w:r>
      <w:r w:rsidRPr="008A570F">
        <w:rPr>
          <w:i/>
          <w:szCs w:val="22"/>
        </w:rPr>
        <w:t>ailure to assess unofficial warnings from January 4</w:t>
      </w:r>
      <w:r w:rsidRPr="008A570F">
        <w:rPr>
          <w:i/>
          <w:szCs w:val="22"/>
          <w:vertAlign w:val="superscript"/>
        </w:rPr>
        <w:t>th</w:t>
      </w:r>
      <w:r w:rsidRPr="008A570F">
        <w:rPr>
          <w:i/>
          <w:szCs w:val="22"/>
        </w:rPr>
        <w:t xml:space="preserve"> by Dr. Ho </w:t>
      </w:r>
      <w:r>
        <w:rPr>
          <w:i/>
          <w:szCs w:val="22"/>
        </w:rPr>
        <w:t>regarding</w:t>
      </w:r>
      <w:r w:rsidRPr="008A570F">
        <w:rPr>
          <w:i/>
          <w:szCs w:val="22"/>
        </w:rPr>
        <w:t xml:space="preserve"> </w:t>
      </w:r>
      <w:r>
        <w:rPr>
          <w:i/>
          <w:szCs w:val="22"/>
        </w:rPr>
        <w:t xml:space="preserve">the </w:t>
      </w:r>
      <w:r w:rsidRPr="008A570F">
        <w:rPr>
          <w:i/>
          <w:szCs w:val="22"/>
        </w:rPr>
        <w:t>human-to-human transmission of SARS-like case</w:t>
      </w:r>
      <w:r>
        <w:rPr>
          <w:i/>
          <w:szCs w:val="22"/>
        </w:rPr>
        <w:t>s in Wuhan</w:t>
      </w:r>
      <w:r>
        <w:rPr>
          <w:szCs w:val="22"/>
        </w:rPr>
        <w:t xml:space="preserve"> (University of </w:t>
      </w:r>
      <w:r w:rsidRPr="003B6F62">
        <w:rPr>
          <w:szCs w:val="22"/>
        </w:rPr>
        <w:t>Hong Kong</w:t>
      </w:r>
      <w:r>
        <w:rPr>
          <w:szCs w:val="22"/>
        </w:rPr>
        <w:t xml:space="preserve"> Centre of Infection, </w:t>
      </w:r>
      <w:r w:rsidRPr="003B6F62">
        <w:rPr>
          <w:szCs w:val="22"/>
        </w:rPr>
        <w:t xml:space="preserve">a </w:t>
      </w:r>
      <w:r>
        <w:rPr>
          <w:szCs w:val="22"/>
        </w:rPr>
        <w:t>WHO Collaborating Centre, “UHK-WHO-</w:t>
      </w:r>
      <w:r w:rsidRPr="007B263F">
        <w:rPr>
          <w:szCs w:val="22"/>
        </w:rPr>
        <w:t>CC</w:t>
      </w:r>
      <w:r>
        <w:rPr>
          <w:szCs w:val="22"/>
        </w:rPr>
        <w:t xml:space="preserve">”). (3) </w:t>
      </w:r>
      <w:r w:rsidRPr="00E81FBF">
        <w:rPr>
          <w:b/>
          <w:bCs w:val="0"/>
          <w:szCs w:val="22"/>
        </w:rPr>
        <w:t>Article 10</w:t>
      </w:r>
      <w:r>
        <w:rPr>
          <w:szCs w:val="22"/>
        </w:rPr>
        <w:t xml:space="preserve">: the WHO was </w:t>
      </w:r>
      <w:r w:rsidRPr="007B263F">
        <w:rPr>
          <w:szCs w:val="22"/>
        </w:rPr>
        <w:t xml:space="preserve">empowered to demand the CCP </w:t>
      </w:r>
      <w:r w:rsidRPr="007B263F">
        <w:rPr>
          <w:szCs w:val="22"/>
        </w:rPr>
        <w:lastRenderedPageBreak/>
        <w:t xml:space="preserve">respond to </w:t>
      </w:r>
      <w:r>
        <w:rPr>
          <w:szCs w:val="22"/>
        </w:rPr>
        <w:t>reports</w:t>
      </w:r>
      <w:r w:rsidRPr="007B263F">
        <w:rPr>
          <w:szCs w:val="22"/>
        </w:rPr>
        <w:t xml:space="preserve"> made by the Taiwan CDC</w:t>
      </w:r>
      <w:r>
        <w:rPr>
          <w:szCs w:val="22"/>
        </w:rPr>
        <w:t xml:space="preserve"> and the UHK-WHO-</w:t>
      </w:r>
      <w:r w:rsidRPr="007B263F">
        <w:rPr>
          <w:szCs w:val="22"/>
        </w:rPr>
        <w:t>CC regarding human-to-</w:t>
      </w:r>
      <w:r>
        <w:rPr>
          <w:szCs w:val="22"/>
        </w:rPr>
        <w:t>human transmission and alert</w:t>
      </w:r>
      <w:r w:rsidRPr="007B263F">
        <w:rPr>
          <w:szCs w:val="22"/>
        </w:rPr>
        <w:t xml:space="preserve"> </w:t>
      </w:r>
      <w:r>
        <w:rPr>
          <w:szCs w:val="22"/>
        </w:rPr>
        <w:t xml:space="preserve">other WHO member states </w:t>
      </w:r>
      <w:r w:rsidRPr="007B263F">
        <w:rPr>
          <w:szCs w:val="22"/>
        </w:rPr>
        <w:t xml:space="preserve">if China refused to cooperate. </w:t>
      </w:r>
      <w:r>
        <w:rPr>
          <w:szCs w:val="22"/>
        </w:rPr>
        <w:t>“</w:t>
      </w:r>
      <w:r w:rsidRPr="008B456C">
        <w:rPr>
          <w:i/>
          <w:szCs w:val="22"/>
        </w:rPr>
        <w:t>The WHO failed to do so</w:t>
      </w:r>
      <w:r>
        <w:rPr>
          <w:szCs w:val="22"/>
        </w:rPr>
        <w:t xml:space="preserve">.” (4) </w:t>
      </w:r>
      <w:r w:rsidRPr="00E81FBF">
        <w:rPr>
          <w:b/>
          <w:bCs w:val="0"/>
          <w:szCs w:val="22"/>
        </w:rPr>
        <w:t>Article 11</w:t>
      </w:r>
      <w:r>
        <w:rPr>
          <w:szCs w:val="22"/>
        </w:rPr>
        <w:t>:</w:t>
      </w:r>
      <w:r w:rsidRPr="00E4078E">
        <w:rPr>
          <w:szCs w:val="22"/>
        </w:rPr>
        <w:t xml:space="preserve"> mandates that the WHO </w:t>
      </w:r>
      <w:r>
        <w:rPr>
          <w:szCs w:val="22"/>
        </w:rPr>
        <w:t>promptly transmit to all member s</w:t>
      </w:r>
      <w:r w:rsidRPr="00E4078E">
        <w:rPr>
          <w:szCs w:val="22"/>
        </w:rPr>
        <w:t>t</w:t>
      </w:r>
      <w:r>
        <w:rPr>
          <w:szCs w:val="22"/>
        </w:rPr>
        <w:t xml:space="preserve">ates </w:t>
      </w:r>
      <w:r w:rsidRPr="00E4078E">
        <w:rPr>
          <w:szCs w:val="22"/>
        </w:rPr>
        <w:t xml:space="preserve">public health information it receives under Articles 5 – 10. </w:t>
      </w:r>
      <w:r>
        <w:rPr>
          <w:szCs w:val="22"/>
        </w:rPr>
        <w:t>The WHO allegedly failed to inform member states about the Taiwan CDC and UHK-WHO-</w:t>
      </w:r>
      <w:r w:rsidRPr="007B263F">
        <w:rPr>
          <w:szCs w:val="22"/>
        </w:rPr>
        <w:t>CC</w:t>
      </w:r>
      <w:r>
        <w:rPr>
          <w:szCs w:val="22"/>
        </w:rPr>
        <w:t xml:space="preserve"> unofficial warnings</w:t>
      </w:r>
      <w:r w:rsidRPr="00E4078E">
        <w:rPr>
          <w:szCs w:val="22"/>
        </w:rPr>
        <w:t>.</w:t>
      </w:r>
      <w:r>
        <w:rPr>
          <w:szCs w:val="22"/>
        </w:rPr>
        <w:t xml:space="preserve"> (5) </w:t>
      </w:r>
      <w:r w:rsidRPr="00E81FBF">
        <w:rPr>
          <w:b/>
          <w:bCs w:val="0"/>
          <w:szCs w:val="22"/>
        </w:rPr>
        <w:t>Article 12</w:t>
      </w:r>
      <w:r>
        <w:rPr>
          <w:szCs w:val="22"/>
        </w:rPr>
        <w:t>: see next.</w:t>
      </w:r>
    </w:p>
    <w:p w14:paraId="4DDC726A" w14:textId="5720E67E" w:rsidR="00467B2D" w:rsidRDefault="00467B2D" w:rsidP="00467B2D">
      <w:pPr>
        <w:rPr>
          <w:szCs w:val="22"/>
        </w:rPr>
      </w:pPr>
      <w:r w:rsidRPr="00F82B5E">
        <w:rPr>
          <w:szCs w:val="22"/>
        </w:rPr>
        <w:t xml:space="preserve">Article 12: Determination of a public health emergency of international concern (PHEIC). According to </w:t>
      </w:r>
      <w:r>
        <w:rPr>
          <w:szCs w:val="22"/>
        </w:rPr>
        <w:t>HFACR</w:t>
      </w:r>
      <w:r w:rsidRPr="00F82B5E">
        <w:rPr>
          <w:szCs w:val="22"/>
        </w:rPr>
        <w:t xml:space="preserve"> (pg</w:t>
      </w:r>
      <w:r>
        <w:rPr>
          <w:szCs w:val="22"/>
        </w:rPr>
        <w:t>s</w:t>
      </w:r>
      <w:r w:rsidRPr="00F82B5E">
        <w:rPr>
          <w:szCs w:val="22"/>
        </w:rPr>
        <w:t>.</w:t>
      </w:r>
      <w:r>
        <w:rPr>
          <w:szCs w:val="22"/>
        </w:rPr>
        <w:t xml:space="preserve">7-15, </w:t>
      </w:r>
      <w:r w:rsidRPr="00F82B5E">
        <w:rPr>
          <w:szCs w:val="22"/>
        </w:rPr>
        <w:t>43-47)</w:t>
      </w:r>
      <w:r w:rsidR="009A4DFC">
        <w:rPr>
          <w:szCs w:val="22"/>
        </w:rPr>
        <w:t>,</w:t>
      </w:r>
      <w:r w:rsidRPr="00F82B5E">
        <w:rPr>
          <w:szCs w:val="22"/>
        </w:rPr>
        <w:t xml:space="preserve"> Director-General (DG) </w:t>
      </w:r>
      <w:r w:rsidRPr="00047DD6">
        <w:rPr>
          <w:b/>
          <w:szCs w:val="22"/>
        </w:rPr>
        <w:t>Tedros failed to follow Article 12</w:t>
      </w:r>
      <w:r w:rsidRPr="00F82B5E">
        <w:rPr>
          <w:szCs w:val="22"/>
        </w:rPr>
        <w:t xml:space="preserve"> in not declaring a PHEIC on 23/01/2020, instead </w:t>
      </w:r>
      <w:r>
        <w:rPr>
          <w:szCs w:val="22"/>
        </w:rPr>
        <w:t>delaying</w:t>
      </w:r>
      <w:r w:rsidRPr="00F82B5E">
        <w:rPr>
          <w:szCs w:val="22"/>
        </w:rPr>
        <w:t xml:space="preserve"> it </w:t>
      </w:r>
      <w:r>
        <w:rPr>
          <w:szCs w:val="22"/>
        </w:rPr>
        <w:t>one week</w:t>
      </w:r>
      <w:r w:rsidRPr="00F82B5E">
        <w:rPr>
          <w:szCs w:val="22"/>
        </w:rPr>
        <w:t>.</w:t>
      </w:r>
      <w:r w:rsidRPr="00F82B5E">
        <w:rPr>
          <w:rStyle w:val="EndnoteReference"/>
          <w:szCs w:val="22"/>
        </w:rPr>
        <w:endnoteReference w:id="557"/>
      </w:r>
      <w:r w:rsidRPr="00F82B5E">
        <w:rPr>
          <w:szCs w:val="22"/>
        </w:rPr>
        <w:t xml:space="preserve"> Relevant Article 12 </w:t>
      </w:r>
      <w:r>
        <w:rPr>
          <w:szCs w:val="22"/>
        </w:rPr>
        <w:t>decision-making</w:t>
      </w:r>
      <w:r w:rsidRPr="00F82B5E">
        <w:rPr>
          <w:szCs w:val="22"/>
        </w:rPr>
        <w:t xml:space="preserve"> information sent to the WHO or publicly reported </w:t>
      </w:r>
      <w:r w:rsidR="009A4DFC">
        <w:rPr>
          <w:szCs w:val="22"/>
        </w:rPr>
        <w:t>before</w:t>
      </w:r>
      <w:r w:rsidRPr="00F82B5E">
        <w:rPr>
          <w:szCs w:val="22"/>
        </w:rPr>
        <w:t xml:space="preserve"> 23/02/2020 included: (1) unofficial communications from </w:t>
      </w:r>
      <w:r>
        <w:rPr>
          <w:szCs w:val="22"/>
        </w:rPr>
        <w:t xml:space="preserve">the </w:t>
      </w:r>
      <w:r w:rsidRPr="00F82B5E">
        <w:rPr>
          <w:szCs w:val="22"/>
        </w:rPr>
        <w:t>Taiwan CDC (email, 31/12/2019</w:t>
      </w:r>
      <w:r w:rsidRPr="00F82B5E">
        <w:rPr>
          <w:rStyle w:val="EndnoteReference"/>
          <w:szCs w:val="22"/>
        </w:rPr>
        <w:endnoteReference w:id="558"/>
      </w:r>
      <w:r w:rsidRPr="00F82B5E">
        <w:rPr>
          <w:szCs w:val="22"/>
        </w:rPr>
        <w:t xml:space="preserve">) and </w:t>
      </w:r>
      <w:r>
        <w:rPr>
          <w:szCs w:val="22"/>
        </w:rPr>
        <w:t xml:space="preserve">the </w:t>
      </w:r>
      <w:r w:rsidRPr="00F82B5E">
        <w:rPr>
          <w:szCs w:val="22"/>
        </w:rPr>
        <w:t xml:space="preserve">UHK-WHO-CC (04/01/2020). (2) </w:t>
      </w:r>
      <w:r>
        <w:rPr>
          <w:szCs w:val="22"/>
        </w:rPr>
        <w:t xml:space="preserve">A </w:t>
      </w:r>
      <w:r w:rsidRPr="00F82B5E">
        <w:rPr>
          <w:szCs w:val="22"/>
        </w:rPr>
        <w:t xml:space="preserve">WHO delegation to Wuhan had </w:t>
      </w:r>
      <w:r w:rsidR="000D5476">
        <w:rPr>
          <w:szCs w:val="22"/>
        </w:rPr>
        <w:t xml:space="preserve">already </w:t>
      </w:r>
      <w:r w:rsidRPr="00F82B5E">
        <w:rPr>
          <w:szCs w:val="22"/>
        </w:rPr>
        <w:t>confirmed human-to-human transmission</w:t>
      </w:r>
      <w:r>
        <w:rPr>
          <w:szCs w:val="22"/>
        </w:rPr>
        <w:t>.</w:t>
      </w:r>
      <w:r w:rsidRPr="00F82B5E">
        <w:rPr>
          <w:rStyle w:val="EndnoteReference"/>
          <w:szCs w:val="22"/>
        </w:rPr>
        <w:endnoteReference w:id="559"/>
      </w:r>
      <w:r w:rsidRPr="00F82B5E">
        <w:rPr>
          <w:szCs w:val="22"/>
        </w:rPr>
        <w:t xml:space="preserve"> (3) China’s National Health Commission had confirmed human-to-human transmission, including in healthcare workers (20/0</w:t>
      </w:r>
      <w:r>
        <w:rPr>
          <w:szCs w:val="22"/>
        </w:rPr>
        <w:t>1</w:t>
      </w:r>
      <w:r w:rsidRPr="00F82B5E">
        <w:rPr>
          <w:szCs w:val="22"/>
        </w:rPr>
        <w:t>/2020).</w:t>
      </w:r>
      <w:r w:rsidRPr="00F82B5E">
        <w:rPr>
          <w:rStyle w:val="EndnoteReference"/>
          <w:szCs w:val="22"/>
        </w:rPr>
        <w:endnoteReference w:id="560"/>
      </w:r>
      <w:r w:rsidRPr="00F82B5E">
        <w:rPr>
          <w:szCs w:val="22"/>
        </w:rPr>
        <w:t xml:space="preserve"> However, there is evidence </w:t>
      </w:r>
      <w:r>
        <w:rPr>
          <w:szCs w:val="22"/>
        </w:rPr>
        <w:t xml:space="preserve">that </w:t>
      </w:r>
      <w:r w:rsidRPr="00F82B5E">
        <w:rPr>
          <w:szCs w:val="22"/>
        </w:rPr>
        <w:t xml:space="preserve">Chinese officials knew of </w:t>
      </w:r>
      <w:r>
        <w:rPr>
          <w:szCs w:val="22"/>
        </w:rPr>
        <w:t>human-to-human transmission sometime</w:t>
      </w:r>
      <w:r w:rsidRPr="00F82B5E">
        <w:rPr>
          <w:szCs w:val="22"/>
        </w:rPr>
        <w:t xml:space="preserve"> </w:t>
      </w:r>
      <w:r>
        <w:rPr>
          <w:szCs w:val="22"/>
        </w:rPr>
        <w:t>before the official announcement (HFACR</w:t>
      </w:r>
      <w:r w:rsidRPr="00F82B5E">
        <w:rPr>
          <w:szCs w:val="22"/>
        </w:rPr>
        <w:t xml:space="preserve"> </w:t>
      </w:r>
      <w:r>
        <w:rPr>
          <w:szCs w:val="22"/>
        </w:rPr>
        <w:t>pgs.7-15). The first case was publicly reported in mid-November 2019.</w:t>
      </w:r>
      <w:r w:rsidRPr="009D49FE">
        <w:rPr>
          <w:rStyle w:val="EndnoteReference"/>
          <w:szCs w:val="22"/>
        </w:rPr>
        <w:endnoteReference w:id="561"/>
      </w:r>
      <w:r w:rsidRPr="009D49FE">
        <w:rPr>
          <w:szCs w:val="22"/>
          <w:vertAlign w:val="superscript"/>
        </w:rPr>
        <w:t>,</w:t>
      </w:r>
      <w:r w:rsidRPr="009D49FE">
        <w:rPr>
          <w:rStyle w:val="EndnoteReference"/>
          <w:szCs w:val="22"/>
        </w:rPr>
        <w:endnoteReference w:id="562"/>
      </w:r>
      <w:r w:rsidRPr="00F82B5E">
        <w:rPr>
          <w:szCs w:val="22"/>
        </w:rPr>
        <w:t xml:space="preserve"> (4) The identification of a novel causative coronavirus and its genetic sequence</w:t>
      </w:r>
      <w:r>
        <w:rPr>
          <w:szCs w:val="22"/>
        </w:rPr>
        <w:t xml:space="preserve"> and similarity with SARS-CoV was known.</w:t>
      </w:r>
      <w:r w:rsidRPr="00F82B5E">
        <w:rPr>
          <w:szCs w:val="22"/>
        </w:rPr>
        <w:t xml:space="preserve"> (5) Ongoing mass international travel of people in China related to the Spring Festival</w:t>
      </w:r>
      <w:r>
        <w:rPr>
          <w:szCs w:val="22"/>
        </w:rPr>
        <w:t xml:space="preserve"> created global dissemination risk</w:t>
      </w:r>
      <w:r w:rsidRPr="00F82B5E">
        <w:rPr>
          <w:szCs w:val="22"/>
        </w:rPr>
        <w:t>. (6) Confirmation of C</w:t>
      </w:r>
      <w:r>
        <w:rPr>
          <w:szCs w:val="22"/>
        </w:rPr>
        <w:t>OVID-</w:t>
      </w:r>
      <w:r w:rsidRPr="00F82B5E">
        <w:rPr>
          <w:szCs w:val="22"/>
        </w:rPr>
        <w:t>19 cases in Vietnam,</w:t>
      </w:r>
      <w:r w:rsidRPr="00F82B5E">
        <w:rPr>
          <w:rStyle w:val="EndnoteReference"/>
          <w:szCs w:val="22"/>
        </w:rPr>
        <w:endnoteReference w:id="563"/>
      </w:r>
      <w:r w:rsidRPr="00F82B5E">
        <w:rPr>
          <w:szCs w:val="22"/>
        </w:rPr>
        <w:t xml:space="preserve"> Thailand</w:t>
      </w:r>
      <w:r>
        <w:rPr>
          <w:szCs w:val="22"/>
        </w:rPr>
        <w:t xml:space="preserve"> (13/01/2020)</w:t>
      </w:r>
      <w:r w:rsidRPr="00F82B5E">
        <w:rPr>
          <w:szCs w:val="22"/>
        </w:rPr>
        <w:t>, Hong Kong, Japan, South Korea,</w:t>
      </w:r>
      <w:r w:rsidRPr="00F82B5E">
        <w:rPr>
          <w:rStyle w:val="EndnoteReference"/>
          <w:szCs w:val="22"/>
        </w:rPr>
        <w:endnoteReference w:id="564"/>
      </w:r>
      <w:r w:rsidRPr="00F82B5E">
        <w:rPr>
          <w:szCs w:val="22"/>
        </w:rPr>
        <w:t xml:space="preserve"> Taiwan, and the USA. </w:t>
      </w:r>
    </w:p>
    <w:p w14:paraId="1D1E30FD" w14:textId="1729DFB2" w:rsidR="00467B2D" w:rsidRDefault="00467B2D" w:rsidP="00467B2D">
      <w:pPr>
        <w:rPr>
          <w:szCs w:val="22"/>
        </w:rPr>
      </w:pPr>
      <w:r>
        <w:rPr>
          <w:szCs w:val="22"/>
        </w:rPr>
        <w:t>By a</w:t>
      </w:r>
      <w:r w:rsidRPr="006713F4">
        <w:rPr>
          <w:szCs w:val="22"/>
        </w:rPr>
        <w:t xml:space="preserve">pplying the </w:t>
      </w:r>
      <w:r>
        <w:rPr>
          <w:szCs w:val="22"/>
        </w:rPr>
        <w:t>IHR</w:t>
      </w:r>
      <w:r w:rsidRPr="006713F4">
        <w:rPr>
          <w:szCs w:val="22"/>
        </w:rPr>
        <w:t xml:space="preserve"> Annex 2</w:t>
      </w:r>
      <w:r>
        <w:rPr>
          <w:szCs w:val="22"/>
        </w:rPr>
        <w:t xml:space="preserve"> decision instrument </w:t>
      </w:r>
      <w:r w:rsidRPr="006713F4">
        <w:rPr>
          <w:szCs w:val="22"/>
        </w:rPr>
        <w:t>as</w:t>
      </w:r>
      <w:r>
        <w:rPr>
          <w:szCs w:val="22"/>
        </w:rPr>
        <w:t xml:space="preserve"> </w:t>
      </w:r>
      <w:r w:rsidRPr="006713F4">
        <w:rPr>
          <w:szCs w:val="22"/>
        </w:rPr>
        <w:t>directed in Article 12</w:t>
      </w:r>
      <w:r>
        <w:rPr>
          <w:szCs w:val="22"/>
        </w:rPr>
        <w:t xml:space="preserve"> to the above information</w:t>
      </w:r>
      <w:r w:rsidRPr="006713F4">
        <w:rPr>
          <w:szCs w:val="22"/>
        </w:rPr>
        <w:t xml:space="preserve">, </w:t>
      </w:r>
      <w:r>
        <w:rPr>
          <w:szCs w:val="22"/>
        </w:rPr>
        <w:t xml:space="preserve">by reflecting that half </w:t>
      </w:r>
      <w:r w:rsidRPr="00A7095E">
        <w:rPr>
          <w:szCs w:val="22"/>
        </w:rPr>
        <w:t xml:space="preserve">the Emergency Committee members </w:t>
      </w:r>
      <w:r>
        <w:rPr>
          <w:szCs w:val="22"/>
        </w:rPr>
        <w:t xml:space="preserve">had already recommended declaring </w:t>
      </w:r>
      <w:r w:rsidRPr="00A7095E">
        <w:rPr>
          <w:szCs w:val="22"/>
        </w:rPr>
        <w:t>a PHEIC</w:t>
      </w:r>
      <w:r>
        <w:rPr>
          <w:szCs w:val="22"/>
        </w:rPr>
        <w:t xml:space="preserve">, and by reflecting that </w:t>
      </w:r>
      <w:r w:rsidRPr="005A062B">
        <w:rPr>
          <w:szCs w:val="22"/>
        </w:rPr>
        <w:t>millions of i</w:t>
      </w:r>
      <w:r>
        <w:rPr>
          <w:szCs w:val="22"/>
        </w:rPr>
        <w:t xml:space="preserve">nternational trips had departed China by </w:t>
      </w:r>
      <w:r w:rsidRPr="005A062B">
        <w:rPr>
          <w:szCs w:val="22"/>
        </w:rPr>
        <w:t>mid-January</w:t>
      </w:r>
      <w:r>
        <w:rPr>
          <w:szCs w:val="22"/>
        </w:rPr>
        <w:t>, D</w:t>
      </w:r>
      <w:r w:rsidR="00A837D0">
        <w:rPr>
          <w:szCs w:val="22"/>
        </w:rPr>
        <w:t>irector General</w:t>
      </w:r>
      <w:r>
        <w:rPr>
          <w:szCs w:val="22"/>
        </w:rPr>
        <w:t xml:space="preserve"> Tedros had sufficient information to justify declaring a</w:t>
      </w:r>
      <w:r w:rsidRPr="006713F4">
        <w:rPr>
          <w:szCs w:val="22"/>
        </w:rPr>
        <w:t xml:space="preserve"> PHEIC</w:t>
      </w:r>
      <w:r>
        <w:rPr>
          <w:szCs w:val="22"/>
        </w:rPr>
        <w:t xml:space="preserve"> by the 23/01/2020</w:t>
      </w:r>
      <w:r w:rsidRPr="006713F4">
        <w:rPr>
          <w:szCs w:val="22"/>
        </w:rPr>
        <w:t>.</w:t>
      </w:r>
      <w:r>
        <w:rPr>
          <w:szCs w:val="22"/>
        </w:rPr>
        <w:t xml:space="preserve"> </w:t>
      </w:r>
      <w:r w:rsidR="000D5476">
        <w:rPr>
          <w:szCs w:val="22"/>
        </w:rPr>
        <w:t>Why didn’t DG Tedros declare a PHEIC on or before 23/01/2020</w:t>
      </w:r>
      <w:r>
        <w:rPr>
          <w:szCs w:val="22"/>
        </w:rPr>
        <w:t>?</w:t>
      </w:r>
      <w:r>
        <w:rPr>
          <w:rStyle w:val="EndnoteReference"/>
          <w:szCs w:val="22"/>
        </w:rPr>
        <w:endnoteReference w:id="565"/>
      </w:r>
      <w:r>
        <w:rPr>
          <w:szCs w:val="22"/>
        </w:rPr>
        <w:t xml:space="preserve"> </w:t>
      </w:r>
    </w:p>
    <w:p w14:paraId="2A4A23A4" w14:textId="243761AB" w:rsidR="00467B2D" w:rsidRDefault="00ED38D8" w:rsidP="00467B2D">
      <w:pPr>
        <w:rPr>
          <w:szCs w:val="22"/>
        </w:rPr>
      </w:pPr>
      <w:r>
        <w:rPr>
          <w:szCs w:val="22"/>
        </w:rPr>
        <w:t>Furthermore, a</w:t>
      </w:r>
      <w:r w:rsidR="00467B2D">
        <w:rPr>
          <w:szCs w:val="22"/>
        </w:rPr>
        <w:t>ccording to</w:t>
      </w:r>
      <w:r w:rsidR="00467B2D" w:rsidRPr="004C7C69">
        <w:rPr>
          <w:szCs w:val="22"/>
        </w:rPr>
        <w:t xml:space="preserve"> </w:t>
      </w:r>
      <w:r w:rsidR="00467B2D">
        <w:rPr>
          <w:szCs w:val="22"/>
        </w:rPr>
        <w:t xml:space="preserve">the </w:t>
      </w:r>
      <w:r w:rsidR="00467B2D" w:rsidRPr="004C7C69">
        <w:rPr>
          <w:szCs w:val="22"/>
        </w:rPr>
        <w:t xml:space="preserve">WHO criteria </w:t>
      </w:r>
      <w:r w:rsidR="00467B2D">
        <w:rPr>
          <w:szCs w:val="22"/>
        </w:rPr>
        <w:t xml:space="preserve">for </w:t>
      </w:r>
      <w:r w:rsidR="000D5476">
        <w:rPr>
          <w:szCs w:val="22"/>
        </w:rPr>
        <w:t xml:space="preserve">historically </w:t>
      </w:r>
      <w:r w:rsidR="00467B2D">
        <w:rPr>
          <w:szCs w:val="22"/>
        </w:rPr>
        <w:t xml:space="preserve">declaring </w:t>
      </w:r>
      <w:r w:rsidR="00467B2D" w:rsidRPr="004C7C69">
        <w:rPr>
          <w:szCs w:val="22"/>
        </w:rPr>
        <w:t>influenza pandemic</w:t>
      </w:r>
      <w:r w:rsidR="00467B2D">
        <w:rPr>
          <w:szCs w:val="22"/>
        </w:rPr>
        <w:t xml:space="preserve">s (i.e., </w:t>
      </w:r>
      <w:r w:rsidR="00467B2D" w:rsidRPr="003F5760">
        <w:rPr>
          <w:i/>
          <w:szCs w:val="22"/>
        </w:rPr>
        <w:t xml:space="preserve">human-to-human spread of the virus in two or more countries in a WHO region, plus </w:t>
      </w:r>
      <w:r w:rsidR="000D5476">
        <w:rPr>
          <w:i/>
          <w:szCs w:val="22"/>
        </w:rPr>
        <w:t>community-level</w:t>
      </w:r>
      <w:r w:rsidR="00467B2D" w:rsidRPr="003F5760">
        <w:rPr>
          <w:i/>
          <w:szCs w:val="22"/>
        </w:rPr>
        <w:t xml:space="preserve"> outbreaks in at least one other country in a different WHO region</w:t>
      </w:r>
      <w:r w:rsidR="00467B2D">
        <w:rPr>
          <w:szCs w:val="22"/>
        </w:rPr>
        <w:t>)</w:t>
      </w:r>
      <w:r w:rsidR="00467B2D" w:rsidRPr="004C7C69">
        <w:rPr>
          <w:szCs w:val="22"/>
        </w:rPr>
        <w:t>,</w:t>
      </w:r>
      <w:r w:rsidR="00467B2D" w:rsidRPr="004C7C69">
        <w:rPr>
          <w:rStyle w:val="EndnoteReference"/>
          <w:szCs w:val="22"/>
        </w:rPr>
        <w:endnoteReference w:id="566"/>
      </w:r>
      <w:r w:rsidR="00467B2D" w:rsidRPr="004C7C69">
        <w:rPr>
          <w:szCs w:val="22"/>
        </w:rPr>
        <w:t xml:space="preserve"> it well exceeded its Phase 6 criteria by the time it declared </w:t>
      </w:r>
      <w:r w:rsidR="00467B2D">
        <w:rPr>
          <w:szCs w:val="22"/>
        </w:rPr>
        <w:t xml:space="preserve">COVID-19 </w:t>
      </w:r>
      <w:r w:rsidR="000D5476">
        <w:rPr>
          <w:szCs w:val="22"/>
        </w:rPr>
        <w:t xml:space="preserve">a </w:t>
      </w:r>
      <w:r w:rsidR="00467B2D" w:rsidRPr="004C7C69">
        <w:rPr>
          <w:szCs w:val="22"/>
        </w:rPr>
        <w:t>pandemic on the 11/03/2020</w:t>
      </w:r>
      <w:r w:rsidR="00467B2D">
        <w:rPr>
          <w:szCs w:val="22"/>
        </w:rPr>
        <w:t>.</w:t>
      </w:r>
      <w:r w:rsidR="00467B2D" w:rsidRPr="004C7C69">
        <w:rPr>
          <w:szCs w:val="22"/>
        </w:rPr>
        <w:t xml:space="preserve"> </w:t>
      </w:r>
      <w:r w:rsidR="00467B2D">
        <w:rPr>
          <w:szCs w:val="22"/>
        </w:rPr>
        <w:t>By this date,</w:t>
      </w:r>
      <w:r w:rsidR="00467B2D" w:rsidRPr="004C7C69">
        <w:rPr>
          <w:szCs w:val="22"/>
        </w:rPr>
        <w:t xml:space="preserve"> SARS-CoV-2 had already spread to 114 countries.</w:t>
      </w:r>
      <w:r w:rsidR="00467B2D" w:rsidRPr="004C7C69">
        <w:rPr>
          <w:rStyle w:val="EndnoteReference"/>
          <w:szCs w:val="22"/>
        </w:rPr>
        <w:endnoteReference w:id="567"/>
      </w:r>
      <w:r w:rsidR="00467B2D" w:rsidRPr="004C7C69">
        <w:rPr>
          <w:szCs w:val="22"/>
        </w:rPr>
        <w:t xml:space="preserve"> </w:t>
      </w:r>
      <w:r w:rsidR="00467B2D">
        <w:rPr>
          <w:szCs w:val="22"/>
        </w:rPr>
        <w:t>Concomitant with this tardy pandemic declaration, the WHO played a pivotal role in the conditional “</w:t>
      </w:r>
      <w:r w:rsidR="00467B2D" w:rsidRPr="008513BE">
        <w:rPr>
          <w:b/>
          <w:bCs w:val="0"/>
          <w:iCs/>
          <w:szCs w:val="22"/>
        </w:rPr>
        <w:t>payout triggering mechanism</w:t>
      </w:r>
      <w:r w:rsidR="00467B2D">
        <w:rPr>
          <w:szCs w:val="22"/>
        </w:rPr>
        <w:t>” of the World Bank’s Pandemic Emergency Financing F</w:t>
      </w:r>
      <w:r w:rsidR="00467B2D" w:rsidRPr="00917040">
        <w:rPr>
          <w:szCs w:val="22"/>
        </w:rPr>
        <w:t>acility</w:t>
      </w:r>
      <w:r w:rsidR="00467B2D">
        <w:rPr>
          <w:szCs w:val="22"/>
        </w:rPr>
        <w:t xml:space="preserve"> Bond.</w:t>
      </w:r>
      <w:r w:rsidR="00467B2D" w:rsidRPr="00917040">
        <w:rPr>
          <w:rStyle w:val="EndnoteReference"/>
          <w:szCs w:val="22"/>
        </w:rPr>
        <w:endnoteReference w:id="568"/>
      </w:r>
      <w:r w:rsidR="00467B2D" w:rsidRPr="00917040">
        <w:rPr>
          <w:szCs w:val="22"/>
          <w:vertAlign w:val="superscript"/>
        </w:rPr>
        <w:t>,</w:t>
      </w:r>
      <w:r w:rsidR="00467B2D" w:rsidRPr="00917040">
        <w:rPr>
          <w:rStyle w:val="EndnoteReference"/>
          <w:szCs w:val="22"/>
        </w:rPr>
        <w:endnoteReference w:id="569"/>
      </w:r>
      <w:r w:rsidR="00467B2D">
        <w:rPr>
          <w:szCs w:val="22"/>
        </w:rPr>
        <w:t xml:space="preserve"> </w:t>
      </w:r>
      <w:r w:rsidR="00467B2D" w:rsidRPr="00A141D1">
        <w:rPr>
          <w:szCs w:val="22"/>
        </w:rPr>
        <w:t xml:space="preserve">If </w:t>
      </w:r>
      <w:r w:rsidR="00467B2D">
        <w:rPr>
          <w:szCs w:val="22"/>
        </w:rPr>
        <w:t xml:space="preserve">the </w:t>
      </w:r>
      <w:r w:rsidR="00467B2D" w:rsidRPr="00A141D1">
        <w:rPr>
          <w:szCs w:val="22"/>
        </w:rPr>
        <w:t>WHO called a pandemic before the end of June 2020, t</w:t>
      </w:r>
      <w:r w:rsidR="00467B2D">
        <w:rPr>
          <w:szCs w:val="22"/>
        </w:rPr>
        <w:t xml:space="preserve">he Bondholders would forfeit </w:t>
      </w:r>
      <w:r w:rsidR="008672D2">
        <w:rPr>
          <w:szCs w:val="22"/>
        </w:rPr>
        <w:t>approximately half</w:t>
      </w:r>
      <w:r w:rsidR="00467B2D" w:rsidRPr="00A141D1">
        <w:rPr>
          <w:szCs w:val="22"/>
        </w:rPr>
        <w:t xml:space="preserve"> of the </w:t>
      </w:r>
      <w:r w:rsidR="00467B2D" w:rsidRPr="008672D2">
        <w:rPr>
          <w:b/>
          <w:bCs w:val="0"/>
          <w:szCs w:val="22"/>
        </w:rPr>
        <w:t>$425 million bond</w:t>
      </w:r>
      <w:r w:rsidR="00467B2D">
        <w:rPr>
          <w:szCs w:val="22"/>
        </w:rPr>
        <w:t>.</w:t>
      </w:r>
    </w:p>
    <w:p w14:paraId="79461A39" w14:textId="77777777" w:rsidR="00467B2D" w:rsidRPr="00C9608C" w:rsidRDefault="00467B2D" w:rsidP="004C5C79">
      <w:pPr>
        <w:pStyle w:val="Heading3"/>
      </w:pPr>
      <w:bookmarkStart w:id="222" w:name="_Toc510678537"/>
      <w:bookmarkStart w:id="223" w:name="_Toc510880041"/>
      <w:bookmarkStart w:id="224" w:name="_Toc512275170"/>
      <w:bookmarkStart w:id="225" w:name="_Toc512360388"/>
      <w:bookmarkStart w:id="226" w:name="_Toc516645080"/>
      <w:bookmarkStart w:id="227" w:name="_Toc517556098"/>
      <w:bookmarkStart w:id="228" w:name="_Toc113965085"/>
      <w:bookmarkStart w:id="229" w:name="_Toc121035155"/>
      <w:r>
        <w:lastRenderedPageBreak/>
        <w:t>Did WHO Advic</w:t>
      </w:r>
      <w:r w:rsidRPr="00C9608C">
        <w:t>e</w:t>
      </w:r>
      <w:r>
        <w:t xml:space="preserve"> </w:t>
      </w:r>
      <w:r w:rsidRPr="00C9608C">
        <w:t>Against Travel Restrictions</w:t>
      </w:r>
      <w:r>
        <w:t xml:space="preserve"> Facilitate Global Viral Spread?</w:t>
      </w:r>
      <w:bookmarkEnd w:id="222"/>
      <w:bookmarkEnd w:id="223"/>
      <w:bookmarkEnd w:id="224"/>
      <w:bookmarkEnd w:id="225"/>
      <w:bookmarkEnd w:id="226"/>
      <w:bookmarkEnd w:id="227"/>
      <w:bookmarkEnd w:id="228"/>
      <w:bookmarkEnd w:id="229"/>
      <w:r>
        <w:t xml:space="preserve"> </w:t>
      </w:r>
    </w:p>
    <w:p w14:paraId="11690022" w14:textId="401E7986" w:rsidR="00467B2D" w:rsidRPr="006F587D" w:rsidRDefault="00467B2D" w:rsidP="00467B2D">
      <w:pPr>
        <w:rPr>
          <w:szCs w:val="22"/>
        </w:rPr>
      </w:pPr>
      <w:r w:rsidRPr="00A9682A">
        <w:rPr>
          <w:szCs w:val="22"/>
        </w:rPr>
        <w:t xml:space="preserve">Declaring a PHEIC </w:t>
      </w:r>
      <w:r>
        <w:rPr>
          <w:szCs w:val="22"/>
        </w:rPr>
        <w:t xml:space="preserve">on 30/01/2020 </w:t>
      </w:r>
      <w:r w:rsidRPr="00A9682A">
        <w:rPr>
          <w:szCs w:val="22"/>
        </w:rPr>
        <w:t xml:space="preserve">expanded the WHO’s authority to coordinate a global response by issuing recommendations on travel and trade restrictions </w:t>
      </w:r>
      <w:r w:rsidRPr="003853B7">
        <w:rPr>
          <w:szCs w:val="22"/>
        </w:rPr>
        <w:t>to prevent disease spread.</w:t>
      </w:r>
      <w:r w:rsidRPr="00A9682A">
        <w:rPr>
          <w:szCs w:val="22"/>
        </w:rPr>
        <w:t xml:space="preserve"> </w:t>
      </w:r>
      <w:r w:rsidRPr="00ED38D8">
        <w:rPr>
          <w:b/>
          <w:bCs w:val="0"/>
          <w:szCs w:val="22"/>
        </w:rPr>
        <w:t>Instead</w:t>
      </w:r>
      <w:r>
        <w:rPr>
          <w:szCs w:val="22"/>
        </w:rPr>
        <w:t>, four days later</w:t>
      </w:r>
      <w:r w:rsidR="009A4DFC">
        <w:rPr>
          <w:szCs w:val="22"/>
        </w:rPr>
        <w:t>,</w:t>
      </w:r>
      <w:r>
        <w:rPr>
          <w:szCs w:val="22"/>
        </w:rPr>
        <w:t xml:space="preserve"> on 04/02/2020</w:t>
      </w:r>
      <w:r w:rsidR="000D5476">
        <w:rPr>
          <w:szCs w:val="22"/>
        </w:rPr>
        <w:t xml:space="preserve"> </w:t>
      </w:r>
      <w:r>
        <w:rPr>
          <w:szCs w:val="22"/>
        </w:rPr>
        <w:t>DG</w:t>
      </w:r>
      <w:r w:rsidRPr="00A9682A">
        <w:rPr>
          <w:szCs w:val="22"/>
        </w:rPr>
        <w:t xml:space="preserve"> Tedros advised the world </w:t>
      </w:r>
      <w:r w:rsidRPr="003853B7">
        <w:rPr>
          <w:szCs w:val="22"/>
        </w:rPr>
        <w:t xml:space="preserve">there was </w:t>
      </w:r>
      <w:r w:rsidRPr="0010616A">
        <w:rPr>
          <w:b/>
          <w:bCs w:val="0"/>
          <w:szCs w:val="22"/>
        </w:rPr>
        <w:t>no need for measures</w:t>
      </w:r>
      <w:r w:rsidRPr="00A9682A">
        <w:rPr>
          <w:szCs w:val="22"/>
        </w:rPr>
        <w:t xml:space="preserve"> that “</w:t>
      </w:r>
      <w:r w:rsidRPr="00A9682A">
        <w:rPr>
          <w:i/>
          <w:szCs w:val="22"/>
        </w:rPr>
        <w:t>unnecessarily interfere with international travel and trade.</w:t>
      </w:r>
      <w:r w:rsidRPr="00A9682A">
        <w:rPr>
          <w:szCs w:val="22"/>
        </w:rPr>
        <w:t>”</w:t>
      </w:r>
      <w:r w:rsidRPr="00A9682A">
        <w:rPr>
          <w:rStyle w:val="EndnoteReference"/>
          <w:szCs w:val="22"/>
        </w:rPr>
        <w:endnoteReference w:id="570"/>
      </w:r>
      <w:r w:rsidRPr="00A9682A">
        <w:rPr>
          <w:szCs w:val="22"/>
        </w:rPr>
        <w:t xml:space="preserve"> One of China’s ambassadors attending a WHO Executive Board meeting </w:t>
      </w:r>
      <w:r w:rsidR="000D5476">
        <w:rPr>
          <w:szCs w:val="22"/>
        </w:rPr>
        <w:t xml:space="preserve">even. </w:t>
      </w:r>
      <w:r w:rsidRPr="00A9682A">
        <w:rPr>
          <w:szCs w:val="22"/>
        </w:rPr>
        <w:t>denounced measures by some countries to restrict travel for people boarding from the Hubei province</w:t>
      </w:r>
      <w:r w:rsidR="009A4DFC">
        <w:rPr>
          <w:szCs w:val="22"/>
        </w:rPr>
        <w:t>,</w:t>
      </w:r>
      <w:r w:rsidRPr="00A9682A">
        <w:rPr>
          <w:szCs w:val="22"/>
        </w:rPr>
        <w:t xml:space="preserve"> saying</w:t>
      </w:r>
      <w:r w:rsidR="009A4DFC">
        <w:rPr>
          <w:szCs w:val="22"/>
        </w:rPr>
        <w:t>,</w:t>
      </w:r>
      <w:r w:rsidRPr="00A9682A">
        <w:rPr>
          <w:szCs w:val="22"/>
        </w:rPr>
        <w:t xml:space="preserve"> “</w:t>
      </w:r>
      <w:r w:rsidRPr="00A9682A">
        <w:rPr>
          <w:i/>
          <w:szCs w:val="22"/>
        </w:rPr>
        <w:t>All these measures are seriously against recommendation by the WHO</w:t>
      </w:r>
      <w:r w:rsidRPr="00A9682A">
        <w:rPr>
          <w:szCs w:val="22"/>
        </w:rPr>
        <w:t xml:space="preserve">.” </w:t>
      </w:r>
      <w:r w:rsidRPr="0010616A">
        <w:rPr>
          <w:szCs w:val="22"/>
        </w:rPr>
        <w:t>One month later</w:t>
      </w:r>
      <w:r w:rsidR="009A4DFC">
        <w:rPr>
          <w:szCs w:val="22"/>
        </w:rPr>
        <w:t>,</w:t>
      </w:r>
      <w:r w:rsidRPr="00A9682A">
        <w:rPr>
          <w:szCs w:val="22"/>
        </w:rPr>
        <w:t xml:space="preserve"> the WHO updated its recommendations for international </w:t>
      </w:r>
      <w:r>
        <w:rPr>
          <w:szCs w:val="22"/>
        </w:rPr>
        <w:t>travel</w:t>
      </w:r>
      <w:r w:rsidRPr="00A9682A">
        <w:rPr>
          <w:szCs w:val="22"/>
        </w:rPr>
        <w:t>, “</w:t>
      </w:r>
      <w:r w:rsidRPr="00A9682A">
        <w:rPr>
          <w:i/>
          <w:szCs w:val="22"/>
        </w:rPr>
        <w:t xml:space="preserve">WHO continues to advise against the application of travel or trade restrictions to countries experiencing </w:t>
      </w:r>
      <w:r>
        <w:rPr>
          <w:i/>
          <w:szCs w:val="22"/>
        </w:rPr>
        <w:t>COVID</w:t>
      </w:r>
      <w:r w:rsidRPr="00A9682A">
        <w:rPr>
          <w:i/>
          <w:szCs w:val="22"/>
        </w:rPr>
        <w:t>-19 outbreaks</w:t>
      </w:r>
      <w:r w:rsidRPr="00A9682A">
        <w:rPr>
          <w:szCs w:val="22"/>
        </w:rPr>
        <w:t>.”</w:t>
      </w:r>
      <w:r w:rsidRPr="00A9682A">
        <w:rPr>
          <w:rStyle w:val="EndnoteReference"/>
          <w:szCs w:val="22"/>
        </w:rPr>
        <w:endnoteReference w:id="571"/>
      </w:r>
      <w:r w:rsidRPr="00A9682A">
        <w:rPr>
          <w:szCs w:val="22"/>
        </w:rPr>
        <w:t xml:space="preserve">  </w:t>
      </w:r>
      <w:r>
        <w:rPr>
          <w:szCs w:val="22"/>
        </w:rPr>
        <w:t>This China travel ban failure helps explain why President Trump was reported as saying the “</w:t>
      </w:r>
      <w:r w:rsidRPr="005006FA">
        <w:rPr>
          <w:i/>
          <w:szCs w:val="22"/>
        </w:rPr>
        <w:t xml:space="preserve">U.S. will stop funding to the </w:t>
      </w:r>
      <w:r>
        <w:rPr>
          <w:i/>
          <w:szCs w:val="22"/>
        </w:rPr>
        <w:t>WHO</w:t>
      </w:r>
      <w:r w:rsidRPr="005006FA">
        <w:rPr>
          <w:i/>
          <w:szCs w:val="22"/>
        </w:rPr>
        <w:t xml:space="preserve"> while his administration reviews its role in “mismanaging” the coronavirus</w:t>
      </w:r>
      <w:r>
        <w:rPr>
          <w:szCs w:val="22"/>
        </w:rPr>
        <w:t>”</w:t>
      </w:r>
      <w:r w:rsidR="009A4DFC">
        <w:rPr>
          <w:szCs w:val="22"/>
        </w:rPr>
        <w:t xml:space="preserve"> (i.e., $400 million pa.)</w:t>
      </w:r>
      <w:r w:rsidR="00385ACF">
        <w:rPr>
          <w:szCs w:val="22"/>
        </w:rPr>
        <w:t>.</w:t>
      </w:r>
      <w:r>
        <w:rPr>
          <w:rStyle w:val="EndnoteReference"/>
          <w:szCs w:val="22"/>
        </w:rPr>
        <w:endnoteReference w:id="572"/>
      </w:r>
      <w:r>
        <w:rPr>
          <w:szCs w:val="22"/>
        </w:rPr>
        <w:t xml:space="preserve"> </w:t>
      </w:r>
      <w:r w:rsidR="00385ACF">
        <w:rPr>
          <w:szCs w:val="22"/>
        </w:rPr>
        <w:t xml:space="preserve">This </w:t>
      </w:r>
      <w:r w:rsidR="009A4DFC">
        <w:rPr>
          <w:szCs w:val="22"/>
        </w:rPr>
        <w:t xml:space="preserve">funding </w:t>
      </w:r>
      <w:r w:rsidR="00385ACF">
        <w:rPr>
          <w:szCs w:val="22"/>
        </w:rPr>
        <w:t xml:space="preserve">threat was </w:t>
      </w:r>
      <w:r w:rsidR="00ED38D8">
        <w:rPr>
          <w:szCs w:val="22"/>
        </w:rPr>
        <w:t>eliminated</w:t>
      </w:r>
      <w:r w:rsidR="00385ACF">
        <w:rPr>
          <w:szCs w:val="22"/>
        </w:rPr>
        <w:t xml:space="preserve"> with the </w:t>
      </w:r>
      <w:r w:rsidR="00385ACF" w:rsidRPr="00ED38D8">
        <w:rPr>
          <w:rFonts w:cs="Times New Roman"/>
          <w:b/>
        </w:rPr>
        <w:t>controversial inauguration</w:t>
      </w:r>
      <w:r w:rsidR="00385ACF">
        <w:rPr>
          <w:rFonts w:cs="Times New Roman"/>
          <w:bCs w:val="0"/>
        </w:rPr>
        <w:t xml:space="preserve"> of </w:t>
      </w:r>
      <w:r w:rsidR="00ED38D8">
        <w:rPr>
          <w:rFonts w:cs="Times New Roman"/>
          <w:bCs w:val="0"/>
        </w:rPr>
        <w:t>Hunter</w:t>
      </w:r>
      <w:r w:rsidR="00385ACF">
        <w:rPr>
          <w:rFonts w:cs="Times New Roman"/>
          <w:bCs w:val="0"/>
        </w:rPr>
        <w:t xml:space="preserve"> Biden’s father as</w:t>
      </w:r>
      <w:r w:rsidR="00385ACF" w:rsidRPr="008717AA">
        <w:rPr>
          <w:rFonts w:cs="Times New Roman"/>
          <w:bCs w:val="0"/>
        </w:rPr>
        <w:t xml:space="preserve"> US President</w:t>
      </w:r>
      <w:r w:rsidR="00385ACF">
        <w:rPr>
          <w:rFonts w:cs="Times New Roman"/>
          <w:bCs w:val="0"/>
        </w:rPr>
        <w:t>.</w:t>
      </w:r>
      <w:r w:rsidR="00385ACF" w:rsidRPr="008717AA">
        <w:rPr>
          <w:rStyle w:val="EndnoteReference"/>
          <w:szCs w:val="22"/>
        </w:rPr>
        <w:endnoteReference w:id="573"/>
      </w:r>
      <w:r w:rsidR="00385ACF" w:rsidRPr="008717AA">
        <w:rPr>
          <w:szCs w:val="22"/>
          <w:vertAlign w:val="superscript"/>
        </w:rPr>
        <w:t>,</w:t>
      </w:r>
      <w:r w:rsidR="00385ACF" w:rsidRPr="008717AA">
        <w:rPr>
          <w:rStyle w:val="EndnoteReference"/>
          <w:rFonts w:cs="Times New Roman"/>
          <w:bCs w:val="0"/>
        </w:rPr>
        <w:endnoteReference w:id="574"/>
      </w:r>
      <w:r w:rsidR="00385ACF" w:rsidRPr="008717AA">
        <w:rPr>
          <w:rFonts w:cs="Times New Roman"/>
          <w:bCs w:val="0"/>
          <w:vertAlign w:val="superscript"/>
        </w:rPr>
        <w:t>,</w:t>
      </w:r>
      <w:r w:rsidR="00385ACF" w:rsidRPr="008717AA">
        <w:rPr>
          <w:rStyle w:val="EndnoteReference"/>
          <w:szCs w:val="22"/>
        </w:rPr>
        <w:endnoteReference w:id="575"/>
      </w:r>
      <w:r w:rsidR="00385ACF" w:rsidRPr="008717AA">
        <w:rPr>
          <w:szCs w:val="22"/>
          <w:vertAlign w:val="superscript"/>
        </w:rPr>
        <w:t>,</w:t>
      </w:r>
      <w:r w:rsidR="00385ACF" w:rsidRPr="008717AA">
        <w:rPr>
          <w:rStyle w:val="EndnoteReference"/>
          <w:szCs w:val="22"/>
        </w:rPr>
        <w:endnoteReference w:id="576"/>
      </w:r>
    </w:p>
    <w:p w14:paraId="0436E2E9" w14:textId="0C8A7437" w:rsidR="00467B2D" w:rsidRDefault="008A7F6E" w:rsidP="00467B2D">
      <w:pPr>
        <w:rPr>
          <w:szCs w:val="22"/>
        </w:rPr>
      </w:pPr>
      <w:r>
        <w:rPr>
          <w:szCs w:val="22"/>
        </w:rPr>
        <w:t>Disease m</w:t>
      </w:r>
      <w:r w:rsidR="00467B2D">
        <w:rPr>
          <w:szCs w:val="22"/>
        </w:rPr>
        <w:t>odeling suggests that had</w:t>
      </w:r>
      <w:r w:rsidR="00467B2D" w:rsidRPr="00B0348C">
        <w:rPr>
          <w:szCs w:val="22"/>
        </w:rPr>
        <w:t xml:space="preserve"> </w:t>
      </w:r>
      <w:r w:rsidR="00467B2D">
        <w:rPr>
          <w:szCs w:val="22"/>
        </w:rPr>
        <w:t>non-pharmaceutical intervention</w:t>
      </w:r>
      <w:r w:rsidR="00467B2D" w:rsidRPr="00B0348C">
        <w:rPr>
          <w:szCs w:val="22"/>
        </w:rPr>
        <w:t xml:space="preserve">s been </w:t>
      </w:r>
      <w:r w:rsidR="00467B2D">
        <w:rPr>
          <w:szCs w:val="22"/>
        </w:rPr>
        <w:t>implemented,</w:t>
      </w:r>
      <w:r w:rsidR="00467B2D" w:rsidRPr="00B0348C">
        <w:rPr>
          <w:szCs w:val="22"/>
        </w:rPr>
        <w:t xml:space="preserve"> </w:t>
      </w:r>
      <w:r w:rsidR="00467B2D">
        <w:rPr>
          <w:szCs w:val="22"/>
        </w:rPr>
        <w:t>including travel restrictions,</w:t>
      </w:r>
      <w:r w:rsidR="00467B2D" w:rsidRPr="00B0348C">
        <w:rPr>
          <w:szCs w:val="22"/>
        </w:rPr>
        <w:t xml:space="preserve"> one, two, or three weeks earlier in China, </w:t>
      </w:r>
      <w:r w:rsidR="00467B2D" w:rsidRPr="005F53FD">
        <w:rPr>
          <w:b/>
          <w:bCs w:val="0"/>
          <w:szCs w:val="22"/>
        </w:rPr>
        <w:t>cases could have been reduced</w:t>
      </w:r>
      <w:r w:rsidR="00467B2D" w:rsidRPr="00B0348C">
        <w:rPr>
          <w:szCs w:val="22"/>
        </w:rPr>
        <w:t xml:space="preserve"> by 66%, 86%, and 95%, respectively, </w:t>
      </w:r>
      <w:r w:rsidR="00467B2D">
        <w:rPr>
          <w:szCs w:val="22"/>
        </w:rPr>
        <w:t>while</w:t>
      </w:r>
      <w:r w:rsidR="00467B2D" w:rsidRPr="00B0348C">
        <w:rPr>
          <w:szCs w:val="22"/>
        </w:rPr>
        <w:t xml:space="preserve"> significantly reducing the number of affected </w:t>
      </w:r>
      <w:r w:rsidR="00467B2D">
        <w:rPr>
          <w:szCs w:val="22"/>
        </w:rPr>
        <w:t>geographies</w:t>
      </w:r>
      <w:r w:rsidR="00467B2D" w:rsidRPr="00B0348C">
        <w:rPr>
          <w:szCs w:val="22"/>
        </w:rPr>
        <w:t>.</w:t>
      </w:r>
      <w:r w:rsidR="00467B2D">
        <w:rPr>
          <w:rStyle w:val="EndnoteReference"/>
          <w:szCs w:val="22"/>
        </w:rPr>
        <w:endnoteReference w:id="577"/>
      </w:r>
      <w:r w:rsidR="00467B2D">
        <w:rPr>
          <w:szCs w:val="22"/>
        </w:rPr>
        <w:t xml:space="preserve"> </w:t>
      </w:r>
      <w:r w:rsidR="00A25021">
        <w:rPr>
          <w:szCs w:val="22"/>
        </w:rPr>
        <w:t xml:space="preserve">This </w:t>
      </w:r>
      <w:r w:rsidR="00C371D7">
        <w:rPr>
          <w:szCs w:val="22"/>
        </w:rPr>
        <w:t xml:space="preserve">study would imply </w:t>
      </w:r>
      <w:r w:rsidR="00A25021">
        <w:rPr>
          <w:szCs w:val="22"/>
        </w:rPr>
        <w:t xml:space="preserve">that had the WHO declared a PHEIC on or before 23/01/2020, had </w:t>
      </w:r>
      <w:r w:rsidR="001B5FCF">
        <w:rPr>
          <w:szCs w:val="22"/>
        </w:rPr>
        <w:t xml:space="preserve">the </w:t>
      </w:r>
      <w:r w:rsidR="00A25021">
        <w:rPr>
          <w:szCs w:val="22"/>
        </w:rPr>
        <w:t xml:space="preserve">IHR breaches detailed in section 2.5.1 not occurred, </w:t>
      </w:r>
      <w:r w:rsidR="001B5FCF" w:rsidRPr="001B5FCF">
        <w:rPr>
          <w:szCs w:val="22"/>
        </w:rPr>
        <w:t xml:space="preserve">had the WHO not advised against measures that unnecessarily interfered with international travel and trade, </w:t>
      </w:r>
      <w:r w:rsidR="00A25021" w:rsidRPr="001B5FCF">
        <w:rPr>
          <w:szCs w:val="22"/>
        </w:rPr>
        <w:t xml:space="preserve">and </w:t>
      </w:r>
      <w:r w:rsidR="002029FF">
        <w:rPr>
          <w:szCs w:val="22"/>
        </w:rPr>
        <w:t xml:space="preserve">had </w:t>
      </w:r>
      <w:r w:rsidR="00A25021" w:rsidRPr="001B5FCF">
        <w:rPr>
          <w:szCs w:val="22"/>
        </w:rPr>
        <w:t xml:space="preserve">an earlier disclosure </w:t>
      </w:r>
      <w:r w:rsidR="002029FF">
        <w:rPr>
          <w:szCs w:val="22"/>
        </w:rPr>
        <w:t>been</w:t>
      </w:r>
      <w:r w:rsidR="001B5FCF" w:rsidRPr="001B5FCF">
        <w:rPr>
          <w:szCs w:val="22"/>
        </w:rPr>
        <w:t xml:space="preserve"> made </w:t>
      </w:r>
      <w:r w:rsidR="00A25021" w:rsidRPr="001B5FCF">
        <w:rPr>
          <w:szCs w:val="22"/>
        </w:rPr>
        <w:t xml:space="preserve">about SARS-like cases </w:t>
      </w:r>
      <w:r w:rsidR="002029FF">
        <w:rPr>
          <w:szCs w:val="22"/>
        </w:rPr>
        <w:t>during and after</w:t>
      </w:r>
      <w:r w:rsidR="00A25021" w:rsidRPr="001B5FCF">
        <w:rPr>
          <w:szCs w:val="22"/>
        </w:rPr>
        <w:t xml:space="preserve"> the </w:t>
      </w:r>
      <w:r w:rsidR="00A25021" w:rsidRPr="001B5FCF">
        <w:rPr>
          <w:rFonts w:cs="Times New Roman"/>
          <w:szCs w:val="22"/>
        </w:rPr>
        <w:t>Wuhan Military World Games</w:t>
      </w:r>
      <w:r w:rsidR="00A25021" w:rsidRPr="001B5FCF">
        <w:rPr>
          <w:szCs w:val="22"/>
        </w:rPr>
        <w:t xml:space="preserve">, then </w:t>
      </w:r>
      <w:r w:rsidR="001B5FCF">
        <w:rPr>
          <w:szCs w:val="22"/>
        </w:rPr>
        <w:t xml:space="preserve">a containable outbreak might not have </w:t>
      </w:r>
      <w:r w:rsidR="001B5FCF" w:rsidRPr="001B5FCF">
        <w:rPr>
          <w:b/>
          <w:bCs w:val="0"/>
          <w:szCs w:val="22"/>
        </w:rPr>
        <w:t xml:space="preserve">ignited a </w:t>
      </w:r>
      <w:r w:rsidR="00A25021" w:rsidRPr="001B5FCF">
        <w:rPr>
          <w:b/>
          <w:bCs w:val="0"/>
          <w:szCs w:val="22"/>
        </w:rPr>
        <w:t>pandemic</w:t>
      </w:r>
      <w:r w:rsidR="00A25021" w:rsidRPr="001B5FCF">
        <w:rPr>
          <w:szCs w:val="22"/>
        </w:rPr>
        <w:t xml:space="preserve">. </w:t>
      </w:r>
    </w:p>
    <w:p w14:paraId="48ABADDB" w14:textId="3FE3C0DD" w:rsidR="00467B2D" w:rsidRDefault="00467B2D" w:rsidP="00660BB8">
      <w:pPr>
        <w:pStyle w:val="Heading2"/>
      </w:pPr>
      <w:bookmarkStart w:id="230" w:name="_Toc509513520"/>
      <w:bookmarkStart w:id="231" w:name="_Toc510678539"/>
      <w:bookmarkStart w:id="232" w:name="_Toc510880043"/>
      <w:bookmarkStart w:id="233" w:name="_Toc512275172"/>
      <w:bookmarkStart w:id="234" w:name="_Toc512360390"/>
      <w:bookmarkStart w:id="235" w:name="_Toc516645082"/>
      <w:bookmarkStart w:id="236" w:name="_Toc517556100"/>
      <w:bookmarkStart w:id="237" w:name="_Toc113965086"/>
      <w:bookmarkStart w:id="238" w:name="_Toc121035156"/>
      <w:r>
        <w:t>Who Control</w:t>
      </w:r>
      <w:r w:rsidR="00095CD3">
        <w:t>led</w:t>
      </w:r>
      <w:r w:rsidR="001B5FCF">
        <w:t xml:space="preserve"> </w:t>
      </w:r>
      <w:r w:rsidR="00D36BE2">
        <w:t xml:space="preserve">the Potential </w:t>
      </w:r>
      <w:r w:rsidR="00FC6AA8">
        <w:t xml:space="preserve">for </w:t>
      </w:r>
      <w:r w:rsidR="00663C50">
        <w:t xml:space="preserve">Perpetual </w:t>
      </w:r>
      <w:r w:rsidR="00D36BE2">
        <w:t xml:space="preserve">Mass Death by </w:t>
      </w:r>
      <w:r w:rsidR="00095CD3">
        <w:t>Coronavirus</w:t>
      </w:r>
      <w:r w:rsidR="0072040C">
        <w:t xml:space="preserve"> and COVID-19 Vaccination</w:t>
      </w:r>
      <w:r>
        <w:t>?</w:t>
      </w:r>
      <w:bookmarkEnd w:id="230"/>
      <w:bookmarkEnd w:id="231"/>
      <w:bookmarkEnd w:id="232"/>
      <w:bookmarkEnd w:id="233"/>
      <w:bookmarkEnd w:id="234"/>
      <w:bookmarkEnd w:id="235"/>
      <w:bookmarkEnd w:id="236"/>
      <w:bookmarkEnd w:id="237"/>
      <w:bookmarkEnd w:id="238"/>
    </w:p>
    <w:p w14:paraId="7D3980A6" w14:textId="790E37F5" w:rsidR="00467B2D" w:rsidRPr="00C97123" w:rsidRDefault="00467B2D" w:rsidP="00467B2D">
      <w:pPr>
        <w:rPr>
          <w:szCs w:val="22"/>
        </w:rPr>
      </w:pPr>
      <w:r w:rsidRPr="00C97123">
        <w:rPr>
          <w:szCs w:val="22"/>
        </w:rPr>
        <w:t xml:space="preserve">What </w:t>
      </w:r>
      <w:r>
        <w:rPr>
          <w:szCs w:val="22"/>
        </w:rPr>
        <w:t>was</w:t>
      </w:r>
      <w:r w:rsidRPr="00C97123">
        <w:rPr>
          <w:szCs w:val="22"/>
        </w:rPr>
        <w:t xml:space="preserve"> </w:t>
      </w:r>
      <w:r>
        <w:rPr>
          <w:szCs w:val="22"/>
        </w:rPr>
        <w:t>an important</w:t>
      </w:r>
      <w:r w:rsidRPr="00C97123">
        <w:rPr>
          <w:szCs w:val="22"/>
        </w:rPr>
        <w:t xml:space="preserve"> </w:t>
      </w:r>
      <w:r w:rsidRPr="00D44039">
        <w:rPr>
          <w:iCs/>
          <w:szCs w:val="22"/>
        </w:rPr>
        <w:t>consequence</w:t>
      </w:r>
      <w:r w:rsidRPr="00C97123">
        <w:rPr>
          <w:szCs w:val="22"/>
        </w:rPr>
        <w:t xml:space="preserve"> of conducting </w:t>
      </w:r>
      <w:r>
        <w:rPr>
          <w:szCs w:val="22"/>
        </w:rPr>
        <w:t xml:space="preserve">coronavirus </w:t>
      </w:r>
      <w:r w:rsidRPr="00C97123">
        <w:rPr>
          <w:szCs w:val="22"/>
        </w:rPr>
        <w:t>gain-of-function research</w:t>
      </w:r>
      <w:r w:rsidR="001B5FCF">
        <w:rPr>
          <w:szCs w:val="22"/>
        </w:rPr>
        <w:t xml:space="preserve"> in the USA, China, </w:t>
      </w:r>
      <w:r w:rsidR="00C371D7">
        <w:rPr>
          <w:szCs w:val="22"/>
        </w:rPr>
        <w:t>or</w:t>
      </w:r>
      <w:r w:rsidR="001B5FCF">
        <w:rPr>
          <w:szCs w:val="22"/>
        </w:rPr>
        <w:t xml:space="preserve"> potentially in </w:t>
      </w:r>
      <w:r w:rsidR="00033EDF">
        <w:rPr>
          <w:szCs w:val="22"/>
        </w:rPr>
        <w:t>Pentagon-operated</w:t>
      </w:r>
      <w:r w:rsidR="001B5FCF">
        <w:rPr>
          <w:szCs w:val="22"/>
        </w:rPr>
        <w:t xml:space="preserve"> </w:t>
      </w:r>
      <w:r w:rsidR="00663C50">
        <w:rPr>
          <w:szCs w:val="22"/>
        </w:rPr>
        <w:t>Biolabs</w:t>
      </w:r>
      <w:r w:rsidR="001B5FCF">
        <w:rPr>
          <w:szCs w:val="22"/>
        </w:rPr>
        <w:t xml:space="preserve"> situated in countries between Russia, China, Iran, </w:t>
      </w:r>
      <w:r w:rsidR="00F42C2A">
        <w:rPr>
          <w:szCs w:val="22"/>
        </w:rPr>
        <w:t>or</w:t>
      </w:r>
      <w:r w:rsidR="001B5FCF">
        <w:rPr>
          <w:szCs w:val="22"/>
        </w:rPr>
        <w:t xml:space="preserve"> elsewhere</w:t>
      </w:r>
      <w:r w:rsidRPr="00C97123">
        <w:rPr>
          <w:szCs w:val="22"/>
        </w:rPr>
        <w:t xml:space="preserve">? It </w:t>
      </w:r>
      <w:r>
        <w:rPr>
          <w:szCs w:val="22"/>
        </w:rPr>
        <w:t>gave</w:t>
      </w:r>
      <w:r w:rsidRPr="00C97123">
        <w:rPr>
          <w:szCs w:val="22"/>
        </w:rPr>
        <w:t xml:space="preserve"> </w:t>
      </w:r>
      <w:r w:rsidR="001B5FCF">
        <w:rPr>
          <w:szCs w:val="22"/>
        </w:rPr>
        <w:t xml:space="preserve">a </w:t>
      </w:r>
      <w:r w:rsidR="001B5FCF" w:rsidRPr="00E81FBF">
        <w:rPr>
          <w:b/>
          <w:bCs w:val="0"/>
          <w:szCs w:val="22"/>
        </w:rPr>
        <w:t>powerful</w:t>
      </w:r>
      <w:r w:rsidR="00033EDF">
        <w:rPr>
          <w:b/>
          <w:bCs w:val="0"/>
          <w:szCs w:val="22"/>
        </w:rPr>
        <w:t>,</w:t>
      </w:r>
      <w:r w:rsidR="001B5FCF" w:rsidRPr="00E81FBF">
        <w:rPr>
          <w:b/>
          <w:bCs w:val="0"/>
          <w:szCs w:val="22"/>
        </w:rPr>
        <w:t xml:space="preserve"> </w:t>
      </w:r>
      <w:r w:rsidR="00E81FBF" w:rsidRPr="00E81FBF">
        <w:rPr>
          <w:b/>
          <w:bCs w:val="0"/>
          <w:szCs w:val="22"/>
        </w:rPr>
        <w:t xml:space="preserve">strategically </w:t>
      </w:r>
      <w:r w:rsidR="00650C55" w:rsidRPr="00E81FBF">
        <w:rPr>
          <w:b/>
          <w:bCs w:val="0"/>
          <w:szCs w:val="22"/>
        </w:rPr>
        <w:t>aggressive</w:t>
      </w:r>
      <w:r w:rsidR="00650C55">
        <w:rPr>
          <w:szCs w:val="22"/>
        </w:rPr>
        <w:t xml:space="preserve"> </w:t>
      </w:r>
      <w:r w:rsidR="00642C30">
        <w:rPr>
          <w:szCs w:val="22"/>
        </w:rPr>
        <w:t xml:space="preserve">nation, </w:t>
      </w:r>
      <w:r w:rsidR="001B5FCF">
        <w:rPr>
          <w:szCs w:val="22"/>
        </w:rPr>
        <w:t>someone(s), group</w:t>
      </w:r>
      <w:r w:rsidR="00F42C2A">
        <w:rPr>
          <w:szCs w:val="22"/>
        </w:rPr>
        <w:t>(s)</w:t>
      </w:r>
      <w:r w:rsidR="001B5FCF">
        <w:rPr>
          <w:szCs w:val="22"/>
        </w:rPr>
        <w:t xml:space="preserve">, or </w:t>
      </w:r>
      <w:r w:rsidR="00F42C2A">
        <w:rPr>
          <w:szCs w:val="22"/>
        </w:rPr>
        <w:t>an organizational</w:t>
      </w:r>
      <w:r w:rsidR="001B5FCF">
        <w:rPr>
          <w:szCs w:val="22"/>
        </w:rPr>
        <w:t xml:space="preserve"> entity </w:t>
      </w:r>
      <w:r w:rsidR="00C371D7">
        <w:rPr>
          <w:szCs w:val="22"/>
        </w:rPr>
        <w:t xml:space="preserve">(i.e., </w:t>
      </w:r>
      <w:r w:rsidR="00642C30">
        <w:rPr>
          <w:szCs w:val="22"/>
        </w:rPr>
        <w:t xml:space="preserve">a </w:t>
      </w:r>
      <w:r w:rsidR="001B5FCF">
        <w:rPr>
          <w:szCs w:val="22"/>
        </w:rPr>
        <w:t>transnational deep state</w:t>
      </w:r>
      <w:r w:rsidR="00C371D7">
        <w:rPr>
          <w:szCs w:val="22"/>
        </w:rPr>
        <w:t xml:space="preserve">) </w:t>
      </w:r>
      <w:r w:rsidR="001B5FCF">
        <w:rPr>
          <w:szCs w:val="22"/>
        </w:rPr>
        <w:t xml:space="preserve">operating outside of democratically elected government powers </w:t>
      </w:r>
      <w:r w:rsidRPr="00C97123">
        <w:rPr>
          <w:szCs w:val="22"/>
        </w:rPr>
        <w:t>a</w:t>
      </w:r>
      <w:r>
        <w:rPr>
          <w:szCs w:val="22"/>
        </w:rPr>
        <w:t xml:space="preserve"> </w:t>
      </w:r>
      <w:r w:rsidRPr="00095CD3">
        <w:rPr>
          <w:szCs w:val="22"/>
        </w:rPr>
        <w:t xml:space="preserve">potential means to </w:t>
      </w:r>
      <w:r w:rsidR="00F42C2A" w:rsidRPr="00095CD3">
        <w:rPr>
          <w:szCs w:val="22"/>
        </w:rPr>
        <w:t>commit genocide</w:t>
      </w:r>
      <w:r w:rsidR="00F42C2A">
        <w:rPr>
          <w:szCs w:val="22"/>
        </w:rPr>
        <w:t xml:space="preserve"> </w:t>
      </w:r>
      <w:r w:rsidRPr="00C97123">
        <w:rPr>
          <w:szCs w:val="22"/>
        </w:rPr>
        <w:t>(</w:t>
      </w:r>
      <w:r w:rsidRPr="0010616A">
        <w:rPr>
          <w:b/>
          <w:bCs w:val="0"/>
          <w:szCs w:val="22"/>
        </w:rPr>
        <w:t>Control of Genocide-potential</w:t>
      </w:r>
      <w:r w:rsidRPr="00C97123">
        <w:rPr>
          <w:szCs w:val="22"/>
        </w:rPr>
        <w:t>).</w:t>
      </w:r>
    </w:p>
    <w:p w14:paraId="22095532" w14:textId="5D98BFFB" w:rsidR="00467B2D" w:rsidRPr="00C97123" w:rsidRDefault="00467B2D" w:rsidP="00467B2D">
      <w:pPr>
        <w:rPr>
          <w:szCs w:val="22"/>
        </w:rPr>
      </w:pPr>
      <w:r w:rsidRPr="00C97123">
        <w:rPr>
          <w:szCs w:val="22"/>
        </w:rPr>
        <w:t xml:space="preserve">What </w:t>
      </w:r>
      <w:r w:rsidR="00F42C2A">
        <w:rPr>
          <w:szCs w:val="22"/>
        </w:rPr>
        <w:t>does a</w:t>
      </w:r>
      <w:r w:rsidRPr="00C97123">
        <w:rPr>
          <w:szCs w:val="22"/>
        </w:rPr>
        <w:t xml:space="preserve"> tardy declaration of a </w:t>
      </w:r>
      <w:r>
        <w:rPr>
          <w:szCs w:val="22"/>
        </w:rPr>
        <w:t>PHEIC</w:t>
      </w:r>
      <w:r w:rsidR="001B5FCF">
        <w:rPr>
          <w:szCs w:val="22"/>
        </w:rPr>
        <w:t xml:space="preserve">, </w:t>
      </w:r>
      <w:r w:rsidR="00F42C2A">
        <w:rPr>
          <w:szCs w:val="22"/>
        </w:rPr>
        <w:t xml:space="preserve">critical </w:t>
      </w:r>
      <w:r w:rsidR="001B5FCF">
        <w:rPr>
          <w:szCs w:val="22"/>
        </w:rPr>
        <w:t>IHR Article breaches,</w:t>
      </w:r>
      <w:r w:rsidRPr="00C97123">
        <w:rPr>
          <w:szCs w:val="22"/>
        </w:rPr>
        <w:t xml:space="preserve"> </w:t>
      </w:r>
      <w:r w:rsidR="001B5FCF">
        <w:rPr>
          <w:szCs w:val="22"/>
        </w:rPr>
        <w:t>and</w:t>
      </w:r>
      <w:r w:rsidRPr="00C97123">
        <w:rPr>
          <w:szCs w:val="22"/>
        </w:rPr>
        <w:t xml:space="preserve"> advising the world not to </w:t>
      </w:r>
      <w:r w:rsidR="001B5FCF">
        <w:rPr>
          <w:szCs w:val="22"/>
        </w:rPr>
        <w:t xml:space="preserve">take measures that </w:t>
      </w:r>
      <w:r w:rsidRPr="00C97123">
        <w:rPr>
          <w:szCs w:val="22"/>
        </w:rPr>
        <w:t xml:space="preserve">restrict travel and trade </w:t>
      </w:r>
      <w:r w:rsidR="00F42C2A">
        <w:rPr>
          <w:szCs w:val="22"/>
        </w:rPr>
        <w:t xml:space="preserve">in the critical early stages of </w:t>
      </w:r>
      <w:r w:rsidR="00663C50">
        <w:rPr>
          <w:szCs w:val="22"/>
        </w:rPr>
        <w:t>the</w:t>
      </w:r>
      <w:r w:rsidR="00F42C2A">
        <w:rPr>
          <w:szCs w:val="22"/>
        </w:rPr>
        <w:t xml:space="preserve"> pandemic teach us</w:t>
      </w:r>
      <w:r w:rsidRPr="00C97123">
        <w:rPr>
          <w:szCs w:val="22"/>
        </w:rPr>
        <w:t xml:space="preserve">? </w:t>
      </w:r>
      <w:r w:rsidR="001B5FCF">
        <w:rPr>
          <w:szCs w:val="22"/>
        </w:rPr>
        <w:t xml:space="preserve">It illuminates </w:t>
      </w:r>
      <w:r w:rsidRPr="00C97123">
        <w:rPr>
          <w:szCs w:val="22"/>
        </w:rPr>
        <w:t xml:space="preserve">the possibility </w:t>
      </w:r>
      <w:r w:rsidRPr="002D2EF4">
        <w:rPr>
          <w:szCs w:val="22"/>
        </w:rPr>
        <w:t xml:space="preserve">that </w:t>
      </w:r>
      <w:r w:rsidR="00ED38D8">
        <w:rPr>
          <w:szCs w:val="22"/>
        </w:rPr>
        <w:t xml:space="preserve">enhanced </w:t>
      </w:r>
      <w:r w:rsidR="00D36BE2" w:rsidRPr="002D2EF4">
        <w:rPr>
          <w:szCs w:val="22"/>
        </w:rPr>
        <w:t>global disease spre</w:t>
      </w:r>
      <w:r w:rsidR="00C371D7">
        <w:rPr>
          <w:szCs w:val="22"/>
        </w:rPr>
        <w:t>ad is a</w:t>
      </w:r>
      <w:r>
        <w:rPr>
          <w:szCs w:val="22"/>
        </w:rPr>
        <w:t xml:space="preserve"> hypothetical consequence of</w:t>
      </w:r>
      <w:r w:rsidRPr="007973C9">
        <w:rPr>
          <w:szCs w:val="22"/>
        </w:rPr>
        <w:t xml:space="preserve"> </w:t>
      </w:r>
      <w:r w:rsidR="001B5FCF" w:rsidRPr="002D2EF4">
        <w:rPr>
          <w:b/>
          <w:szCs w:val="22"/>
        </w:rPr>
        <w:t>transboundary disease control</w:t>
      </w:r>
      <w:r w:rsidRPr="002D2EF4">
        <w:rPr>
          <w:b/>
          <w:szCs w:val="22"/>
        </w:rPr>
        <w:t xml:space="preserve"> decision-making</w:t>
      </w:r>
      <w:r w:rsidRPr="00C97123">
        <w:rPr>
          <w:szCs w:val="22"/>
        </w:rPr>
        <w:t>.</w:t>
      </w:r>
    </w:p>
    <w:p w14:paraId="281C03D0" w14:textId="4AC92A51" w:rsidR="000D2E39" w:rsidRDefault="00467B2D" w:rsidP="000D2E39">
      <w:pPr>
        <w:rPr>
          <w:szCs w:val="22"/>
        </w:rPr>
      </w:pPr>
      <w:r w:rsidRPr="00663C50">
        <w:rPr>
          <w:szCs w:val="22"/>
        </w:rPr>
        <w:lastRenderedPageBreak/>
        <w:t xml:space="preserve">What </w:t>
      </w:r>
      <w:r w:rsidR="00663C50">
        <w:rPr>
          <w:szCs w:val="22"/>
        </w:rPr>
        <w:t>were the important</w:t>
      </w:r>
      <w:r w:rsidRPr="00663C50">
        <w:rPr>
          <w:szCs w:val="22"/>
        </w:rPr>
        <w:t xml:space="preserve"> consequence</w:t>
      </w:r>
      <w:r w:rsidR="00663C50">
        <w:rPr>
          <w:szCs w:val="22"/>
        </w:rPr>
        <w:t>s</w:t>
      </w:r>
      <w:r w:rsidRPr="00663C50">
        <w:rPr>
          <w:szCs w:val="22"/>
        </w:rPr>
        <w:t xml:space="preserve"> of </w:t>
      </w:r>
      <w:r w:rsidR="007150EE" w:rsidRPr="00663C50">
        <w:rPr>
          <w:szCs w:val="22"/>
        </w:rPr>
        <w:t xml:space="preserve">not </w:t>
      </w:r>
      <w:r w:rsidR="008513BE">
        <w:rPr>
          <w:szCs w:val="22"/>
        </w:rPr>
        <w:t>recommending</w:t>
      </w:r>
      <w:r w:rsidR="007150EE" w:rsidRPr="00663C50">
        <w:rPr>
          <w:szCs w:val="22"/>
        </w:rPr>
        <w:t xml:space="preserve"> </w:t>
      </w:r>
      <w:r w:rsidRPr="00663C50">
        <w:rPr>
          <w:szCs w:val="22"/>
        </w:rPr>
        <w:t xml:space="preserve">prophylactic </w:t>
      </w:r>
      <w:r w:rsidRPr="00ED53BF">
        <w:rPr>
          <w:b/>
          <w:bCs w:val="0"/>
          <w:szCs w:val="22"/>
        </w:rPr>
        <w:t>Ivermectin</w:t>
      </w:r>
      <w:r w:rsidRPr="00663C50">
        <w:rPr>
          <w:szCs w:val="22"/>
        </w:rPr>
        <w:t xml:space="preserve"> use</w:t>
      </w:r>
      <w:r w:rsidR="007150EE" w:rsidRPr="00663C50">
        <w:rPr>
          <w:szCs w:val="22"/>
        </w:rPr>
        <w:t xml:space="preserve"> </w:t>
      </w:r>
      <w:r w:rsidR="00D36BE2" w:rsidRPr="00663C50">
        <w:rPr>
          <w:szCs w:val="22"/>
        </w:rPr>
        <w:t xml:space="preserve">in the early stages of the pandemic </w:t>
      </w:r>
      <w:r w:rsidR="007150EE" w:rsidRPr="00663C50">
        <w:rPr>
          <w:szCs w:val="22"/>
        </w:rPr>
        <w:t xml:space="preserve">other than in </w:t>
      </w:r>
      <w:r w:rsidR="007150EE" w:rsidRPr="00ED53BF">
        <w:rPr>
          <w:b/>
          <w:bCs w:val="0"/>
          <w:szCs w:val="22"/>
        </w:rPr>
        <w:t>controlled clinical studies</w:t>
      </w:r>
      <w:r w:rsidR="000D2E39" w:rsidRPr="00663C50">
        <w:rPr>
          <w:szCs w:val="22"/>
        </w:rPr>
        <w:t xml:space="preserve"> (WHO,</w:t>
      </w:r>
      <w:r w:rsidR="000D2E39" w:rsidRPr="00663C50">
        <w:rPr>
          <w:rStyle w:val="EndnoteReference"/>
          <w:szCs w:val="22"/>
        </w:rPr>
        <w:endnoteReference w:id="578"/>
      </w:r>
      <w:r w:rsidR="000D2E39" w:rsidRPr="00663C50">
        <w:rPr>
          <w:szCs w:val="22"/>
        </w:rPr>
        <w:t xml:space="preserve"> NIH</w:t>
      </w:r>
      <w:r w:rsidR="000D2E39" w:rsidRPr="00663C50">
        <w:rPr>
          <w:rStyle w:val="EndnoteReference"/>
          <w:szCs w:val="22"/>
        </w:rPr>
        <w:endnoteReference w:id="579"/>
      </w:r>
      <w:r w:rsidR="000D2E39" w:rsidRPr="00663C50">
        <w:rPr>
          <w:szCs w:val="22"/>
        </w:rPr>
        <w:t>)</w:t>
      </w:r>
      <w:r w:rsidR="007150EE" w:rsidRPr="00663C50">
        <w:rPr>
          <w:szCs w:val="22"/>
        </w:rPr>
        <w:t>?</w:t>
      </w:r>
      <w:r w:rsidR="000D2E39" w:rsidRPr="00663C50">
        <w:rPr>
          <w:szCs w:val="22"/>
        </w:rPr>
        <w:t xml:space="preserve"> </w:t>
      </w:r>
      <w:r w:rsidR="00663C50" w:rsidRPr="00663C50">
        <w:rPr>
          <w:szCs w:val="22"/>
        </w:rPr>
        <w:t>This leadership</w:t>
      </w:r>
      <w:r w:rsidRPr="00663C50">
        <w:rPr>
          <w:szCs w:val="22"/>
        </w:rPr>
        <w:t xml:space="preserve"> eliminated a cheap (i.e., Bangladesh, US$0.60-$1.80 for a 5-day course) and early</w:t>
      </w:r>
      <w:r w:rsidR="00D36BE2" w:rsidRPr="00663C50">
        <w:rPr>
          <w:szCs w:val="22"/>
        </w:rPr>
        <w:t xml:space="preserve"> prophylactic means of ameliorating the disease and death impact </w:t>
      </w:r>
      <w:r w:rsidR="00973735">
        <w:rPr>
          <w:szCs w:val="22"/>
        </w:rPr>
        <w:t xml:space="preserve">at the national level </w:t>
      </w:r>
      <w:r w:rsidR="00D36BE2" w:rsidRPr="00663C50">
        <w:rPr>
          <w:szCs w:val="22"/>
        </w:rPr>
        <w:t>during COVID-19 pandemic waves</w:t>
      </w:r>
      <w:r w:rsidR="000D2E39" w:rsidRPr="00663C50">
        <w:rPr>
          <w:szCs w:val="22"/>
        </w:rPr>
        <w:t>,</w:t>
      </w:r>
      <w:r w:rsidR="001E56F6" w:rsidRPr="001E56F6">
        <w:rPr>
          <w:rStyle w:val="EndnoteReference"/>
          <w:szCs w:val="22"/>
        </w:rPr>
        <w:endnoteReference w:id="580"/>
      </w:r>
      <w:r w:rsidR="001E56F6" w:rsidRPr="001E56F6">
        <w:rPr>
          <w:szCs w:val="22"/>
          <w:vertAlign w:val="superscript"/>
        </w:rPr>
        <w:t>,</w:t>
      </w:r>
      <w:r w:rsidR="00D36BE2" w:rsidRPr="001E56F6">
        <w:rPr>
          <w:rStyle w:val="EndnoteReference"/>
          <w:szCs w:val="22"/>
        </w:rPr>
        <w:endnoteReference w:id="581"/>
      </w:r>
      <w:r w:rsidR="00D36BE2" w:rsidRPr="001E56F6">
        <w:rPr>
          <w:szCs w:val="22"/>
          <w:vertAlign w:val="superscript"/>
        </w:rPr>
        <w:t>,</w:t>
      </w:r>
      <w:r w:rsidR="00D36BE2" w:rsidRPr="00663C50">
        <w:rPr>
          <w:rStyle w:val="EndnoteReference"/>
          <w:szCs w:val="22"/>
        </w:rPr>
        <w:endnoteReference w:id="582"/>
      </w:r>
      <w:r w:rsidR="00D36BE2" w:rsidRPr="00663C50">
        <w:rPr>
          <w:szCs w:val="22"/>
          <w:vertAlign w:val="superscript"/>
        </w:rPr>
        <w:t xml:space="preserve"> </w:t>
      </w:r>
      <w:r w:rsidR="000D2E39" w:rsidRPr="00663C50">
        <w:rPr>
          <w:szCs w:val="22"/>
        </w:rPr>
        <w:t>like in India.</w:t>
      </w:r>
      <w:r w:rsidR="000D2E39" w:rsidRPr="00663C50">
        <w:rPr>
          <w:rStyle w:val="EndnoteReference"/>
          <w:szCs w:val="22"/>
        </w:rPr>
        <w:endnoteReference w:id="583"/>
      </w:r>
      <w:r w:rsidR="000D2E39" w:rsidRPr="00663C50">
        <w:rPr>
          <w:szCs w:val="22"/>
        </w:rPr>
        <w:t xml:space="preserve"> </w:t>
      </w:r>
      <w:r w:rsidR="000D2E39" w:rsidRPr="00663C50">
        <w:rPr>
          <w:rStyle w:val="EndnoteReference"/>
          <w:szCs w:val="22"/>
        </w:rPr>
        <w:endnoteReference w:id="584"/>
      </w:r>
      <w:r w:rsidR="000D2E39" w:rsidRPr="00663C50">
        <w:rPr>
          <w:szCs w:val="22"/>
          <w:vertAlign w:val="superscript"/>
        </w:rPr>
        <w:t>,</w:t>
      </w:r>
      <w:r w:rsidR="000D2E39" w:rsidRPr="00663C50">
        <w:rPr>
          <w:rStyle w:val="EndnoteReference"/>
          <w:szCs w:val="22"/>
        </w:rPr>
        <w:endnoteReference w:id="585"/>
      </w:r>
      <w:r w:rsidR="000D2E39" w:rsidRPr="00663C50">
        <w:rPr>
          <w:szCs w:val="22"/>
        </w:rPr>
        <w:t xml:space="preserve"> </w:t>
      </w:r>
      <w:r w:rsidR="00D36BE2" w:rsidRPr="00663C50">
        <w:rPr>
          <w:szCs w:val="22"/>
        </w:rPr>
        <w:t xml:space="preserve">Ivermectin </w:t>
      </w:r>
      <w:r w:rsidR="007150EE" w:rsidRPr="00663C50">
        <w:rPr>
          <w:szCs w:val="22"/>
        </w:rPr>
        <w:t>block</w:t>
      </w:r>
      <w:r w:rsidR="00D36BE2" w:rsidRPr="00663C50">
        <w:rPr>
          <w:szCs w:val="22"/>
        </w:rPr>
        <w:t>s</w:t>
      </w:r>
      <w:r w:rsidR="007150EE" w:rsidRPr="00663C50">
        <w:rPr>
          <w:szCs w:val="22"/>
        </w:rPr>
        <w:t xml:space="preserve"> the spike protein receptor binding domain</w:t>
      </w:r>
      <w:r w:rsidR="00D36BE2" w:rsidRPr="00663C50">
        <w:rPr>
          <w:szCs w:val="22"/>
        </w:rPr>
        <w:t>’s</w:t>
      </w:r>
      <w:r w:rsidR="007150EE" w:rsidRPr="00663C50">
        <w:rPr>
          <w:szCs w:val="22"/>
        </w:rPr>
        <w:t xml:space="preserve"> </w:t>
      </w:r>
      <w:r w:rsidR="000D2E39" w:rsidRPr="00663C50">
        <w:rPr>
          <w:szCs w:val="22"/>
        </w:rPr>
        <w:t xml:space="preserve">(RBD) </w:t>
      </w:r>
      <w:r w:rsidR="007150EE" w:rsidRPr="00663C50">
        <w:rPr>
          <w:szCs w:val="22"/>
        </w:rPr>
        <w:t>interaction with the ACE2 receptor</w:t>
      </w:r>
      <w:r w:rsidR="00D36BE2" w:rsidRPr="00663C50">
        <w:rPr>
          <w:szCs w:val="22"/>
        </w:rPr>
        <w:t>.</w:t>
      </w:r>
      <w:r w:rsidRPr="00663C50">
        <w:rPr>
          <w:rStyle w:val="EndnoteReference"/>
          <w:szCs w:val="22"/>
        </w:rPr>
        <w:endnoteReference w:id="586"/>
      </w:r>
      <w:r w:rsidRPr="00663C50">
        <w:rPr>
          <w:szCs w:val="22"/>
          <w:vertAlign w:val="superscript"/>
        </w:rPr>
        <w:t>,</w:t>
      </w:r>
      <w:r w:rsidRPr="00663C50">
        <w:rPr>
          <w:rStyle w:val="EndnoteReference"/>
          <w:szCs w:val="22"/>
        </w:rPr>
        <w:endnoteReference w:id="587"/>
      </w:r>
      <w:r w:rsidRPr="00663C50">
        <w:rPr>
          <w:szCs w:val="22"/>
          <w:vertAlign w:val="superscript"/>
        </w:rPr>
        <w:t>,</w:t>
      </w:r>
      <w:r w:rsidRPr="00663C50">
        <w:rPr>
          <w:rStyle w:val="EndnoteReference"/>
          <w:szCs w:val="22"/>
        </w:rPr>
        <w:endnoteReference w:id="588"/>
      </w:r>
      <w:r w:rsidRPr="00663C50">
        <w:rPr>
          <w:szCs w:val="22"/>
          <w:vertAlign w:val="superscript"/>
        </w:rPr>
        <w:t>,</w:t>
      </w:r>
      <w:r w:rsidRPr="00663C50">
        <w:rPr>
          <w:rStyle w:val="EndnoteReference"/>
        </w:rPr>
        <w:endnoteReference w:id="589"/>
      </w:r>
      <w:r w:rsidRPr="00663C50">
        <w:rPr>
          <w:szCs w:val="22"/>
          <w:vertAlign w:val="superscript"/>
        </w:rPr>
        <w:t xml:space="preserve"> </w:t>
      </w:r>
      <w:r w:rsidR="000D5476">
        <w:rPr>
          <w:szCs w:val="22"/>
        </w:rPr>
        <w:t>Ivermectin</w:t>
      </w:r>
      <w:r w:rsidR="000D2E39" w:rsidRPr="00663C50">
        <w:rPr>
          <w:szCs w:val="22"/>
        </w:rPr>
        <w:t xml:space="preserve"> could have </w:t>
      </w:r>
      <w:r w:rsidR="000D5476">
        <w:rPr>
          <w:szCs w:val="22"/>
        </w:rPr>
        <w:t>provided</w:t>
      </w:r>
      <w:r w:rsidR="000D2E39" w:rsidRPr="00663C50">
        <w:rPr>
          <w:szCs w:val="22"/>
        </w:rPr>
        <w:t xml:space="preserve"> a medical </w:t>
      </w:r>
      <w:r w:rsidR="00663C50">
        <w:rPr>
          <w:szCs w:val="22"/>
        </w:rPr>
        <w:t>countermeasure</w:t>
      </w:r>
      <w:r w:rsidR="000D2E39" w:rsidRPr="00663C50">
        <w:rPr>
          <w:szCs w:val="22"/>
        </w:rPr>
        <w:t xml:space="preserve"> to the </w:t>
      </w:r>
      <w:r w:rsidR="000D5476">
        <w:rPr>
          <w:szCs w:val="22"/>
        </w:rPr>
        <w:t>ACE2-spike protein</w:t>
      </w:r>
      <w:r w:rsidR="008513BE">
        <w:rPr>
          <w:szCs w:val="22"/>
        </w:rPr>
        <w:t>-furin</w:t>
      </w:r>
      <w:r w:rsidR="000D5476">
        <w:rPr>
          <w:szCs w:val="22"/>
        </w:rPr>
        <w:t xml:space="preserve"> interaction and </w:t>
      </w:r>
      <w:r w:rsidR="000D5476" w:rsidRPr="008513BE">
        <w:rPr>
          <w:b/>
          <w:bCs w:val="0"/>
          <w:szCs w:val="22"/>
        </w:rPr>
        <w:t xml:space="preserve">neutralized </w:t>
      </w:r>
      <w:r w:rsidR="000D5476" w:rsidRPr="008513BE">
        <w:rPr>
          <w:szCs w:val="22"/>
        </w:rPr>
        <w:t>this gain-of-function</w:t>
      </w:r>
      <w:r w:rsidR="000D5476">
        <w:rPr>
          <w:szCs w:val="22"/>
        </w:rPr>
        <w:t xml:space="preserve"> modified </w:t>
      </w:r>
      <w:r w:rsidR="000D2E39" w:rsidRPr="00663C50">
        <w:rPr>
          <w:szCs w:val="22"/>
        </w:rPr>
        <w:t>SARS-CoV-2</w:t>
      </w:r>
      <w:r w:rsidR="000D5476">
        <w:rPr>
          <w:szCs w:val="22"/>
        </w:rPr>
        <w:t xml:space="preserve"> </w:t>
      </w:r>
      <w:r w:rsidR="00C371D7" w:rsidRPr="00ED53BF">
        <w:rPr>
          <w:b/>
          <w:bCs w:val="0"/>
          <w:szCs w:val="22"/>
        </w:rPr>
        <w:t>without needing</w:t>
      </w:r>
      <w:r w:rsidR="00C371D7">
        <w:rPr>
          <w:szCs w:val="22"/>
        </w:rPr>
        <w:t xml:space="preserve"> to vaccinate all demographics</w:t>
      </w:r>
      <w:r w:rsidR="000D2E39" w:rsidRPr="00663C50">
        <w:rPr>
          <w:szCs w:val="22"/>
        </w:rPr>
        <w:t xml:space="preserve">. Ultimately, this meant governments who followed these WHO guidelines were </w:t>
      </w:r>
      <w:r w:rsidR="000D2E39" w:rsidRPr="00663C50">
        <w:rPr>
          <w:b/>
          <w:bCs w:val="0"/>
          <w:szCs w:val="22"/>
        </w:rPr>
        <w:t xml:space="preserve">left </w:t>
      </w:r>
      <w:r w:rsidR="00663C50">
        <w:rPr>
          <w:b/>
          <w:bCs w:val="0"/>
          <w:szCs w:val="22"/>
        </w:rPr>
        <w:t xml:space="preserve">with </w:t>
      </w:r>
      <w:r w:rsidR="000D2E39" w:rsidRPr="00663C50">
        <w:rPr>
          <w:b/>
          <w:szCs w:val="22"/>
        </w:rPr>
        <w:t>no alternative</w:t>
      </w:r>
      <w:r w:rsidR="000D2E39" w:rsidRPr="00663C50">
        <w:rPr>
          <w:szCs w:val="22"/>
        </w:rPr>
        <w:t xml:space="preserve"> but to </w:t>
      </w:r>
      <w:r w:rsidR="00C371D7">
        <w:rPr>
          <w:szCs w:val="22"/>
        </w:rPr>
        <w:t>vaccinate</w:t>
      </w:r>
      <w:r w:rsidR="00ED38D8">
        <w:rPr>
          <w:szCs w:val="22"/>
        </w:rPr>
        <w:t xml:space="preserve"> </w:t>
      </w:r>
      <w:r w:rsidR="00033EDF">
        <w:rPr>
          <w:szCs w:val="22"/>
        </w:rPr>
        <w:t>their</w:t>
      </w:r>
      <w:r w:rsidR="00ED38D8">
        <w:rPr>
          <w:szCs w:val="22"/>
        </w:rPr>
        <w:t xml:space="preserve"> population</w:t>
      </w:r>
      <w:r w:rsidR="000D2E39" w:rsidRPr="00663C50">
        <w:rPr>
          <w:szCs w:val="22"/>
        </w:rPr>
        <w:t xml:space="preserve">. Thus, we are made aware of </w:t>
      </w:r>
      <w:r w:rsidR="00C371D7">
        <w:rPr>
          <w:szCs w:val="22"/>
        </w:rPr>
        <w:t>how</w:t>
      </w:r>
      <w:r w:rsidR="000D5476">
        <w:rPr>
          <w:szCs w:val="22"/>
        </w:rPr>
        <w:t xml:space="preserve"> </w:t>
      </w:r>
      <w:r w:rsidR="002D2EF4">
        <w:rPr>
          <w:b/>
          <w:bCs w:val="0"/>
          <w:szCs w:val="22"/>
        </w:rPr>
        <w:t>scientific</w:t>
      </w:r>
      <w:r w:rsidR="000D2E39" w:rsidRPr="00663C50">
        <w:rPr>
          <w:b/>
          <w:bCs w:val="0"/>
          <w:szCs w:val="22"/>
        </w:rPr>
        <w:t xml:space="preserve"> advisory board</w:t>
      </w:r>
      <w:r w:rsidR="00C371D7">
        <w:rPr>
          <w:b/>
          <w:bCs w:val="0"/>
          <w:szCs w:val="22"/>
        </w:rPr>
        <w:t>s</w:t>
      </w:r>
      <w:r w:rsidR="000D2E39" w:rsidRPr="00663C50">
        <w:rPr>
          <w:szCs w:val="22"/>
        </w:rPr>
        <w:t xml:space="preserve"> </w:t>
      </w:r>
      <w:r w:rsidR="00C371D7">
        <w:rPr>
          <w:szCs w:val="22"/>
        </w:rPr>
        <w:t xml:space="preserve">of globally </w:t>
      </w:r>
      <w:r w:rsidR="00650C55">
        <w:rPr>
          <w:szCs w:val="22"/>
        </w:rPr>
        <w:t>mandated</w:t>
      </w:r>
      <w:r w:rsidR="00C371D7">
        <w:rPr>
          <w:szCs w:val="22"/>
        </w:rPr>
        <w:t xml:space="preserve"> healthcare organizations can impact</w:t>
      </w:r>
      <w:r w:rsidR="00663C50">
        <w:rPr>
          <w:szCs w:val="22"/>
        </w:rPr>
        <w:t xml:space="preserve"> national </w:t>
      </w:r>
      <w:r w:rsidR="000D2E39" w:rsidRPr="00663C50">
        <w:rPr>
          <w:szCs w:val="22"/>
        </w:rPr>
        <w:t xml:space="preserve">treatment </w:t>
      </w:r>
      <w:r w:rsidR="00663C50">
        <w:rPr>
          <w:szCs w:val="22"/>
        </w:rPr>
        <w:t xml:space="preserve">and vaccination </w:t>
      </w:r>
      <w:r w:rsidR="000D2E39" w:rsidRPr="00663C50">
        <w:rPr>
          <w:szCs w:val="22"/>
        </w:rPr>
        <w:t>guidelines</w:t>
      </w:r>
      <w:r w:rsidR="000D5476">
        <w:rPr>
          <w:szCs w:val="22"/>
        </w:rPr>
        <w:t xml:space="preserve"> that control rates of severe disease and death</w:t>
      </w:r>
      <w:r w:rsidR="00C371D7">
        <w:rPr>
          <w:szCs w:val="22"/>
        </w:rPr>
        <w:t xml:space="preserve"> during a pandemic</w:t>
      </w:r>
      <w:r w:rsidR="000D2E39" w:rsidRPr="00663C50">
        <w:rPr>
          <w:szCs w:val="22"/>
        </w:rPr>
        <w:t>.</w:t>
      </w:r>
    </w:p>
    <w:p w14:paraId="2E71487C" w14:textId="459CF810" w:rsidR="00296853" w:rsidRDefault="00467B2D" w:rsidP="00296853">
      <w:pPr>
        <w:rPr>
          <w:szCs w:val="22"/>
        </w:rPr>
      </w:pPr>
      <w:r w:rsidRPr="00095CD3">
        <w:rPr>
          <w:szCs w:val="22"/>
        </w:rPr>
        <w:t xml:space="preserve">What was the consequence of rapidly achieving high national vaccination rates? It failed to </w:t>
      </w:r>
      <w:r w:rsidR="004C440E" w:rsidRPr="00095CD3">
        <w:rPr>
          <w:szCs w:val="22"/>
        </w:rPr>
        <w:t xml:space="preserve">prevent symptomatic COVID-19 infection as promoted </w:t>
      </w:r>
      <w:r w:rsidR="00095CD3">
        <w:rPr>
          <w:szCs w:val="22"/>
        </w:rPr>
        <w:t>by governments at EU</w:t>
      </w:r>
      <w:r w:rsidR="00973735">
        <w:rPr>
          <w:szCs w:val="22"/>
        </w:rPr>
        <w:t>A</w:t>
      </w:r>
      <w:r w:rsidR="00095CD3">
        <w:rPr>
          <w:szCs w:val="22"/>
        </w:rPr>
        <w:t xml:space="preserve">. </w:t>
      </w:r>
      <w:r>
        <w:rPr>
          <w:szCs w:val="22"/>
        </w:rPr>
        <w:t xml:space="preserve">Instead, in my </w:t>
      </w:r>
      <w:r w:rsidR="00A16127">
        <w:rPr>
          <w:szCs w:val="22"/>
        </w:rPr>
        <w:t>opinion</w:t>
      </w:r>
      <w:r>
        <w:rPr>
          <w:szCs w:val="22"/>
        </w:rPr>
        <w:t xml:space="preserve">, </w:t>
      </w:r>
      <w:r w:rsidR="00972484">
        <w:rPr>
          <w:szCs w:val="22"/>
        </w:rPr>
        <w:t>this</w:t>
      </w:r>
      <w:r>
        <w:rPr>
          <w:szCs w:val="22"/>
        </w:rPr>
        <w:t xml:space="preserve"> rapidly established the </w:t>
      </w:r>
      <w:r w:rsidR="00095CD3" w:rsidRPr="00095CD3">
        <w:rPr>
          <w:b/>
          <w:bCs w:val="0"/>
          <w:szCs w:val="22"/>
        </w:rPr>
        <w:t xml:space="preserve">predictable </w:t>
      </w:r>
      <w:r w:rsidR="00095CD3">
        <w:rPr>
          <w:b/>
          <w:bCs w:val="0"/>
          <w:szCs w:val="22"/>
        </w:rPr>
        <w:t>life-long</w:t>
      </w:r>
      <w:r w:rsidR="00663C50">
        <w:rPr>
          <w:b/>
          <w:bCs w:val="0"/>
          <w:szCs w:val="22"/>
        </w:rPr>
        <w:t>-fixed</w:t>
      </w:r>
      <w:r w:rsidR="00095CD3">
        <w:rPr>
          <w:b/>
          <w:bCs w:val="0"/>
          <w:szCs w:val="22"/>
        </w:rPr>
        <w:t xml:space="preserve"> </w:t>
      </w:r>
      <w:r w:rsidRPr="00095CD3">
        <w:rPr>
          <w:b/>
          <w:bCs w:val="0"/>
          <w:szCs w:val="22"/>
        </w:rPr>
        <w:t>ADE</w:t>
      </w:r>
      <w:r w:rsidR="00C371D7">
        <w:rPr>
          <w:b/>
          <w:bCs w:val="0"/>
          <w:szCs w:val="22"/>
        </w:rPr>
        <w:t xml:space="preserve"> and </w:t>
      </w:r>
      <w:r w:rsidR="008B062A">
        <w:rPr>
          <w:b/>
          <w:bCs w:val="0"/>
          <w:szCs w:val="22"/>
        </w:rPr>
        <w:t>antigenic imprinting</w:t>
      </w:r>
      <w:r w:rsidRPr="00095CD3">
        <w:rPr>
          <w:b/>
          <w:bCs w:val="0"/>
          <w:szCs w:val="22"/>
        </w:rPr>
        <w:t xml:space="preserve"> potential</w:t>
      </w:r>
      <w:r>
        <w:rPr>
          <w:szCs w:val="22"/>
        </w:rPr>
        <w:t xml:space="preserve"> in the human population before it could be </w:t>
      </w:r>
      <w:r w:rsidRPr="00095CD3">
        <w:rPr>
          <w:b/>
          <w:bCs w:val="0"/>
          <w:szCs w:val="22"/>
        </w:rPr>
        <w:t>discovered</w:t>
      </w:r>
      <w:r w:rsidR="00095CD3" w:rsidRPr="00095CD3">
        <w:rPr>
          <w:b/>
          <w:bCs w:val="0"/>
          <w:szCs w:val="22"/>
        </w:rPr>
        <w:t xml:space="preserve"> or uncovered</w:t>
      </w:r>
      <w:r>
        <w:rPr>
          <w:szCs w:val="22"/>
        </w:rPr>
        <w:t xml:space="preserve"> in government surveillance data</w:t>
      </w:r>
      <w:r w:rsidR="00095CD3">
        <w:rPr>
          <w:szCs w:val="22"/>
        </w:rPr>
        <w:t xml:space="preserve"> with the emergence of antigenically distinct strains (i.e., Delta, Omicron)</w:t>
      </w:r>
      <w:r>
        <w:rPr>
          <w:szCs w:val="22"/>
        </w:rPr>
        <w:t xml:space="preserve">. </w:t>
      </w:r>
      <w:r w:rsidR="00296853">
        <w:rPr>
          <w:szCs w:val="22"/>
        </w:rPr>
        <w:t xml:space="preserve">All things considered, it looks like </w:t>
      </w:r>
      <w:r w:rsidR="00296853" w:rsidRPr="008B6040">
        <w:rPr>
          <w:szCs w:val="22"/>
        </w:rPr>
        <w:t>a perpetual</w:t>
      </w:r>
      <w:r w:rsidR="00296853">
        <w:rPr>
          <w:szCs w:val="22"/>
        </w:rPr>
        <w:t xml:space="preserve"> global-scale </w:t>
      </w:r>
      <w:r w:rsidR="00296853" w:rsidRPr="009C7865">
        <w:rPr>
          <w:b/>
          <w:szCs w:val="22"/>
        </w:rPr>
        <w:t>human culling biosystem</w:t>
      </w:r>
      <w:r w:rsidR="00296853">
        <w:rPr>
          <w:szCs w:val="22"/>
        </w:rPr>
        <w:t xml:space="preserve"> was created with SARS-CoV-2’s non-zoonosis emergence. This will see higher infection, disease, and death rates in the vaccinated each winter or with each pandemic</w:t>
      </w:r>
      <w:r w:rsidR="00296853" w:rsidRPr="00095CD3">
        <w:rPr>
          <w:szCs w:val="22"/>
        </w:rPr>
        <w:t xml:space="preserve"> </w:t>
      </w:r>
      <w:r w:rsidR="00296853">
        <w:rPr>
          <w:szCs w:val="22"/>
        </w:rPr>
        <w:t>wave. Excess mortality will continue to rise from ADE and antigenic imprinting</w:t>
      </w:r>
      <w:r w:rsidR="00296853" w:rsidRPr="008B062A">
        <w:rPr>
          <w:color w:val="0432FF"/>
          <w:szCs w:val="22"/>
        </w:rPr>
        <w:t xml:space="preserve"> </w:t>
      </w:r>
      <w:r w:rsidR="00296853" w:rsidRPr="00033EDF">
        <w:rPr>
          <w:szCs w:val="22"/>
        </w:rPr>
        <w:t xml:space="preserve">infection-related </w:t>
      </w:r>
      <w:r w:rsidR="00296853">
        <w:rPr>
          <w:szCs w:val="22"/>
        </w:rPr>
        <w:t xml:space="preserve">disease and </w:t>
      </w:r>
      <w:r w:rsidR="00973735">
        <w:rPr>
          <w:szCs w:val="22"/>
        </w:rPr>
        <w:t>from</w:t>
      </w:r>
      <w:r w:rsidR="00296853">
        <w:rPr>
          <w:szCs w:val="22"/>
        </w:rPr>
        <w:t xml:space="preserve"> vaccine-associated enhanced disease in at-risk population</w:t>
      </w:r>
      <w:r w:rsidR="00973735">
        <w:rPr>
          <w:szCs w:val="22"/>
        </w:rPr>
        <w:t>s</w:t>
      </w:r>
      <w:r w:rsidR="00296853">
        <w:rPr>
          <w:szCs w:val="22"/>
        </w:rPr>
        <w:t xml:space="preserve"> with comorbidities</w:t>
      </w:r>
      <w:r w:rsidR="00AC1547">
        <w:rPr>
          <w:szCs w:val="22"/>
        </w:rPr>
        <w:t xml:space="preserve"> and sub-clinical disease</w:t>
      </w:r>
      <w:r w:rsidR="00296853">
        <w:rPr>
          <w:szCs w:val="22"/>
        </w:rPr>
        <w:t xml:space="preserve">. This excess death and disease will be explained as </w:t>
      </w:r>
      <w:r w:rsidR="00296853" w:rsidRPr="008B062A">
        <w:rPr>
          <w:szCs w:val="22"/>
        </w:rPr>
        <w:t>unattributable to vaccination</w:t>
      </w:r>
      <w:r w:rsidR="00296853">
        <w:rPr>
          <w:szCs w:val="22"/>
        </w:rPr>
        <w:t xml:space="preserve">, </w:t>
      </w:r>
      <w:r w:rsidR="00296853" w:rsidRPr="008B062A">
        <w:rPr>
          <w:szCs w:val="22"/>
        </w:rPr>
        <w:t xml:space="preserve">death due to preexisting </w:t>
      </w:r>
      <w:r w:rsidR="00296853">
        <w:rPr>
          <w:szCs w:val="22"/>
        </w:rPr>
        <w:t>conditions</w:t>
      </w:r>
      <w:r w:rsidR="00296853" w:rsidRPr="008B062A">
        <w:rPr>
          <w:szCs w:val="22"/>
        </w:rPr>
        <w:t>, sudden adult death syndrome, long-COVID</w:t>
      </w:r>
      <w:r w:rsidR="00296853">
        <w:rPr>
          <w:szCs w:val="22"/>
        </w:rPr>
        <w:t xml:space="preserve">, </w:t>
      </w:r>
      <w:r w:rsidR="00296853" w:rsidRPr="00642C30">
        <w:rPr>
          <w:szCs w:val="22"/>
        </w:rPr>
        <w:t>unascertained natural causes</w:t>
      </w:r>
      <w:r w:rsidR="00296853">
        <w:rPr>
          <w:szCs w:val="22"/>
        </w:rPr>
        <w:t>, or some other concocted medical or coroner classification. G</w:t>
      </w:r>
      <w:r w:rsidR="00296853" w:rsidRPr="008B062A">
        <w:rPr>
          <w:szCs w:val="22"/>
        </w:rPr>
        <w:t>overnments</w:t>
      </w:r>
      <w:r w:rsidR="00296853">
        <w:rPr>
          <w:szCs w:val="22"/>
        </w:rPr>
        <w:t xml:space="preserve"> will stop providing surveillance data by vaccination status, and disease and death classifications will change over time. Meanwhile, statisticians will </w:t>
      </w:r>
      <w:r w:rsidR="00973735">
        <w:rPr>
          <w:szCs w:val="22"/>
        </w:rPr>
        <w:t>“</w:t>
      </w:r>
      <w:r w:rsidR="00296853">
        <w:rPr>
          <w:szCs w:val="22"/>
        </w:rPr>
        <w:t>process</w:t>
      </w:r>
      <w:r w:rsidR="00973735">
        <w:rPr>
          <w:szCs w:val="22"/>
        </w:rPr>
        <w:t>”</w:t>
      </w:r>
      <w:r w:rsidR="00296853">
        <w:rPr>
          <w:szCs w:val="22"/>
        </w:rPr>
        <w:t xml:space="preserve"> the continually recategorized data in support of political narratives – </w:t>
      </w:r>
      <w:r w:rsidR="00296853" w:rsidRPr="00357964">
        <w:rPr>
          <w:b/>
          <w:bCs w:val="0"/>
          <w:szCs w:val="22"/>
        </w:rPr>
        <w:t>the truth R.I.P</w:t>
      </w:r>
      <w:r w:rsidR="00296853">
        <w:rPr>
          <w:szCs w:val="22"/>
        </w:rPr>
        <w:t>.</w:t>
      </w:r>
    </w:p>
    <w:p w14:paraId="34CF4D8A" w14:textId="3113F9C8" w:rsidR="00ED160F" w:rsidRDefault="002D1FDD" w:rsidP="00ED160F">
      <w:pPr>
        <w:pStyle w:val="Heading2"/>
      </w:pPr>
      <w:bookmarkStart w:id="239" w:name="_Toc516645084"/>
      <w:bookmarkStart w:id="240" w:name="_Toc517556102"/>
      <w:bookmarkStart w:id="241" w:name="_Toc113965087"/>
      <w:bookmarkStart w:id="242" w:name="_Toc118041831"/>
      <w:bookmarkStart w:id="243" w:name="_Toc121035157"/>
      <w:r>
        <w:t>A</w:t>
      </w:r>
      <w:r w:rsidR="00ED160F">
        <w:t xml:space="preserve"> Pandemic Treaty</w:t>
      </w:r>
      <w:bookmarkEnd w:id="239"/>
      <w:bookmarkEnd w:id="240"/>
      <w:bookmarkEnd w:id="241"/>
      <w:bookmarkEnd w:id="242"/>
      <w:r w:rsidR="00ED160F">
        <w:t xml:space="preserve"> </w:t>
      </w:r>
      <w:r w:rsidR="0072040C">
        <w:t xml:space="preserve">or Other Legal Instrument </w:t>
      </w:r>
      <w:r>
        <w:t>before a WHO COVID-19 Investigation?</w:t>
      </w:r>
      <w:bookmarkEnd w:id="243"/>
    </w:p>
    <w:p w14:paraId="0FDE7B22" w14:textId="76EEECF5" w:rsidR="00ED160F" w:rsidRDefault="00ED160F" w:rsidP="00ED160F">
      <w:r w:rsidRPr="00132F88">
        <w:t>Internati</w:t>
      </w:r>
      <w:r>
        <w:t>onal Health Regulations (</w:t>
      </w:r>
      <w:r w:rsidRPr="00132F88">
        <w:t>IHR</w:t>
      </w:r>
      <w:r>
        <w:t>, 2005</w:t>
      </w:r>
      <w:r w:rsidRPr="00132F88">
        <w:t xml:space="preserve">) provide an overarching legal framework that defines countries’ </w:t>
      </w:r>
      <w:r>
        <w:t xml:space="preserve">responsibilities and </w:t>
      </w:r>
      <w:r w:rsidRPr="00132F88">
        <w:t xml:space="preserve">rights in handling and reporting </w:t>
      </w:r>
      <w:r>
        <w:t>of transboundary</w:t>
      </w:r>
      <w:r w:rsidRPr="00132F88">
        <w:t xml:space="preserve"> </w:t>
      </w:r>
      <w:r>
        <w:t xml:space="preserve">infectious diseases of public health concern and </w:t>
      </w:r>
      <w:r w:rsidRPr="0070432E">
        <w:t xml:space="preserve">criteria to determine </w:t>
      </w:r>
      <w:r>
        <w:t xml:space="preserve">if an outbreak constitutes a </w:t>
      </w:r>
      <w:r w:rsidRPr="0070432E">
        <w:t>public health eme</w:t>
      </w:r>
      <w:r>
        <w:t>rgency of international concern (PHEIC)</w:t>
      </w:r>
      <w:r w:rsidRPr="0070432E">
        <w:t>.</w:t>
      </w:r>
      <w:r w:rsidRPr="005660C4">
        <w:rPr>
          <w:rStyle w:val="EndnoteReference"/>
        </w:rPr>
        <w:endnoteReference w:id="590"/>
      </w:r>
      <w:r w:rsidRPr="005660C4">
        <w:rPr>
          <w:vertAlign w:val="superscript"/>
        </w:rPr>
        <w:t>,</w:t>
      </w:r>
      <w:r w:rsidRPr="005660C4">
        <w:rPr>
          <w:rStyle w:val="EndnoteReference"/>
        </w:rPr>
        <w:endnoteReference w:id="591"/>
      </w:r>
      <w:r w:rsidRPr="00240291">
        <w:t xml:space="preserve"> </w:t>
      </w:r>
      <w:r>
        <w:t>In January 2022</w:t>
      </w:r>
      <w:r w:rsidR="00033EDF">
        <w:t>,</w:t>
      </w:r>
      <w:r>
        <w:t xml:space="preserve"> the US proposed </w:t>
      </w:r>
      <w:r w:rsidRPr="008F41D9">
        <w:t xml:space="preserve">a detailed series of </w:t>
      </w:r>
      <w:r>
        <w:t>amendments</w:t>
      </w:r>
      <w:r w:rsidRPr="008F41D9">
        <w:t xml:space="preserve"> </w:t>
      </w:r>
      <w:r>
        <w:t>to</w:t>
      </w:r>
      <w:r w:rsidRPr="008F41D9">
        <w:t xml:space="preserve"> the IHR 2005 rules to provide more defined criteria, terms</w:t>
      </w:r>
      <w:r>
        <w:t>,</w:t>
      </w:r>
      <w:r w:rsidRPr="008F41D9">
        <w:t xml:space="preserve"> and timelines for alerts, notification, and response to emerging </w:t>
      </w:r>
      <w:r>
        <w:t>outbreaks,</w:t>
      </w:r>
      <w:r>
        <w:rPr>
          <w:rStyle w:val="EndnoteReference"/>
        </w:rPr>
        <w:endnoteReference w:id="592"/>
      </w:r>
      <w:r>
        <w:t xml:space="preserve"> which likely reflected</w:t>
      </w:r>
      <w:r w:rsidRPr="008F41D9">
        <w:t xml:space="preserve"> </w:t>
      </w:r>
      <w:r>
        <w:t xml:space="preserve">the </w:t>
      </w:r>
      <w:r w:rsidR="00B00C20">
        <w:t xml:space="preserve">IHR Article breaches </w:t>
      </w:r>
      <w:r>
        <w:t xml:space="preserve">detailed </w:t>
      </w:r>
      <w:r w:rsidR="00B00C20">
        <w:t>section 2.5.</w:t>
      </w:r>
      <w:r>
        <w:t xml:space="preserve"> </w:t>
      </w:r>
    </w:p>
    <w:p w14:paraId="65267A9A" w14:textId="6B9F087F" w:rsidR="00ED160F" w:rsidRDefault="00ED160F" w:rsidP="00ED160F">
      <w:pPr>
        <w:rPr>
          <w:szCs w:val="22"/>
        </w:rPr>
      </w:pPr>
      <w:r>
        <w:lastRenderedPageBreak/>
        <w:t>By contrast, and in addition to the amply provisioned IHR 2005 (</w:t>
      </w:r>
      <w:r w:rsidR="00493741">
        <w:t>+/-</w:t>
      </w:r>
      <w:r>
        <w:t xml:space="preserve"> amendments), </w:t>
      </w:r>
      <w:r w:rsidRPr="006101EE">
        <w:t>WHO</w:t>
      </w:r>
      <w:r>
        <w:t xml:space="preserve"> is drafting</w:t>
      </w:r>
      <w:r w:rsidRPr="006101EE">
        <w:t xml:space="preserve"> a</w:t>
      </w:r>
      <w:r>
        <w:t>n additional</w:t>
      </w:r>
      <w:r w:rsidRPr="006101EE">
        <w:t xml:space="preserve"> </w:t>
      </w:r>
      <w:r w:rsidR="0072040C">
        <w:t xml:space="preserve">legal instrument(s) </w:t>
      </w:r>
      <w:r>
        <w:t>supposedly to protect</w:t>
      </w:r>
      <w:r w:rsidRPr="006101EE">
        <w:t xml:space="preserve"> the world</w:t>
      </w:r>
      <w:r>
        <w:t xml:space="preserve"> from future infectious disease</w:t>
      </w:r>
      <w:r w:rsidRPr="006101EE">
        <w:t xml:space="preserve"> crises</w:t>
      </w:r>
      <w:r>
        <w:t>, where in 2019</w:t>
      </w:r>
      <w:r w:rsidR="00033EDF">
        <w:t>,</w:t>
      </w:r>
      <w:r w:rsidR="008B062A">
        <w:t xml:space="preserve"> </w:t>
      </w:r>
      <w:r w:rsidR="008B062A" w:rsidRPr="00170FFF">
        <w:rPr>
          <w:b/>
          <w:bCs w:val="0"/>
        </w:rPr>
        <w:t>it failed</w:t>
      </w:r>
      <w:r>
        <w:t>.</w:t>
      </w:r>
      <w:r w:rsidRPr="00DA32A5">
        <w:rPr>
          <w:rStyle w:val="EndnoteReference"/>
        </w:rPr>
        <w:endnoteReference w:id="593"/>
      </w:r>
      <w:r w:rsidRPr="00DA32A5">
        <w:rPr>
          <w:vertAlign w:val="superscript"/>
        </w:rPr>
        <w:t>,</w:t>
      </w:r>
      <w:r w:rsidRPr="00DA32A5">
        <w:rPr>
          <w:rStyle w:val="EndnoteReference"/>
          <w:szCs w:val="22"/>
        </w:rPr>
        <w:endnoteReference w:id="594"/>
      </w:r>
      <w:r w:rsidRPr="00DA32A5">
        <w:rPr>
          <w:vertAlign w:val="superscript"/>
        </w:rPr>
        <w:t xml:space="preserve"> </w:t>
      </w:r>
      <w:r>
        <w:t xml:space="preserve">This proposed </w:t>
      </w:r>
      <w:r w:rsidR="00170FFF">
        <w:t>legal instrument or IHA modification</w:t>
      </w:r>
      <w:r>
        <w:t xml:space="preserve"> came before </w:t>
      </w:r>
      <w:r w:rsidR="008B062A">
        <w:t>a</w:t>
      </w:r>
      <w:r w:rsidR="00B00C20">
        <w:t>n</w:t>
      </w:r>
      <w:r w:rsidR="008B062A">
        <w:t xml:space="preserve"> investigation</w:t>
      </w:r>
      <w:r>
        <w:rPr>
          <w:szCs w:val="22"/>
        </w:rPr>
        <w:t xml:space="preserve"> regarding </w:t>
      </w:r>
      <w:r w:rsidR="00385ACF">
        <w:rPr>
          <w:szCs w:val="22"/>
        </w:rPr>
        <w:t xml:space="preserve">the </w:t>
      </w:r>
      <w:r>
        <w:rPr>
          <w:szCs w:val="22"/>
        </w:rPr>
        <w:t>WHO</w:t>
      </w:r>
      <w:r w:rsidR="00385ACF">
        <w:rPr>
          <w:szCs w:val="22"/>
        </w:rPr>
        <w:t>’s</w:t>
      </w:r>
      <w:r w:rsidR="00B00C20">
        <w:rPr>
          <w:szCs w:val="22"/>
        </w:rPr>
        <w:t xml:space="preserve"> </w:t>
      </w:r>
      <w:r w:rsidR="00385ACF">
        <w:rPr>
          <w:szCs w:val="22"/>
        </w:rPr>
        <w:t>conduct</w:t>
      </w:r>
      <w:r w:rsidR="00204EA9">
        <w:rPr>
          <w:szCs w:val="22"/>
        </w:rPr>
        <w:t xml:space="preserve"> associated with</w:t>
      </w:r>
      <w:r>
        <w:rPr>
          <w:szCs w:val="22"/>
        </w:rPr>
        <w:t xml:space="preserve">: </w:t>
      </w:r>
    </w:p>
    <w:p w14:paraId="6783C1F6" w14:textId="77777777" w:rsidR="00493741" w:rsidRDefault="00493741" w:rsidP="00493741">
      <w:pPr>
        <w:pStyle w:val="ListParagraph"/>
        <w:numPr>
          <w:ilvl w:val="0"/>
          <w:numId w:val="7"/>
        </w:numPr>
        <w:ind w:left="270" w:hanging="270"/>
        <w:rPr>
          <w:szCs w:val="22"/>
        </w:rPr>
      </w:pPr>
      <w:r>
        <w:rPr>
          <w:szCs w:val="22"/>
        </w:rPr>
        <w:t>D</w:t>
      </w:r>
      <w:r w:rsidRPr="002A0749">
        <w:rPr>
          <w:szCs w:val="22"/>
        </w:rPr>
        <w:t xml:space="preserve">elays in declaring a </w:t>
      </w:r>
      <w:r>
        <w:rPr>
          <w:szCs w:val="22"/>
        </w:rPr>
        <w:t>public health emergency of international concern</w:t>
      </w:r>
      <w:r w:rsidRPr="002A0749">
        <w:rPr>
          <w:szCs w:val="22"/>
        </w:rPr>
        <w:t xml:space="preserve">, </w:t>
      </w:r>
    </w:p>
    <w:p w14:paraId="26878219" w14:textId="5A072951" w:rsidR="00385ACF" w:rsidRDefault="00385ACF" w:rsidP="00385ACF">
      <w:pPr>
        <w:pStyle w:val="ListParagraph"/>
        <w:numPr>
          <w:ilvl w:val="0"/>
          <w:numId w:val="7"/>
        </w:numPr>
        <w:ind w:left="270" w:hanging="270"/>
        <w:rPr>
          <w:szCs w:val="22"/>
        </w:rPr>
      </w:pPr>
      <w:r w:rsidRPr="002A0749">
        <w:rPr>
          <w:szCs w:val="22"/>
        </w:rPr>
        <w:t xml:space="preserve">IHR Article breaches and travel advice that </w:t>
      </w:r>
      <w:r w:rsidR="00654E27">
        <w:rPr>
          <w:szCs w:val="22"/>
        </w:rPr>
        <w:t>may</w:t>
      </w:r>
      <w:r>
        <w:rPr>
          <w:szCs w:val="22"/>
        </w:rPr>
        <w:t xml:space="preserve"> have facilitated</w:t>
      </w:r>
      <w:r w:rsidRPr="002A0749">
        <w:rPr>
          <w:szCs w:val="22"/>
        </w:rPr>
        <w:t xml:space="preserve"> C</w:t>
      </w:r>
      <w:r>
        <w:rPr>
          <w:szCs w:val="22"/>
        </w:rPr>
        <w:t>OVID</w:t>
      </w:r>
      <w:r w:rsidRPr="002A0749">
        <w:rPr>
          <w:szCs w:val="22"/>
        </w:rPr>
        <w:t>-19</w:t>
      </w:r>
      <w:r>
        <w:rPr>
          <w:szCs w:val="22"/>
        </w:rPr>
        <w:t>’s</w:t>
      </w:r>
      <w:r w:rsidRPr="002A0749">
        <w:rPr>
          <w:szCs w:val="22"/>
        </w:rPr>
        <w:t xml:space="preserve"> </w:t>
      </w:r>
      <w:r>
        <w:rPr>
          <w:szCs w:val="22"/>
        </w:rPr>
        <w:t>global dissemination</w:t>
      </w:r>
      <w:r w:rsidRPr="002A0749">
        <w:rPr>
          <w:szCs w:val="22"/>
        </w:rPr>
        <w:t xml:space="preserve">, </w:t>
      </w:r>
    </w:p>
    <w:p w14:paraId="02BA5123" w14:textId="3D91D32A" w:rsidR="00ED160F" w:rsidRDefault="00ED160F" w:rsidP="00ED160F">
      <w:pPr>
        <w:pStyle w:val="ListParagraph"/>
        <w:numPr>
          <w:ilvl w:val="0"/>
          <w:numId w:val="7"/>
        </w:numPr>
        <w:ind w:left="270" w:hanging="270"/>
        <w:rPr>
          <w:szCs w:val="22"/>
        </w:rPr>
      </w:pPr>
      <w:r>
        <w:rPr>
          <w:szCs w:val="22"/>
        </w:rPr>
        <w:t>G</w:t>
      </w:r>
      <w:r w:rsidRPr="002A0749">
        <w:rPr>
          <w:szCs w:val="22"/>
        </w:rPr>
        <w:t xml:space="preserve">lobal promotion of the </w:t>
      </w:r>
      <w:r>
        <w:rPr>
          <w:szCs w:val="22"/>
        </w:rPr>
        <w:t xml:space="preserve">high false positive </w:t>
      </w:r>
      <w:r w:rsidRPr="002A0749">
        <w:rPr>
          <w:szCs w:val="22"/>
        </w:rPr>
        <w:t xml:space="preserve">Corman-Drosten PCR protocol </w:t>
      </w:r>
      <w:r>
        <w:rPr>
          <w:szCs w:val="22"/>
        </w:rPr>
        <w:t>that underpinned</w:t>
      </w:r>
      <w:r w:rsidRPr="002A0749">
        <w:rPr>
          <w:szCs w:val="22"/>
        </w:rPr>
        <w:t xml:space="preserve"> EUA-related vaccine efficacy cla</w:t>
      </w:r>
      <w:r>
        <w:rPr>
          <w:szCs w:val="22"/>
        </w:rPr>
        <w:t>ims, Government policies</w:t>
      </w:r>
      <w:r w:rsidR="008B062A">
        <w:rPr>
          <w:szCs w:val="22"/>
        </w:rPr>
        <w:t>,</w:t>
      </w:r>
      <w:r>
        <w:rPr>
          <w:szCs w:val="22"/>
        </w:rPr>
        <w:t xml:space="preserve"> vaccine </w:t>
      </w:r>
      <w:r w:rsidRPr="002A0749">
        <w:rPr>
          <w:szCs w:val="22"/>
        </w:rPr>
        <w:t xml:space="preserve">mandates, </w:t>
      </w:r>
      <w:r>
        <w:rPr>
          <w:szCs w:val="22"/>
        </w:rPr>
        <w:t>and media fear-mongering,</w:t>
      </w:r>
    </w:p>
    <w:p w14:paraId="40C75BAB" w14:textId="78FD3F7E" w:rsidR="00ED160F" w:rsidRPr="00F82451" w:rsidRDefault="00ED160F" w:rsidP="00ED160F">
      <w:pPr>
        <w:pStyle w:val="ListParagraph"/>
        <w:numPr>
          <w:ilvl w:val="0"/>
          <w:numId w:val="7"/>
        </w:numPr>
        <w:ind w:left="270" w:hanging="270"/>
      </w:pPr>
      <w:r w:rsidRPr="00F82451">
        <w:rPr>
          <w:szCs w:val="22"/>
        </w:rPr>
        <w:t xml:space="preserve">Failure to urgently investigate all potential </w:t>
      </w:r>
      <w:r w:rsidR="008B062A" w:rsidRPr="00F82451">
        <w:rPr>
          <w:szCs w:val="22"/>
        </w:rPr>
        <w:t>origins</w:t>
      </w:r>
      <w:r w:rsidRPr="00F82451">
        <w:rPr>
          <w:szCs w:val="22"/>
        </w:rPr>
        <w:t xml:space="preserve"> of the COVID-19 pandemic</w:t>
      </w:r>
      <w:r w:rsidR="00F82451">
        <w:t xml:space="preserve"> during its</w:t>
      </w:r>
      <w:r w:rsidRPr="00F82451">
        <w:t xml:space="preserve"> </w:t>
      </w:r>
      <w:r w:rsidR="00F82451">
        <w:rPr>
          <w:szCs w:val="22"/>
        </w:rPr>
        <w:t>China origins investigation</w:t>
      </w:r>
      <w:r w:rsidR="00385ACF">
        <w:rPr>
          <w:szCs w:val="22"/>
        </w:rPr>
        <w:t xml:space="preserve"> (including </w:t>
      </w:r>
      <w:r w:rsidR="00650C55">
        <w:rPr>
          <w:szCs w:val="22"/>
        </w:rPr>
        <w:t xml:space="preserve">in </w:t>
      </w:r>
      <w:r w:rsidR="00385ACF">
        <w:rPr>
          <w:szCs w:val="22"/>
        </w:rPr>
        <w:t>Ukraine and other strategically located Pentagon Biolabs)</w:t>
      </w:r>
      <w:r w:rsidR="00650C55">
        <w:rPr>
          <w:szCs w:val="22"/>
        </w:rPr>
        <w:t>,</w:t>
      </w:r>
    </w:p>
    <w:p w14:paraId="3B14928E" w14:textId="256A43DB" w:rsidR="00ED160F" w:rsidRDefault="00ED160F" w:rsidP="00ED160F">
      <w:pPr>
        <w:pStyle w:val="ListParagraph"/>
        <w:numPr>
          <w:ilvl w:val="0"/>
          <w:numId w:val="7"/>
        </w:numPr>
        <w:ind w:left="270" w:hanging="270"/>
        <w:rPr>
          <w:szCs w:val="22"/>
        </w:rPr>
      </w:pPr>
      <w:r>
        <w:rPr>
          <w:szCs w:val="22"/>
        </w:rPr>
        <w:t>Recommendation only to use Ivermectin in controlled clinical studies</w:t>
      </w:r>
      <w:r w:rsidR="008B062A">
        <w:rPr>
          <w:szCs w:val="22"/>
        </w:rPr>
        <w:t xml:space="preserve">, leaving </w:t>
      </w:r>
      <w:r>
        <w:rPr>
          <w:szCs w:val="22"/>
        </w:rPr>
        <w:t xml:space="preserve">WHO member nations </w:t>
      </w:r>
      <w:r w:rsidR="008B062A">
        <w:rPr>
          <w:szCs w:val="22"/>
        </w:rPr>
        <w:t xml:space="preserve">few options but to deploy </w:t>
      </w:r>
      <w:r w:rsidR="002B522E">
        <w:rPr>
          <w:szCs w:val="22"/>
        </w:rPr>
        <w:t xml:space="preserve">predictably </w:t>
      </w:r>
      <w:r>
        <w:rPr>
          <w:szCs w:val="22"/>
        </w:rPr>
        <w:t>harmful vaccines,</w:t>
      </w:r>
    </w:p>
    <w:p w14:paraId="1F471D7E" w14:textId="0648603F" w:rsidR="00ED160F" w:rsidRDefault="00ED160F" w:rsidP="00ED160F">
      <w:pPr>
        <w:pStyle w:val="ListParagraph"/>
        <w:numPr>
          <w:ilvl w:val="0"/>
          <w:numId w:val="7"/>
        </w:numPr>
        <w:ind w:left="270" w:hanging="270"/>
        <w:rPr>
          <w:szCs w:val="22"/>
        </w:rPr>
      </w:pPr>
      <w:r>
        <w:rPr>
          <w:szCs w:val="22"/>
        </w:rPr>
        <w:t>Global promotion</w:t>
      </w:r>
      <w:r w:rsidRPr="002A0749">
        <w:rPr>
          <w:szCs w:val="22"/>
        </w:rPr>
        <w:t xml:space="preserve"> </w:t>
      </w:r>
      <w:r>
        <w:rPr>
          <w:szCs w:val="22"/>
        </w:rPr>
        <w:t xml:space="preserve">of </w:t>
      </w:r>
      <w:r w:rsidRPr="002A0749">
        <w:rPr>
          <w:szCs w:val="22"/>
        </w:rPr>
        <w:t>C</w:t>
      </w:r>
      <w:r>
        <w:rPr>
          <w:szCs w:val="22"/>
        </w:rPr>
        <w:t>OVID</w:t>
      </w:r>
      <w:r w:rsidRPr="002A0749">
        <w:rPr>
          <w:szCs w:val="22"/>
        </w:rPr>
        <w:t xml:space="preserve">-19 vaccines that were </w:t>
      </w:r>
      <w:r>
        <w:rPr>
          <w:szCs w:val="22"/>
        </w:rPr>
        <w:t>predictably</w:t>
      </w:r>
      <w:r w:rsidRPr="002A0749">
        <w:rPr>
          <w:szCs w:val="22"/>
        </w:rPr>
        <w:t xml:space="preserve"> associated with antibody-dependent enhancement of viral infection</w:t>
      </w:r>
      <w:r w:rsidR="00B00C20">
        <w:rPr>
          <w:szCs w:val="22"/>
        </w:rPr>
        <w:t xml:space="preserve"> and vaccine-associated enhanced disease</w:t>
      </w:r>
      <w:r>
        <w:rPr>
          <w:szCs w:val="22"/>
        </w:rPr>
        <w:t>,</w:t>
      </w:r>
    </w:p>
    <w:p w14:paraId="06431E54" w14:textId="3D37A75A" w:rsidR="00ED160F" w:rsidRPr="00D523A5" w:rsidRDefault="00ED160F" w:rsidP="00ED160F">
      <w:pPr>
        <w:pStyle w:val="ListParagraph"/>
        <w:numPr>
          <w:ilvl w:val="0"/>
          <w:numId w:val="7"/>
        </w:numPr>
        <w:ind w:left="270" w:hanging="270"/>
        <w:rPr>
          <w:szCs w:val="22"/>
        </w:rPr>
      </w:pPr>
      <w:r>
        <w:rPr>
          <w:szCs w:val="22"/>
        </w:rPr>
        <w:t>Inclusion of</w:t>
      </w:r>
      <w:r w:rsidRPr="00D523A5">
        <w:rPr>
          <w:szCs w:val="22"/>
        </w:rPr>
        <w:t xml:space="preserve"> </w:t>
      </w:r>
      <w:r w:rsidR="00650C55">
        <w:rPr>
          <w:szCs w:val="22"/>
        </w:rPr>
        <w:t>Pentagon/</w:t>
      </w:r>
      <w:r w:rsidR="00654E27">
        <w:rPr>
          <w:szCs w:val="22"/>
        </w:rPr>
        <w:t>NIH-funded</w:t>
      </w:r>
      <w:r w:rsidR="00650C55">
        <w:rPr>
          <w:szCs w:val="22"/>
        </w:rPr>
        <w:t xml:space="preserve"> </w:t>
      </w:r>
      <w:r w:rsidRPr="00D523A5">
        <w:rPr>
          <w:szCs w:val="22"/>
        </w:rPr>
        <w:t xml:space="preserve">coronavirus gain-of-function </w:t>
      </w:r>
      <w:r w:rsidR="00650C55">
        <w:rPr>
          <w:szCs w:val="22"/>
        </w:rPr>
        <w:t xml:space="preserve">expert </w:t>
      </w:r>
      <w:r w:rsidR="00B00C20">
        <w:rPr>
          <w:szCs w:val="22"/>
        </w:rPr>
        <w:t xml:space="preserve">Dr. </w:t>
      </w:r>
      <w:r w:rsidRPr="00D523A5">
        <w:rPr>
          <w:szCs w:val="22"/>
        </w:rPr>
        <w:t xml:space="preserve">Peter Daszak </w:t>
      </w:r>
      <w:r>
        <w:rPr>
          <w:szCs w:val="22"/>
        </w:rPr>
        <w:t>in its</w:t>
      </w:r>
      <w:r w:rsidRPr="00D523A5">
        <w:rPr>
          <w:szCs w:val="22"/>
        </w:rPr>
        <w:t xml:space="preserve"> group of experts collabora</w:t>
      </w:r>
      <w:r>
        <w:rPr>
          <w:szCs w:val="22"/>
        </w:rPr>
        <w:t xml:space="preserve">ting on </w:t>
      </w:r>
      <w:r w:rsidRPr="002A0749">
        <w:rPr>
          <w:szCs w:val="22"/>
        </w:rPr>
        <w:t>C</w:t>
      </w:r>
      <w:r>
        <w:rPr>
          <w:szCs w:val="22"/>
        </w:rPr>
        <w:t>OVID</w:t>
      </w:r>
      <w:r w:rsidRPr="002A0749">
        <w:rPr>
          <w:szCs w:val="22"/>
        </w:rPr>
        <w:t>-19</w:t>
      </w:r>
      <w:r>
        <w:rPr>
          <w:szCs w:val="22"/>
        </w:rPr>
        <w:t xml:space="preserve"> vaccine development and </w:t>
      </w:r>
      <w:r w:rsidR="00F82451">
        <w:rPr>
          <w:szCs w:val="22"/>
        </w:rPr>
        <w:t xml:space="preserve">in </w:t>
      </w:r>
      <w:r>
        <w:rPr>
          <w:szCs w:val="22"/>
        </w:rPr>
        <w:t xml:space="preserve">its </w:t>
      </w:r>
      <w:r w:rsidR="00F82451">
        <w:rPr>
          <w:szCs w:val="22"/>
        </w:rPr>
        <w:t>belated</w:t>
      </w:r>
      <w:r>
        <w:rPr>
          <w:szCs w:val="22"/>
        </w:rPr>
        <w:t xml:space="preserve"> China origins investigation</w:t>
      </w:r>
      <w:r w:rsidR="000C46C8">
        <w:rPr>
          <w:szCs w:val="22"/>
        </w:rPr>
        <w:t>.</w:t>
      </w:r>
    </w:p>
    <w:p w14:paraId="57EF2ECB" w14:textId="1AD82037" w:rsidR="00ED160F" w:rsidRPr="001975D6" w:rsidRDefault="00ED160F" w:rsidP="00ED160F">
      <w:pPr>
        <w:rPr>
          <w:vertAlign w:val="superscript"/>
        </w:rPr>
      </w:pPr>
      <w:r>
        <w:rPr>
          <w:szCs w:val="22"/>
        </w:rPr>
        <w:t xml:space="preserve">The </w:t>
      </w:r>
      <w:r w:rsidRPr="001975D6">
        <w:rPr>
          <w:szCs w:val="22"/>
        </w:rPr>
        <w:t xml:space="preserve">World Council for Health (WCH), a coalition of scientists, doctors, lawyers, and civil </w:t>
      </w:r>
      <w:r>
        <w:rPr>
          <w:szCs w:val="22"/>
        </w:rPr>
        <w:t>society advocacy organizations</w:t>
      </w:r>
      <w:r w:rsidR="00033EDF">
        <w:rPr>
          <w:szCs w:val="22"/>
        </w:rPr>
        <w:t>,</w:t>
      </w:r>
      <w:r>
        <w:rPr>
          <w:szCs w:val="22"/>
        </w:rPr>
        <w:t xml:space="preserve"> </w:t>
      </w:r>
      <w:r w:rsidRPr="001975D6">
        <w:rPr>
          <w:szCs w:val="22"/>
        </w:rPr>
        <w:t xml:space="preserve">oppose WHO moves to implement </w:t>
      </w:r>
      <w:r w:rsidR="008B062A">
        <w:rPr>
          <w:szCs w:val="22"/>
        </w:rPr>
        <w:t>a</w:t>
      </w:r>
      <w:r w:rsidRPr="001975D6">
        <w:rPr>
          <w:szCs w:val="22"/>
        </w:rPr>
        <w:t xml:space="preserve"> global pandemic treaty</w:t>
      </w:r>
      <w:r w:rsidR="0072040C">
        <w:rPr>
          <w:szCs w:val="22"/>
        </w:rPr>
        <w:t xml:space="preserve"> or </w:t>
      </w:r>
      <w:r w:rsidR="00033EDF">
        <w:rPr>
          <w:szCs w:val="22"/>
        </w:rPr>
        <w:t>other legal instruments</w:t>
      </w:r>
      <w:r w:rsidRPr="001975D6">
        <w:rPr>
          <w:szCs w:val="22"/>
        </w:rPr>
        <w:t>. According to WCH and other</w:t>
      </w:r>
      <w:r w:rsidR="0039008A">
        <w:rPr>
          <w:szCs w:val="22"/>
        </w:rPr>
        <w:t xml:space="preserve"> groups</w:t>
      </w:r>
      <w:r w:rsidRPr="001975D6">
        <w:rPr>
          <w:szCs w:val="22"/>
        </w:rPr>
        <w:t xml:space="preserve">, this will increase </w:t>
      </w:r>
      <w:r w:rsidR="0039008A">
        <w:rPr>
          <w:szCs w:val="22"/>
        </w:rPr>
        <w:t xml:space="preserve">the </w:t>
      </w:r>
      <w:r w:rsidRPr="001975D6">
        <w:rPr>
          <w:szCs w:val="22"/>
        </w:rPr>
        <w:t>WHO</w:t>
      </w:r>
      <w:r w:rsidR="0039008A">
        <w:rPr>
          <w:szCs w:val="22"/>
        </w:rPr>
        <w:t>’s</w:t>
      </w:r>
      <w:r w:rsidRPr="001975D6">
        <w:rPr>
          <w:szCs w:val="22"/>
        </w:rPr>
        <w:t xml:space="preserve"> powers over and above IHR (2005) to</w:t>
      </w:r>
      <w:r>
        <w:rPr>
          <w:szCs w:val="22"/>
        </w:rPr>
        <w:t xml:space="preserve"> </w:t>
      </w:r>
      <w:r w:rsidR="0072040C">
        <w:rPr>
          <w:szCs w:val="22"/>
        </w:rPr>
        <w:t xml:space="preserve">potentially </w:t>
      </w:r>
      <w:r>
        <w:rPr>
          <w:szCs w:val="22"/>
        </w:rPr>
        <w:t xml:space="preserve">declare unjustified PHEICs or pandemics (i.e., </w:t>
      </w:r>
      <w:r w:rsidRPr="00E97D86">
        <w:rPr>
          <w:b/>
          <w:bCs w:val="0"/>
          <w:szCs w:val="22"/>
        </w:rPr>
        <w:t>monkeypox</w:t>
      </w:r>
      <w:r>
        <w:rPr>
          <w:szCs w:val="22"/>
        </w:rPr>
        <w:t xml:space="preserve">) and </w:t>
      </w:r>
      <w:r w:rsidRPr="001975D6">
        <w:rPr>
          <w:szCs w:val="22"/>
        </w:rPr>
        <w:t>override democratically elected Governments’ pande</w:t>
      </w:r>
      <w:r>
        <w:rPr>
          <w:szCs w:val="22"/>
        </w:rPr>
        <w:t xml:space="preserve">mic disease control strategies with a one </w:t>
      </w:r>
      <w:r w:rsidR="00033EDF">
        <w:rPr>
          <w:szCs w:val="22"/>
        </w:rPr>
        <w:t>strategy-fits</w:t>
      </w:r>
      <w:r>
        <w:rPr>
          <w:szCs w:val="22"/>
        </w:rPr>
        <w:t xml:space="preserve"> all</w:t>
      </w:r>
      <w:r w:rsidR="0072040C">
        <w:rPr>
          <w:szCs w:val="22"/>
        </w:rPr>
        <w:t>, putting this power into the hands of someone who is not a medical doctor (i.e., DG Tedros).</w:t>
      </w:r>
      <w:r w:rsidRPr="00BB2B0B">
        <w:rPr>
          <w:rStyle w:val="EndnoteReference"/>
        </w:rPr>
        <w:endnoteReference w:id="595"/>
      </w:r>
      <w:r>
        <w:rPr>
          <w:vertAlign w:val="superscript"/>
        </w:rPr>
        <w:t xml:space="preserve"> </w:t>
      </w:r>
      <w:r>
        <w:rPr>
          <w:szCs w:val="22"/>
        </w:rPr>
        <w:t xml:space="preserve">A pandemic treaty could also be used to </w:t>
      </w:r>
      <w:r w:rsidRPr="001975D6">
        <w:rPr>
          <w:szCs w:val="22"/>
        </w:rPr>
        <w:t xml:space="preserve">impose </w:t>
      </w:r>
      <w:r w:rsidR="008B062A" w:rsidRPr="001975D6">
        <w:rPr>
          <w:szCs w:val="22"/>
        </w:rPr>
        <w:t>lockdowns and</w:t>
      </w:r>
      <w:r w:rsidR="008B062A">
        <w:rPr>
          <w:szCs w:val="22"/>
        </w:rPr>
        <w:t xml:space="preserve"> </w:t>
      </w:r>
      <w:r w:rsidRPr="001975D6">
        <w:rPr>
          <w:szCs w:val="22"/>
        </w:rPr>
        <w:t xml:space="preserve">enforce mandatory </w:t>
      </w:r>
      <w:r w:rsidR="008B062A">
        <w:rPr>
          <w:szCs w:val="22"/>
        </w:rPr>
        <w:t>whole-population</w:t>
      </w:r>
      <w:r>
        <w:rPr>
          <w:szCs w:val="22"/>
        </w:rPr>
        <w:t xml:space="preserve"> </w:t>
      </w:r>
      <w:r w:rsidRPr="001975D6">
        <w:rPr>
          <w:szCs w:val="22"/>
        </w:rPr>
        <w:t xml:space="preserve">vaccination with improperly tested </w:t>
      </w:r>
      <w:r>
        <w:rPr>
          <w:szCs w:val="22"/>
        </w:rPr>
        <w:t xml:space="preserve">and </w:t>
      </w:r>
      <w:r w:rsidRPr="001975D6">
        <w:rPr>
          <w:szCs w:val="22"/>
        </w:rPr>
        <w:t>unsafe vaccines against peoples’ free will</w:t>
      </w:r>
      <w:r>
        <w:rPr>
          <w:szCs w:val="22"/>
        </w:rPr>
        <w:t xml:space="preserve">. WHO could also </w:t>
      </w:r>
      <w:r w:rsidRPr="001975D6">
        <w:rPr>
          <w:szCs w:val="22"/>
        </w:rPr>
        <w:t>impose standardized medical care that bias</w:t>
      </w:r>
      <w:r>
        <w:rPr>
          <w:szCs w:val="22"/>
        </w:rPr>
        <w:t>es</w:t>
      </w:r>
      <w:r w:rsidRPr="001975D6">
        <w:rPr>
          <w:szCs w:val="22"/>
        </w:rPr>
        <w:t xml:space="preserve"> </w:t>
      </w:r>
      <w:r>
        <w:rPr>
          <w:szCs w:val="22"/>
        </w:rPr>
        <w:t xml:space="preserve">WHO </w:t>
      </w:r>
      <w:r w:rsidRPr="001975D6">
        <w:rPr>
          <w:szCs w:val="22"/>
        </w:rPr>
        <w:t>corporate partners’ potentially unsafe, ineffective, and expensive treatments over repurposed safe generic drugs</w:t>
      </w:r>
      <w:r w:rsidR="0072040C">
        <w:rPr>
          <w:szCs w:val="22"/>
        </w:rPr>
        <w:t xml:space="preserve"> and infection-derived natural immunity</w:t>
      </w:r>
      <w:r>
        <w:rPr>
          <w:szCs w:val="22"/>
        </w:rPr>
        <w:t xml:space="preserve">. Such a treaty would </w:t>
      </w:r>
      <w:r w:rsidR="0072040C">
        <w:rPr>
          <w:szCs w:val="22"/>
        </w:rPr>
        <w:t xml:space="preserve">most likely </w:t>
      </w:r>
      <w:r>
        <w:rPr>
          <w:szCs w:val="22"/>
        </w:rPr>
        <w:t>ensure</w:t>
      </w:r>
      <w:r w:rsidRPr="001975D6">
        <w:rPr>
          <w:szCs w:val="22"/>
        </w:rPr>
        <w:t xml:space="preserve"> global biosurveillance </w:t>
      </w:r>
      <w:r>
        <w:rPr>
          <w:szCs w:val="22"/>
        </w:rPr>
        <w:t>is implemented</w:t>
      </w:r>
      <w:r w:rsidRPr="001975D6">
        <w:rPr>
          <w:szCs w:val="22"/>
        </w:rPr>
        <w:t xml:space="preserve"> (i.e., digital identities</w:t>
      </w:r>
      <w:r>
        <w:rPr>
          <w:szCs w:val="22"/>
        </w:rPr>
        <w:t xml:space="preserve">, </w:t>
      </w:r>
      <w:r w:rsidRPr="001975D6">
        <w:rPr>
          <w:szCs w:val="22"/>
        </w:rPr>
        <w:t>vaccine</w:t>
      </w:r>
      <w:r w:rsidRPr="008F41D9">
        <w:t xml:space="preserve"> passports</w:t>
      </w:r>
      <w:r>
        <w:t xml:space="preserve">), which could then be linked to </w:t>
      </w:r>
      <w:r w:rsidR="008B062A">
        <w:t>government-controlled</w:t>
      </w:r>
      <w:r>
        <w:t xml:space="preserve"> digital currencies and </w:t>
      </w:r>
      <w:r w:rsidR="0072040C">
        <w:t>the</w:t>
      </w:r>
      <w:r w:rsidR="00650C55">
        <w:t xml:space="preserve"> </w:t>
      </w:r>
      <w:r w:rsidR="000C46C8">
        <w:t xml:space="preserve">potential </w:t>
      </w:r>
      <w:r>
        <w:t>abuse of power</w:t>
      </w:r>
      <w:r w:rsidR="0072040C">
        <w:t xml:space="preserve"> (i.e., freezing </w:t>
      </w:r>
      <w:r w:rsidR="00654E27">
        <w:t xml:space="preserve">your </w:t>
      </w:r>
      <w:r w:rsidR="00493741">
        <w:t>cash</w:t>
      </w:r>
      <w:r w:rsidR="0072040C">
        <w:t>)</w:t>
      </w:r>
      <w:r w:rsidR="00C115FF">
        <w:t>.</w:t>
      </w:r>
      <w:r w:rsidR="00C115FF" w:rsidRPr="00BB2B0B">
        <w:rPr>
          <w:rStyle w:val="EndnoteReference"/>
        </w:rPr>
        <w:endnoteReference w:id="596"/>
      </w:r>
      <w:r w:rsidR="00C115FF" w:rsidRPr="001975D6">
        <w:rPr>
          <w:vertAlign w:val="superscript"/>
        </w:rPr>
        <w:t>,</w:t>
      </w:r>
      <w:r w:rsidR="00C115FF" w:rsidRPr="00F123F0">
        <w:rPr>
          <w:rStyle w:val="EndnoteReference"/>
        </w:rPr>
        <w:endnoteReference w:id="597"/>
      </w:r>
      <w:r w:rsidR="00C115FF">
        <w:rPr>
          <w:rStyle w:val="EndnoteReference"/>
        </w:rPr>
        <w:t>,</w:t>
      </w:r>
      <w:r w:rsidR="00C115FF">
        <w:rPr>
          <w:rStyle w:val="EndnoteReference"/>
        </w:rPr>
        <w:endnoteReference w:id="598"/>
      </w:r>
    </w:p>
    <w:p w14:paraId="2894F226" w14:textId="7F107DF1" w:rsidR="00B00C20" w:rsidRDefault="000C46C8" w:rsidP="00ED160F">
      <w:pPr>
        <w:rPr>
          <w:szCs w:val="22"/>
        </w:rPr>
      </w:pPr>
      <w:r>
        <w:rPr>
          <w:szCs w:val="22"/>
        </w:rPr>
        <w:t>Lest we forget, upon d</w:t>
      </w:r>
      <w:r w:rsidR="00B00C20">
        <w:rPr>
          <w:szCs w:val="22"/>
        </w:rPr>
        <w:t>ig</w:t>
      </w:r>
      <w:r w:rsidR="002D1FDD">
        <w:rPr>
          <w:szCs w:val="22"/>
        </w:rPr>
        <w:t>ging</w:t>
      </w:r>
      <w:r w:rsidR="00B00C20">
        <w:rPr>
          <w:szCs w:val="22"/>
        </w:rPr>
        <w:t xml:space="preserve"> deeper one can discover </w:t>
      </w:r>
      <w:r w:rsidR="00ED160F">
        <w:rPr>
          <w:szCs w:val="22"/>
        </w:rPr>
        <w:t>other i</w:t>
      </w:r>
      <w:r w:rsidR="00ED160F" w:rsidRPr="00385B2C">
        <w:rPr>
          <w:szCs w:val="22"/>
        </w:rPr>
        <w:t xml:space="preserve">nstances of </w:t>
      </w:r>
      <w:r w:rsidR="00ED160F" w:rsidRPr="0072040C">
        <w:rPr>
          <w:b/>
          <w:bCs w:val="0"/>
          <w:szCs w:val="22"/>
        </w:rPr>
        <w:t>WHO-associated leadership</w:t>
      </w:r>
      <w:r w:rsidR="00B00C20">
        <w:rPr>
          <w:szCs w:val="22"/>
        </w:rPr>
        <w:t xml:space="preserve"> that are </w:t>
      </w:r>
      <w:r w:rsidR="002D1FDD">
        <w:rPr>
          <w:szCs w:val="22"/>
        </w:rPr>
        <w:t>in my view</w:t>
      </w:r>
      <w:r w:rsidR="002D1FDD" w:rsidRPr="00385B2C">
        <w:rPr>
          <w:szCs w:val="22"/>
        </w:rPr>
        <w:t xml:space="preserve"> </w:t>
      </w:r>
      <w:r w:rsidR="00B00C20" w:rsidRPr="00493741">
        <w:rPr>
          <w:b/>
          <w:bCs w:val="0"/>
          <w:szCs w:val="22"/>
        </w:rPr>
        <w:t>uncommon knowledge</w:t>
      </w:r>
      <w:r w:rsidR="00B00C20">
        <w:rPr>
          <w:szCs w:val="22"/>
        </w:rPr>
        <w:t xml:space="preserve"> </w:t>
      </w:r>
      <w:r w:rsidR="00ED160F">
        <w:rPr>
          <w:szCs w:val="22"/>
        </w:rPr>
        <w:t xml:space="preserve">(i.e., </w:t>
      </w:r>
      <w:r w:rsidR="00B34EB0">
        <w:rPr>
          <w:szCs w:val="22"/>
        </w:rPr>
        <w:t>WHO d</w:t>
      </w:r>
      <w:r w:rsidR="00654E27">
        <w:rPr>
          <w:szCs w:val="22"/>
        </w:rPr>
        <w:t xml:space="preserve">elays in calling a PHEIC for the </w:t>
      </w:r>
      <w:r w:rsidR="00ED160F" w:rsidRPr="008F5592">
        <w:rPr>
          <w:i/>
          <w:iCs/>
          <w:szCs w:val="22"/>
        </w:rPr>
        <w:t>Ebola</w:t>
      </w:r>
      <w:r w:rsidR="00B00C20">
        <w:rPr>
          <w:i/>
          <w:iCs/>
          <w:szCs w:val="22"/>
        </w:rPr>
        <w:t xml:space="preserve"> </w:t>
      </w:r>
      <w:r w:rsidR="00973735">
        <w:rPr>
          <w:i/>
          <w:iCs/>
          <w:szCs w:val="22"/>
        </w:rPr>
        <w:t>epidemic</w:t>
      </w:r>
      <w:r w:rsidR="00ED160F" w:rsidRPr="008F5592">
        <w:rPr>
          <w:i/>
          <w:iCs/>
          <w:szCs w:val="22"/>
        </w:rPr>
        <w:t>,</w:t>
      </w:r>
      <w:r w:rsidR="00ED160F" w:rsidRPr="008F5592">
        <w:rPr>
          <w:rStyle w:val="EndnoteReference"/>
          <w:i/>
          <w:iCs/>
          <w:szCs w:val="22"/>
        </w:rPr>
        <w:endnoteReference w:id="599"/>
      </w:r>
      <w:r w:rsidR="00ED160F" w:rsidRPr="008F5592">
        <w:rPr>
          <w:i/>
          <w:iCs/>
          <w:szCs w:val="22"/>
          <w:vertAlign w:val="superscript"/>
        </w:rPr>
        <w:t>,</w:t>
      </w:r>
      <w:r w:rsidR="00ED160F" w:rsidRPr="008F5592">
        <w:rPr>
          <w:rStyle w:val="EndnoteReference"/>
          <w:i/>
          <w:iCs/>
          <w:szCs w:val="22"/>
        </w:rPr>
        <w:endnoteReference w:id="600"/>
      </w:r>
      <w:r w:rsidR="00ED160F" w:rsidRPr="008F5592">
        <w:rPr>
          <w:i/>
          <w:iCs/>
          <w:szCs w:val="22"/>
        </w:rPr>
        <w:t xml:space="preserve"> </w:t>
      </w:r>
      <w:r w:rsidR="00B34EB0">
        <w:rPr>
          <w:i/>
          <w:iCs/>
          <w:szCs w:val="22"/>
        </w:rPr>
        <w:t xml:space="preserve">the </w:t>
      </w:r>
      <w:r w:rsidR="00654E27">
        <w:rPr>
          <w:i/>
          <w:iCs/>
          <w:szCs w:val="22"/>
        </w:rPr>
        <w:t>genocide</w:t>
      </w:r>
      <w:r w:rsidR="002E7EB6">
        <w:rPr>
          <w:i/>
          <w:iCs/>
          <w:szCs w:val="22"/>
        </w:rPr>
        <w:t>watch</w:t>
      </w:r>
      <w:r w:rsidR="00654E27">
        <w:rPr>
          <w:i/>
          <w:iCs/>
          <w:szCs w:val="22"/>
        </w:rPr>
        <w:t xml:space="preserve">.com Open Letter to DG Tedros in 2017 regarding </w:t>
      </w:r>
      <w:r w:rsidR="00B34EB0">
        <w:rPr>
          <w:i/>
          <w:iCs/>
          <w:szCs w:val="22"/>
        </w:rPr>
        <w:t>WHO’s</w:t>
      </w:r>
      <w:r w:rsidR="00654E27">
        <w:rPr>
          <w:i/>
          <w:iCs/>
          <w:szCs w:val="22"/>
        </w:rPr>
        <w:t xml:space="preserve"> handling of Sudan’s </w:t>
      </w:r>
      <w:r w:rsidR="00ED160F" w:rsidRPr="008F5592">
        <w:rPr>
          <w:i/>
          <w:iCs/>
          <w:szCs w:val="22"/>
        </w:rPr>
        <w:t>Cholera</w:t>
      </w:r>
      <w:r w:rsidR="00B00C20">
        <w:rPr>
          <w:i/>
          <w:iCs/>
          <w:szCs w:val="22"/>
        </w:rPr>
        <w:t xml:space="preserve"> </w:t>
      </w:r>
      <w:r w:rsidR="00B34EB0">
        <w:rPr>
          <w:i/>
          <w:iCs/>
          <w:szCs w:val="22"/>
        </w:rPr>
        <w:t>epidemic</w:t>
      </w:r>
      <w:r w:rsidR="00ED160F" w:rsidRPr="008F5592">
        <w:rPr>
          <w:i/>
          <w:iCs/>
          <w:szCs w:val="22"/>
        </w:rPr>
        <w:t>,</w:t>
      </w:r>
      <w:r w:rsidR="00ED160F" w:rsidRPr="008F5592">
        <w:rPr>
          <w:rStyle w:val="EndnoteReference"/>
          <w:i/>
          <w:iCs/>
          <w:szCs w:val="22"/>
        </w:rPr>
        <w:endnoteReference w:id="601"/>
      </w:r>
      <w:r w:rsidR="00ED160F" w:rsidRPr="008F5592">
        <w:rPr>
          <w:i/>
          <w:iCs/>
          <w:szCs w:val="22"/>
        </w:rPr>
        <w:t xml:space="preserve"> </w:t>
      </w:r>
      <w:r w:rsidR="00654E27">
        <w:rPr>
          <w:i/>
          <w:iCs/>
          <w:szCs w:val="22"/>
        </w:rPr>
        <w:t xml:space="preserve">an </w:t>
      </w:r>
      <w:r w:rsidR="00ED160F" w:rsidRPr="008F5592">
        <w:rPr>
          <w:i/>
          <w:iCs/>
          <w:szCs w:val="22"/>
        </w:rPr>
        <w:t>alleged genocide by subordinates of Ethiopia’s Tigrayan Peoples Liberation Front Executive Committee</w:t>
      </w:r>
      <w:r w:rsidR="00B34EB0">
        <w:rPr>
          <w:i/>
          <w:iCs/>
          <w:szCs w:val="22"/>
        </w:rPr>
        <w:t>,</w:t>
      </w:r>
      <w:r w:rsidR="00B34EB0" w:rsidRPr="00B34EB0">
        <w:rPr>
          <w:rStyle w:val="EndnoteReference"/>
          <w:i/>
          <w:iCs/>
          <w:szCs w:val="22"/>
        </w:rPr>
        <w:t xml:space="preserve"> </w:t>
      </w:r>
      <w:r w:rsidR="00ED160F" w:rsidRPr="008F5592">
        <w:rPr>
          <w:i/>
          <w:iCs/>
          <w:szCs w:val="22"/>
        </w:rPr>
        <w:t>which Tedros Ghebreyesus was a</w:t>
      </w:r>
      <w:r w:rsidR="00650C55">
        <w:rPr>
          <w:i/>
          <w:iCs/>
          <w:szCs w:val="22"/>
        </w:rPr>
        <w:t>n</w:t>
      </w:r>
      <w:r w:rsidR="00ED160F" w:rsidRPr="008F5592">
        <w:rPr>
          <w:i/>
          <w:iCs/>
          <w:szCs w:val="22"/>
        </w:rPr>
        <w:t xml:space="preserve"> </w:t>
      </w:r>
      <w:r w:rsidR="00C115FF">
        <w:rPr>
          <w:i/>
          <w:iCs/>
          <w:szCs w:val="22"/>
        </w:rPr>
        <w:t xml:space="preserve">executive </w:t>
      </w:r>
      <w:r w:rsidR="00ED160F" w:rsidRPr="008F5592">
        <w:rPr>
          <w:i/>
          <w:iCs/>
          <w:szCs w:val="22"/>
        </w:rPr>
        <w:t xml:space="preserve">member of </w:t>
      </w:r>
      <w:r w:rsidR="0039008A">
        <w:rPr>
          <w:i/>
          <w:iCs/>
          <w:szCs w:val="22"/>
        </w:rPr>
        <w:t>before</w:t>
      </w:r>
      <w:r w:rsidR="00ED160F" w:rsidRPr="008F5592">
        <w:rPr>
          <w:i/>
          <w:iCs/>
          <w:szCs w:val="22"/>
        </w:rPr>
        <w:t xml:space="preserve"> his WHO Director-</w:t>
      </w:r>
      <w:r w:rsidR="00ED160F" w:rsidRPr="008F5592">
        <w:rPr>
          <w:i/>
          <w:iCs/>
          <w:szCs w:val="22"/>
        </w:rPr>
        <w:lastRenderedPageBreak/>
        <w:t>General role</w:t>
      </w:r>
      <w:r w:rsidR="00B34EB0">
        <w:rPr>
          <w:i/>
          <w:iCs/>
          <w:szCs w:val="22"/>
        </w:rPr>
        <w:t>,</w:t>
      </w:r>
      <w:r w:rsidR="00B34EB0" w:rsidRPr="008F5592">
        <w:rPr>
          <w:rStyle w:val="EndnoteReference"/>
          <w:i/>
          <w:iCs/>
          <w:szCs w:val="22"/>
        </w:rPr>
        <w:endnoteReference w:id="602"/>
      </w:r>
      <w:r w:rsidR="00B34EB0" w:rsidRPr="008F5592">
        <w:rPr>
          <w:i/>
          <w:iCs/>
          <w:szCs w:val="22"/>
          <w:vertAlign w:val="superscript"/>
        </w:rPr>
        <w:t>,</w:t>
      </w:r>
      <w:r w:rsidR="00B34EB0" w:rsidRPr="008F5592">
        <w:rPr>
          <w:rStyle w:val="EndnoteReference"/>
          <w:i/>
          <w:iCs/>
          <w:szCs w:val="22"/>
        </w:rPr>
        <w:endnoteReference w:id="603"/>
      </w:r>
      <w:r w:rsidR="00B34EB0">
        <w:rPr>
          <w:i/>
          <w:iCs/>
          <w:szCs w:val="22"/>
          <w:vertAlign w:val="superscript"/>
        </w:rPr>
        <w:t xml:space="preserve"> </w:t>
      </w:r>
      <w:r w:rsidR="00B34EB0">
        <w:rPr>
          <w:i/>
          <w:iCs/>
          <w:szCs w:val="22"/>
        </w:rPr>
        <w:t>and</w:t>
      </w:r>
      <w:r w:rsidR="00B34EB0" w:rsidRPr="00B34EB0">
        <w:rPr>
          <w:i/>
          <w:iCs/>
          <w:szCs w:val="22"/>
        </w:rPr>
        <w:t xml:space="preserve"> </w:t>
      </w:r>
      <w:r w:rsidR="00B34EB0">
        <w:rPr>
          <w:i/>
          <w:iCs/>
          <w:szCs w:val="22"/>
        </w:rPr>
        <w:t>WHO’s multi-decade R&amp;D  initiative for</w:t>
      </w:r>
      <w:r w:rsidR="00B34EB0" w:rsidRPr="008F5592">
        <w:rPr>
          <w:i/>
          <w:iCs/>
          <w:szCs w:val="22"/>
        </w:rPr>
        <w:t xml:space="preserve"> population control by vaccination</w:t>
      </w:r>
      <w:r w:rsidR="00B34EB0">
        <w:rPr>
          <w:i/>
          <w:iCs/>
          <w:szCs w:val="22"/>
        </w:rPr>
        <w:t xml:space="preserve"> and its alleged unauthorized testing of a fertility vaccine disguised as a tetanus vaccine in young Kenya</w:t>
      </w:r>
      <w:r w:rsidR="00712351">
        <w:rPr>
          <w:i/>
          <w:iCs/>
          <w:szCs w:val="22"/>
        </w:rPr>
        <w:t>n</w:t>
      </w:r>
      <w:r w:rsidR="00B34EB0">
        <w:rPr>
          <w:i/>
          <w:iCs/>
          <w:szCs w:val="22"/>
        </w:rPr>
        <w:t xml:space="preserve"> women</w:t>
      </w:r>
      <w:r w:rsidR="00B34EB0" w:rsidRPr="008F5592">
        <w:rPr>
          <w:rStyle w:val="EndnoteReference"/>
          <w:i/>
          <w:iCs/>
          <w:szCs w:val="22"/>
        </w:rPr>
        <w:endnoteReference w:id="604"/>
      </w:r>
      <w:r w:rsidR="00ED160F">
        <w:rPr>
          <w:szCs w:val="22"/>
        </w:rPr>
        <w:t>)</w:t>
      </w:r>
      <w:r w:rsidR="00B00C20">
        <w:rPr>
          <w:szCs w:val="22"/>
        </w:rPr>
        <w:t xml:space="preserve">. </w:t>
      </w:r>
    </w:p>
    <w:p w14:paraId="0DE2F705" w14:textId="11268690" w:rsidR="00ED160F" w:rsidRDefault="00650C55" w:rsidP="00ED160F">
      <w:pPr>
        <w:rPr>
          <w:szCs w:val="22"/>
        </w:rPr>
      </w:pPr>
      <w:r>
        <w:rPr>
          <w:szCs w:val="22"/>
        </w:rPr>
        <w:t>W</w:t>
      </w:r>
      <w:r w:rsidR="00ED160F">
        <w:rPr>
          <w:szCs w:val="22"/>
        </w:rPr>
        <w:t xml:space="preserve">hy is </w:t>
      </w:r>
      <w:r w:rsidR="00ED160F" w:rsidRPr="00ED160F">
        <w:rPr>
          <w:b/>
          <w:bCs w:val="0"/>
          <w:szCs w:val="22"/>
        </w:rPr>
        <w:t>New Zealand relying on the WHO</w:t>
      </w:r>
      <w:r w:rsidR="00ED160F">
        <w:rPr>
          <w:szCs w:val="22"/>
        </w:rPr>
        <w:t xml:space="preserve"> to advocate </w:t>
      </w:r>
      <w:r w:rsidR="00F71B70">
        <w:rPr>
          <w:szCs w:val="22"/>
        </w:rPr>
        <w:t xml:space="preserve">transboundary disease control and vaccine </w:t>
      </w:r>
      <w:r w:rsidR="00ED160F">
        <w:rPr>
          <w:szCs w:val="22"/>
        </w:rPr>
        <w:t xml:space="preserve">strategies </w:t>
      </w:r>
      <w:r w:rsidR="0072040C">
        <w:rPr>
          <w:szCs w:val="22"/>
        </w:rPr>
        <w:t>that fail to</w:t>
      </w:r>
      <w:r w:rsidR="00ED160F">
        <w:rPr>
          <w:szCs w:val="22"/>
        </w:rPr>
        <w:t xml:space="preserve"> </w:t>
      </w:r>
      <w:r w:rsidR="00ED160F" w:rsidRPr="00ED160F">
        <w:rPr>
          <w:szCs w:val="22"/>
        </w:rPr>
        <w:t xml:space="preserve">ensure </w:t>
      </w:r>
      <w:r w:rsidR="0072040C">
        <w:rPr>
          <w:szCs w:val="22"/>
        </w:rPr>
        <w:t xml:space="preserve">and </w:t>
      </w:r>
      <w:r w:rsidR="00547751">
        <w:rPr>
          <w:szCs w:val="22"/>
        </w:rPr>
        <w:t>safeguard</w:t>
      </w:r>
      <w:r w:rsidR="0072040C">
        <w:rPr>
          <w:szCs w:val="22"/>
        </w:rPr>
        <w:t xml:space="preserve"> </w:t>
      </w:r>
      <w:r w:rsidR="00ED160F" w:rsidRPr="00ED160F">
        <w:rPr>
          <w:szCs w:val="22"/>
        </w:rPr>
        <w:t>our national public safety?</w:t>
      </w:r>
    </w:p>
    <w:p w14:paraId="11AEBC82" w14:textId="77777777" w:rsidR="00170FFF" w:rsidRPr="00ED160F" w:rsidRDefault="00170FFF" w:rsidP="00ED160F">
      <w:pPr>
        <w:rPr>
          <w:szCs w:val="22"/>
        </w:rPr>
      </w:pPr>
    </w:p>
    <w:p w14:paraId="0694450A" w14:textId="60C18C0B" w:rsidR="00215A89" w:rsidRDefault="00215A89" w:rsidP="006F43B8">
      <w:pPr>
        <w:pStyle w:val="Heading1"/>
      </w:pPr>
      <w:bookmarkStart w:id="244" w:name="_Toc111368035"/>
      <w:bookmarkStart w:id="245" w:name="_Toc121035158"/>
      <w:r>
        <w:t>RESUME &amp; EXPERIENCE</w:t>
      </w:r>
      <w:bookmarkEnd w:id="244"/>
      <w:bookmarkEnd w:id="245"/>
    </w:p>
    <w:p w14:paraId="77019359" w14:textId="20430B88" w:rsidR="00215A89" w:rsidRDefault="00495CA8" w:rsidP="00660BB8">
      <w:pPr>
        <w:pStyle w:val="Heading2"/>
      </w:pPr>
      <w:bookmarkStart w:id="246" w:name="_Toc510678491"/>
      <w:bookmarkStart w:id="247" w:name="_Toc510879995"/>
      <w:bookmarkStart w:id="248" w:name="_Toc512275124"/>
      <w:bookmarkStart w:id="249" w:name="_Toc512360339"/>
      <w:bookmarkStart w:id="250" w:name="_Toc516645023"/>
      <w:bookmarkStart w:id="251" w:name="_Toc109494717"/>
      <w:bookmarkStart w:id="252" w:name="_Toc111368036"/>
      <w:bookmarkStart w:id="253" w:name="_Toc121035159"/>
      <w:r>
        <w:t xml:space="preserve">An </w:t>
      </w:r>
      <w:r w:rsidR="00215A89">
        <w:t xml:space="preserve">Uncommon Vaccine R&amp;D and Risk Factor </w:t>
      </w:r>
      <w:r w:rsidR="00C5045D">
        <w:t>Experience</w:t>
      </w:r>
      <w:r w:rsidR="00215A89">
        <w:t xml:space="preserve"> with Zoonotic-Mutating </w:t>
      </w:r>
      <w:r w:rsidR="00C5045D">
        <w:t xml:space="preserve">RNA </w:t>
      </w:r>
      <w:r w:rsidR="00215A89">
        <w:t>Viruses</w:t>
      </w:r>
      <w:bookmarkEnd w:id="246"/>
      <w:bookmarkEnd w:id="247"/>
      <w:bookmarkEnd w:id="248"/>
      <w:bookmarkEnd w:id="249"/>
      <w:bookmarkEnd w:id="250"/>
      <w:bookmarkEnd w:id="251"/>
      <w:bookmarkEnd w:id="252"/>
      <w:bookmarkEnd w:id="253"/>
    </w:p>
    <w:p w14:paraId="0E3631E6" w14:textId="4F0F1204" w:rsidR="00D54E53" w:rsidRPr="006E7A9D" w:rsidRDefault="00215A89" w:rsidP="006E7A9D">
      <w:pPr>
        <w:rPr>
          <w:szCs w:val="22"/>
        </w:rPr>
      </w:pPr>
      <w:r w:rsidRPr="006E7A9D">
        <w:rPr>
          <w:szCs w:val="22"/>
        </w:rPr>
        <w:t xml:space="preserve">A review of my </w:t>
      </w:r>
      <w:hyperlink r:id="rId15" w:history="1">
        <w:r w:rsidRPr="008B062A">
          <w:rPr>
            <w:rStyle w:val="Hyperlink"/>
            <w:color w:val="0432FF"/>
            <w:szCs w:val="22"/>
          </w:rPr>
          <w:t>LinkedIn</w:t>
        </w:r>
      </w:hyperlink>
      <w:r w:rsidRPr="006E7A9D">
        <w:rPr>
          <w:szCs w:val="22"/>
        </w:rPr>
        <w:t xml:space="preserve"> and </w:t>
      </w:r>
      <w:hyperlink r:id="rId16" w:history="1">
        <w:r w:rsidRPr="008B062A">
          <w:rPr>
            <w:rStyle w:val="Hyperlink"/>
            <w:color w:val="0432FF"/>
            <w:szCs w:val="22"/>
          </w:rPr>
          <w:t>ORCID</w:t>
        </w:r>
      </w:hyperlink>
      <w:r w:rsidRPr="006E7A9D">
        <w:rPr>
          <w:szCs w:val="22"/>
        </w:rPr>
        <w:t xml:space="preserve"> profiles highlights a highly relevant vaccine innovation career. I have uncommon career experience </w:t>
      </w:r>
      <w:r w:rsidR="00C5045D" w:rsidRPr="006E7A9D">
        <w:rPr>
          <w:szCs w:val="22"/>
        </w:rPr>
        <w:t>derived</w:t>
      </w:r>
      <w:r w:rsidRPr="006E7A9D">
        <w:rPr>
          <w:szCs w:val="22"/>
        </w:rPr>
        <w:t xml:space="preserve"> expertise in having co-innovated vaccine solutions for zoonotic-mutating RNA viruses that cause respiratory pandemics</w:t>
      </w:r>
      <w:r w:rsidR="00BB200E">
        <w:rPr>
          <w:szCs w:val="22"/>
        </w:rPr>
        <w:t xml:space="preserve"> and used vaccines for more than 36 years</w:t>
      </w:r>
      <w:r w:rsidRPr="006E7A9D">
        <w:rPr>
          <w:szCs w:val="22"/>
        </w:rPr>
        <w:t xml:space="preserve">. This </w:t>
      </w:r>
      <w:r w:rsidR="00C10E73" w:rsidRPr="006E7A9D">
        <w:rPr>
          <w:szCs w:val="22"/>
        </w:rPr>
        <w:t xml:space="preserve">involved </w:t>
      </w:r>
      <w:r w:rsidR="006E7A9D" w:rsidRPr="006E7A9D">
        <w:rPr>
          <w:szCs w:val="22"/>
        </w:rPr>
        <w:t>t</w:t>
      </w:r>
      <w:r w:rsidR="00C10E73" w:rsidRPr="006E7A9D">
        <w:rPr>
          <w:szCs w:val="22"/>
        </w:rPr>
        <w:t>he</w:t>
      </w:r>
      <w:r w:rsidRPr="006E7A9D">
        <w:rPr>
          <w:szCs w:val="22"/>
        </w:rPr>
        <w:t xml:space="preserve"> leadership of company R&amp;D leaders and a </w:t>
      </w:r>
      <w:r w:rsidR="00D54E53" w:rsidRPr="006E7A9D">
        <w:rPr>
          <w:szCs w:val="22"/>
        </w:rPr>
        <w:t xml:space="preserve">global </w:t>
      </w:r>
      <w:r w:rsidRPr="006E7A9D">
        <w:rPr>
          <w:szCs w:val="22"/>
        </w:rPr>
        <w:t xml:space="preserve">value chain of contract manufacturers and research </w:t>
      </w:r>
      <w:r w:rsidR="006827DD" w:rsidRPr="006E7A9D">
        <w:rPr>
          <w:szCs w:val="22"/>
        </w:rPr>
        <w:t>organization</w:t>
      </w:r>
      <w:r w:rsidR="008B062A">
        <w:rPr>
          <w:szCs w:val="22"/>
        </w:rPr>
        <w:t>s</w:t>
      </w:r>
      <w:r w:rsidR="006E7A9D">
        <w:rPr>
          <w:szCs w:val="22"/>
        </w:rPr>
        <w:t xml:space="preserve"> and </w:t>
      </w:r>
      <w:r w:rsidR="00BB200E">
        <w:rPr>
          <w:szCs w:val="22"/>
        </w:rPr>
        <w:t xml:space="preserve">expert </w:t>
      </w:r>
      <w:r w:rsidR="006E7A9D">
        <w:rPr>
          <w:szCs w:val="22"/>
        </w:rPr>
        <w:t>service provider</w:t>
      </w:r>
      <w:r w:rsidR="008B062A">
        <w:rPr>
          <w:szCs w:val="22"/>
        </w:rPr>
        <w:t>s-partners</w:t>
      </w:r>
      <w:r w:rsidR="00825F4F" w:rsidRPr="006E7A9D">
        <w:rPr>
          <w:szCs w:val="22"/>
        </w:rPr>
        <w:t xml:space="preserve">. This leadership </w:t>
      </w:r>
      <w:r w:rsidR="00135AEF" w:rsidRPr="006E7A9D">
        <w:rPr>
          <w:szCs w:val="22"/>
        </w:rPr>
        <w:t>ensured expert</w:t>
      </w:r>
      <w:r w:rsidRPr="006E7A9D">
        <w:rPr>
          <w:szCs w:val="22"/>
        </w:rPr>
        <w:t xml:space="preserve"> regulatory </w:t>
      </w:r>
      <w:r w:rsidR="00825F4F" w:rsidRPr="006E7A9D">
        <w:rPr>
          <w:szCs w:val="22"/>
        </w:rPr>
        <w:t xml:space="preserve">resources </w:t>
      </w:r>
      <w:r w:rsidR="00BB200E">
        <w:rPr>
          <w:szCs w:val="22"/>
        </w:rPr>
        <w:t xml:space="preserve">and development expertise </w:t>
      </w:r>
      <w:r w:rsidR="00825F4F" w:rsidRPr="006E7A9D">
        <w:rPr>
          <w:szCs w:val="22"/>
        </w:rPr>
        <w:t xml:space="preserve">were provided </w:t>
      </w:r>
      <w:r w:rsidR="00C10E73" w:rsidRPr="006E7A9D">
        <w:rPr>
          <w:szCs w:val="22"/>
        </w:rPr>
        <w:t xml:space="preserve">from day one </w:t>
      </w:r>
      <w:r w:rsidR="00C5045D" w:rsidRPr="006E7A9D">
        <w:rPr>
          <w:szCs w:val="22"/>
        </w:rPr>
        <w:t>for</w:t>
      </w:r>
      <w:r w:rsidR="00D54E53" w:rsidRPr="006E7A9D">
        <w:rPr>
          <w:szCs w:val="22"/>
        </w:rPr>
        <w:t xml:space="preserve"> all lead optimization, pre-clinical, clinical R&amp;D, and manufacturing</w:t>
      </w:r>
      <w:r w:rsidR="006E7A9D">
        <w:rPr>
          <w:szCs w:val="22"/>
        </w:rPr>
        <w:t xml:space="preserve"> process development</w:t>
      </w:r>
      <w:r w:rsidR="00D54E53" w:rsidRPr="006E7A9D">
        <w:rPr>
          <w:szCs w:val="22"/>
        </w:rPr>
        <w:t xml:space="preserve"> focused on UK, US, EU, Australia, and China regulatory jurisdictions. </w:t>
      </w:r>
      <w:r w:rsidR="006E7A9D">
        <w:rPr>
          <w:szCs w:val="22"/>
        </w:rPr>
        <w:t xml:space="preserve">Under </w:t>
      </w:r>
      <w:r w:rsidR="008B062A">
        <w:rPr>
          <w:szCs w:val="22"/>
        </w:rPr>
        <w:t>this</w:t>
      </w:r>
      <w:r w:rsidR="006E7A9D">
        <w:rPr>
          <w:szCs w:val="22"/>
        </w:rPr>
        <w:t xml:space="preserve"> leadership</w:t>
      </w:r>
      <w:r w:rsidR="008B062A">
        <w:rPr>
          <w:szCs w:val="22"/>
        </w:rPr>
        <w:t>,</w:t>
      </w:r>
      <w:r w:rsidR="006E7A9D">
        <w:rPr>
          <w:szCs w:val="22"/>
        </w:rPr>
        <w:t xml:space="preserve"> we successfully developed a</w:t>
      </w:r>
      <w:r w:rsidR="006E7A9D" w:rsidRPr="006E7A9D">
        <w:rPr>
          <w:szCs w:val="22"/>
        </w:rPr>
        <w:t xml:space="preserve"> </w:t>
      </w:r>
      <w:r w:rsidR="006E7A9D">
        <w:rPr>
          <w:szCs w:val="22"/>
        </w:rPr>
        <w:t xml:space="preserve">scalable </w:t>
      </w:r>
      <w:r w:rsidR="006E7A9D" w:rsidRPr="006E7A9D">
        <w:rPr>
          <w:szCs w:val="22"/>
        </w:rPr>
        <w:t xml:space="preserve">synthetic universal pandemic influenza-A vaccine </w:t>
      </w:r>
      <w:r w:rsidR="006E7A9D">
        <w:rPr>
          <w:szCs w:val="22"/>
        </w:rPr>
        <w:t xml:space="preserve">to early human proof of </w:t>
      </w:r>
      <w:r w:rsidR="00BB200E">
        <w:rPr>
          <w:szCs w:val="22"/>
        </w:rPr>
        <w:t>concept</w:t>
      </w:r>
      <w:r w:rsidR="00854B18">
        <w:rPr>
          <w:szCs w:val="22"/>
        </w:rPr>
        <w:t>. We also developed</w:t>
      </w:r>
      <w:r w:rsidR="00D54E53" w:rsidRPr="006E7A9D">
        <w:rPr>
          <w:szCs w:val="22"/>
        </w:rPr>
        <w:t xml:space="preserve"> the capability </w:t>
      </w:r>
      <w:r w:rsidR="006E7A9D">
        <w:rPr>
          <w:szCs w:val="22"/>
        </w:rPr>
        <w:t>to</w:t>
      </w:r>
      <w:r w:rsidR="00D54E53" w:rsidRPr="006E7A9D">
        <w:rPr>
          <w:szCs w:val="22"/>
        </w:rPr>
        <w:t xml:space="preserve"> conduct a human influenza challenge study</w:t>
      </w:r>
      <w:r w:rsidR="00BB200E">
        <w:rPr>
          <w:szCs w:val="22"/>
        </w:rPr>
        <w:t xml:space="preserve"> that ultimately </w:t>
      </w:r>
      <w:r w:rsidR="00854B18">
        <w:rPr>
          <w:szCs w:val="22"/>
        </w:rPr>
        <w:t>broke</w:t>
      </w:r>
      <w:r w:rsidR="00BB200E">
        <w:rPr>
          <w:szCs w:val="22"/>
        </w:rPr>
        <w:t xml:space="preserve"> a global monopoly for such studies</w:t>
      </w:r>
      <w:r w:rsidR="00D54E53" w:rsidRPr="006E7A9D">
        <w:rPr>
          <w:szCs w:val="22"/>
        </w:rPr>
        <w:t xml:space="preserve">. </w:t>
      </w:r>
    </w:p>
    <w:p w14:paraId="142AC774" w14:textId="7F5D30B1" w:rsidR="008B062A" w:rsidRDefault="00215A89" w:rsidP="00215A89">
      <w:pPr>
        <w:rPr>
          <w:szCs w:val="22"/>
        </w:rPr>
      </w:pPr>
      <w:r w:rsidRPr="006827DD">
        <w:rPr>
          <w:szCs w:val="22"/>
        </w:rPr>
        <w:t xml:space="preserve">I </w:t>
      </w:r>
      <w:r w:rsidR="000368C0" w:rsidRPr="006827DD">
        <w:rPr>
          <w:szCs w:val="22"/>
        </w:rPr>
        <w:t xml:space="preserve">am pro-vaccination as a </w:t>
      </w:r>
      <w:r w:rsidR="000368C0" w:rsidRPr="00D54E53">
        <w:rPr>
          <w:szCs w:val="22"/>
        </w:rPr>
        <w:t xml:space="preserve">veterinarian and </w:t>
      </w:r>
      <w:r w:rsidRPr="00D54E53">
        <w:rPr>
          <w:szCs w:val="22"/>
        </w:rPr>
        <w:t xml:space="preserve">was </w:t>
      </w:r>
      <w:r w:rsidR="008B062A">
        <w:rPr>
          <w:szCs w:val="22"/>
        </w:rPr>
        <w:t>similarly</w:t>
      </w:r>
      <w:r w:rsidRPr="00D54E53">
        <w:rPr>
          <w:szCs w:val="22"/>
        </w:rPr>
        <w:t xml:space="preserve"> </w:t>
      </w:r>
      <w:r w:rsidR="000368C0" w:rsidRPr="00D54E53">
        <w:rPr>
          <w:szCs w:val="22"/>
        </w:rPr>
        <w:t xml:space="preserve">in the human field </w:t>
      </w:r>
      <w:r w:rsidRPr="00D54E53">
        <w:rPr>
          <w:szCs w:val="22"/>
        </w:rPr>
        <w:t>until SARS-CoV-2</w:t>
      </w:r>
      <w:r w:rsidR="000368C0" w:rsidRPr="00D54E53">
        <w:rPr>
          <w:szCs w:val="22"/>
        </w:rPr>
        <w:t xml:space="preserve">. I have been a global advocate for prepandemic influenza immunization using </w:t>
      </w:r>
      <w:r w:rsidR="008B062A">
        <w:rPr>
          <w:szCs w:val="22"/>
        </w:rPr>
        <w:t xml:space="preserve">synthetic </w:t>
      </w:r>
      <w:r w:rsidR="008B062A" w:rsidRPr="00D54E53">
        <w:rPr>
          <w:szCs w:val="22"/>
        </w:rPr>
        <w:t>universal Tcell vaccine</w:t>
      </w:r>
      <w:r w:rsidR="008B062A">
        <w:rPr>
          <w:szCs w:val="22"/>
        </w:rPr>
        <w:t>s</w:t>
      </w:r>
      <w:r w:rsidR="008B062A" w:rsidRPr="00D54E53">
        <w:rPr>
          <w:szCs w:val="22"/>
        </w:rPr>
        <w:t xml:space="preserve"> </w:t>
      </w:r>
      <w:r w:rsidR="008B062A">
        <w:rPr>
          <w:szCs w:val="22"/>
        </w:rPr>
        <w:t>(</w:t>
      </w:r>
      <w:r w:rsidR="008B062A" w:rsidRPr="00D54E53">
        <w:rPr>
          <w:szCs w:val="22"/>
        </w:rPr>
        <w:t>since 2005</w:t>
      </w:r>
      <w:r w:rsidR="008B062A">
        <w:rPr>
          <w:szCs w:val="22"/>
        </w:rPr>
        <w:t xml:space="preserve">), and in combination with </w:t>
      </w:r>
      <w:r w:rsidR="006827DD" w:rsidRPr="00D54E53">
        <w:rPr>
          <w:szCs w:val="22"/>
        </w:rPr>
        <w:t>Seqirus</w:t>
      </w:r>
      <w:r w:rsidR="000368C0" w:rsidRPr="00D54E53">
        <w:rPr>
          <w:szCs w:val="22"/>
        </w:rPr>
        <w:t xml:space="preserve">, GSK, </w:t>
      </w:r>
      <w:r w:rsidR="006827DD" w:rsidRPr="00D54E53">
        <w:rPr>
          <w:szCs w:val="22"/>
        </w:rPr>
        <w:t>and Sanofi adjuvanted purified and recombinant subunit vaccines (</w:t>
      </w:r>
      <w:r w:rsidR="00955A7F" w:rsidRPr="00D54E53">
        <w:rPr>
          <w:szCs w:val="22"/>
        </w:rPr>
        <w:t xml:space="preserve">i.e., </w:t>
      </w:r>
      <w:r w:rsidR="006827DD" w:rsidRPr="00D54E53">
        <w:rPr>
          <w:i/>
          <w:iCs/>
          <w:szCs w:val="22"/>
        </w:rPr>
        <w:t>hemagglutinin stalk antibod</w:t>
      </w:r>
      <w:r w:rsidR="008B062A">
        <w:rPr>
          <w:i/>
          <w:iCs/>
          <w:szCs w:val="22"/>
        </w:rPr>
        <w:t xml:space="preserve">y strategies, </w:t>
      </w:r>
      <w:r w:rsidR="008B062A" w:rsidRPr="008B062A">
        <w:rPr>
          <w:szCs w:val="22"/>
        </w:rPr>
        <w:t>since 2008</w:t>
      </w:r>
      <w:r w:rsidR="006827DD" w:rsidRPr="00D54E53">
        <w:rPr>
          <w:szCs w:val="22"/>
        </w:rPr>
        <w:t>) against influenza-A pandemic threats</w:t>
      </w:r>
      <w:r w:rsidR="000368C0" w:rsidRPr="006827DD">
        <w:rPr>
          <w:szCs w:val="22"/>
        </w:rPr>
        <w:t>. V</w:t>
      </w:r>
      <w:r w:rsidRPr="006827DD">
        <w:rPr>
          <w:szCs w:val="22"/>
        </w:rPr>
        <w:t>accines</w:t>
      </w:r>
      <w:r w:rsidR="000368C0" w:rsidRPr="006827DD">
        <w:rPr>
          <w:szCs w:val="22"/>
        </w:rPr>
        <w:t xml:space="preserve"> have</w:t>
      </w:r>
      <w:r w:rsidRPr="006827DD">
        <w:rPr>
          <w:szCs w:val="22"/>
        </w:rPr>
        <w:t xml:space="preserve"> permeated the lion-share of my 3</w:t>
      </w:r>
      <w:r w:rsidR="00C10E73">
        <w:rPr>
          <w:szCs w:val="22"/>
        </w:rPr>
        <w:t>6</w:t>
      </w:r>
      <w:r w:rsidRPr="006827DD">
        <w:rPr>
          <w:szCs w:val="22"/>
        </w:rPr>
        <w:t>-year career</w:t>
      </w:r>
      <w:r w:rsidR="00331D5F">
        <w:rPr>
          <w:szCs w:val="22"/>
        </w:rPr>
        <w:t xml:space="preserve"> (since 1986)</w:t>
      </w:r>
      <w:r w:rsidRPr="006827DD">
        <w:rPr>
          <w:szCs w:val="22"/>
        </w:rPr>
        <w:t xml:space="preserve">. </w:t>
      </w:r>
      <w:r w:rsidR="008B062A">
        <w:rPr>
          <w:szCs w:val="22"/>
        </w:rPr>
        <w:t xml:space="preserve">I co-championed and co-innovated the </w:t>
      </w:r>
      <w:r w:rsidR="00A410EC">
        <w:rPr>
          <w:szCs w:val="22"/>
        </w:rPr>
        <w:t xml:space="preserve">company’s </w:t>
      </w:r>
      <w:r w:rsidR="008B062A">
        <w:rPr>
          <w:szCs w:val="22"/>
        </w:rPr>
        <w:t xml:space="preserve">concept of universal Tcell vaccines and immunotherapies (i.e., </w:t>
      </w:r>
      <w:r w:rsidR="008B062A" w:rsidRPr="008B062A">
        <w:rPr>
          <w:i/>
          <w:iCs/>
          <w:szCs w:val="22"/>
        </w:rPr>
        <w:t>one vaccine for all virus strains and HLA sub-types/ethnicities</w:t>
      </w:r>
      <w:r w:rsidR="008B062A">
        <w:rPr>
          <w:i/>
          <w:iCs/>
          <w:szCs w:val="22"/>
        </w:rPr>
        <w:t xml:space="preserve">, </w:t>
      </w:r>
      <w:r w:rsidR="00052D44">
        <w:rPr>
          <w:i/>
          <w:iCs/>
          <w:szCs w:val="22"/>
        </w:rPr>
        <w:t>mitigating</w:t>
      </w:r>
      <w:r w:rsidR="008B062A">
        <w:rPr>
          <w:i/>
          <w:iCs/>
          <w:szCs w:val="22"/>
        </w:rPr>
        <w:t xml:space="preserve"> antigenic </w:t>
      </w:r>
      <w:r w:rsidR="00052D44">
        <w:rPr>
          <w:i/>
          <w:iCs/>
          <w:szCs w:val="22"/>
        </w:rPr>
        <w:t>imprinting</w:t>
      </w:r>
      <w:r w:rsidR="008B062A">
        <w:rPr>
          <w:szCs w:val="22"/>
        </w:rPr>
        <w:t xml:space="preserve">) with benefits (i.e., </w:t>
      </w:r>
      <w:r w:rsidR="008B062A" w:rsidRPr="008B062A">
        <w:rPr>
          <w:i/>
          <w:iCs/>
          <w:szCs w:val="22"/>
        </w:rPr>
        <w:t xml:space="preserve">synthetic, scalable, </w:t>
      </w:r>
      <w:r w:rsidR="008B062A">
        <w:rPr>
          <w:i/>
          <w:iCs/>
          <w:szCs w:val="22"/>
        </w:rPr>
        <w:t xml:space="preserve">stable, </w:t>
      </w:r>
      <w:r w:rsidR="008B062A" w:rsidRPr="008B062A">
        <w:rPr>
          <w:i/>
          <w:iCs/>
          <w:szCs w:val="22"/>
        </w:rPr>
        <w:t>ex-cold chain</w:t>
      </w:r>
      <w:r w:rsidR="008B062A">
        <w:rPr>
          <w:szCs w:val="22"/>
        </w:rPr>
        <w:t xml:space="preserve">) for zoonotic-mutation-potential RNA viruses deployable before or just after an outbreak of international concern (since 2002). I raised </w:t>
      </w:r>
      <w:r w:rsidR="008B062A" w:rsidRPr="008B062A">
        <w:rPr>
          <w:szCs w:val="22"/>
        </w:rPr>
        <w:t>£</w:t>
      </w:r>
      <w:r w:rsidR="008B062A">
        <w:rPr>
          <w:szCs w:val="22"/>
        </w:rPr>
        <w:t xml:space="preserve">23 million from </w:t>
      </w:r>
      <w:r w:rsidR="00A410EC">
        <w:rPr>
          <w:szCs w:val="22"/>
        </w:rPr>
        <w:t xml:space="preserve">EU corporate </w:t>
      </w:r>
      <w:r w:rsidR="008B062A">
        <w:rPr>
          <w:szCs w:val="22"/>
        </w:rPr>
        <w:t>pharma</w:t>
      </w:r>
      <w:r w:rsidR="00A410EC">
        <w:rPr>
          <w:szCs w:val="22"/>
        </w:rPr>
        <w:t>ceutical</w:t>
      </w:r>
      <w:r w:rsidR="008B062A">
        <w:rPr>
          <w:szCs w:val="22"/>
        </w:rPr>
        <w:t xml:space="preserve"> and life science investors for this concept and vision and built and directed a vaccine company (2003-2012). </w:t>
      </w:r>
    </w:p>
    <w:p w14:paraId="443981D8" w14:textId="61914F68" w:rsidR="00215A89" w:rsidRDefault="006827DD" w:rsidP="00215A89">
      <w:pPr>
        <w:rPr>
          <w:szCs w:val="22"/>
        </w:rPr>
      </w:pPr>
      <w:r w:rsidRPr="006827DD">
        <w:rPr>
          <w:szCs w:val="22"/>
        </w:rPr>
        <w:t xml:space="preserve">However, </w:t>
      </w:r>
      <w:r w:rsidR="00215A89" w:rsidRPr="006827DD">
        <w:rPr>
          <w:szCs w:val="22"/>
        </w:rPr>
        <w:t>I am not pro-vaccination for mutation-prone coronaviruses using spike protein antigens</w:t>
      </w:r>
      <w:r w:rsidR="00A410EC">
        <w:rPr>
          <w:szCs w:val="22"/>
        </w:rPr>
        <w:t xml:space="preserve"> (since 2004)</w:t>
      </w:r>
      <w:r w:rsidR="00215A89" w:rsidRPr="006827DD">
        <w:rPr>
          <w:szCs w:val="22"/>
        </w:rPr>
        <w:t xml:space="preserve"> given their 30-year legacy </w:t>
      </w:r>
      <w:r w:rsidR="00BE6396" w:rsidRPr="006827DD">
        <w:rPr>
          <w:szCs w:val="22"/>
        </w:rPr>
        <w:t>of</w:t>
      </w:r>
      <w:r w:rsidR="00215A89" w:rsidRPr="006827DD">
        <w:rPr>
          <w:szCs w:val="22"/>
        </w:rPr>
        <w:t xml:space="preserve"> antibody-dependent enhancement of virus infection (ADE) and </w:t>
      </w:r>
      <w:r w:rsidR="00743B65">
        <w:rPr>
          <w:szCs w:val="22"/>
        </w:rPr>
        <w:t>vaccine-</w:t>
      </w:r>
      <w:r w:rsidR="00743B65">
        <w:rPr>
          <w:szCs w:val="22"/>
        </w:rPr>
        <w:lastRenderedPageBreak/>
        <w:t>associated</w:t>
      </w:r>
      <w:r w:rsidR="00215A89" w:rsidRPr="006827DD">
        <w:rPr>
          <w:szCs w:val="22"/>
        </w:rPr>
        <w:t xml:space="preserve"> enhanced disease (VAED). I am </w:t>
      </w:r>
      <w:r w:rsidR="008B062A">
        <w:rPr>
          <w:szCs w:val="22"/>
        </w:rPr>
        <w:t xml:space="preserve">against </w:t>
      </w:r>
      <w:r w:rsidR="00215A89" w:rsidRPr="006827DD">
        <w:rPr>
          <w:szCs w:val="22"/>
        </w:rPr>
        <w:t xml:space="preserve">vaccination </w:t>
      </w:r>
      <w:r w:rsidR="00955A7F">
        <w:rPr>
          <w:szCs w:val="22"/>
        </w:rPr>
        <w:t xml:space="preserve">using </w:t>
      </w:r>
      <w:r w:rsidR="006E7A9D">
        <w:rPr>
          <w:szCs w:val="22"/>
        </w:rPr>
        <w:t xml:space="preserve">genetically modified </w:t>
      </w:r>
      <w:r w:rsidR="00D54E53">
        <w:rPr>
          <w:szCs w:val="22"/>
        </w:rPr>
        <w:t xml:space="preserve">spike protein </w:t>
      </w:r>
      <w:r w:rsidR="00215A89" w:rsidRPr="006827DD">
        <w:rPr>
          <w:szCs w:val="22"/>
        </w:rPr>
        <w:t>antigen</w:t>
      </w:r>
      <w:r w:rsidR="000368C0" w:rsidRPr="006827DD">
        <w:rPr>
          <w:szCs w:val="22"/>
        </w:rPr>
        <w:t>s</w:t>
      </w:r>
      <w:r w:rsidR="00215A89" w:rsidRPr="006827DD">
        <w:rPr>
          <w:szCs w:val="22"/>
        </w:rPr>
        <w:t xml:space="preserve"> that bind to critical </w:t>
      </w:r>
      <w:r w:rsidR="00E868F7">
        <w:rPr>
          <w:szCs w:val="22"/>
        </w:rPr>
        <w:t xml:space="preserve">physiological </w:t>
      </w:r>
      <w:r w:rsidR="00215A89" w:rsidRPr="006827DD">
        <w:rPr>
          <w:szCs w:val="22"/>
        </w:rPr>
        <w:t>receptor</w:t>
      </w:r>
      <w:r w:rsidR="00825F4F">
        <w:rPr>
          <w:szCs w:val="22"/>
        </w:rPr>
        <w:t>s</w:t>
      </w:r>
      <w:r w:rsidR="00215A89" w:rsidRPr="006827DD">
        <w:rPr>
          <w:szCs w:val="22"/>
        </w:rPr>
        <w:t xml:space="preserve"> </w:t>
      </w:r>
      <w:r w:rsidR="008B062A">
        <w:rPr>
          <w:szCs w:val="22"/>
        </w:rPr>
        <w:t xml:space="preserve">lining blood vessels and vital organs (i.e., </w:t>
      </w:r>
      <w:r w:rsidR="008B062A" w:rsidRPr="008B062A">
        <w:rPr>
          <w:i/>
          <w:iCs/>
          <w:szCs w:val="22"/>
        </w:rPr>
        <w:t>heart, lungs, brain, kidney</w:t>
      </w:r>
      <w:r w:rsidR="008B062A">
        <w:rPr>
          <w:szCs w:val="22"/>
        </w:rPr>
        <w:t xml:space="preserve">, gonads, and endocrine) </w:t>
      </w:r>
      <w:r w:rsidR="003F0041">
        <w:rPr>
          <w:szCs w:val="22"/>
        </w:rPr>
        <w:t xml:space="preserve">knowing these would </w:t>
      </w:r>
      <w:r w:rsidR="00170FFF">
        <w:rPr>
          <w:szCs w:val="22"/>
        </w:rPr>
        <w:t xml:space="preserve">cause pathologies with 100% certainty </w:t>
      </w:r>
      <w:r w:rsidR="00D54E53">
        <w:rPr>
          <w:szCs w:val="22"/>
        </w:rPr>
        <w:t>(since 2004</w:t>
      </w:r>
      <w:r w:rsidR="00A410EC">
        <w:rPr>
          <w:szCs w:val="22"/>
        </w:rPr>
        <w:t>, SARS</w:t>
      </w:r>
      <w:r w:rsidR="00D54E53">
        <w:rPr>
          <w:szCs w:val="22"/>
        </w:rPr>
        <w:t xml:space="preserve">). </w:t>
      </w:r>
      <w:r w:rsidR="00BE6396">
        <w:rPr>
          <w:szCs w:val="22"/>
        </w:rPr>
        <w:t xml:space="preserve">I believe in </w:t>
      </w:r>
      <w:r>
        <w:rPr>
          <w:szCs w:val="22"/>
        </w:rPr>
        <w:t xml:space="preserve">the </w:t>
      </w:r>
      <w:r w:rsidR="00402F1D">
        <w:rPr>
          <w:szCs w:val="22"/>
        </w:rPr>
        <w:t xml:space="preserve">right of choice </w:t>
      </w:r>
      <w:r>
        <w:rPr>
          <w:szCs w:val="22"/>
        </w:rPr>
        <w:t>between</w:t>
      </w:r>
      <w:r w:rsidR="00402F1D">
        <w:rPr>
          <w:szCs w:val="22"/>
        </w:rPr>
        <w:t xml:space="preserve"> the </w:t>
      </w:r>
      <w:r w:rsidR="00BE6396">
        <w:rPr>
          <w:szCs w:val="22"/>
        </w:rPr>
        <w:t>us</w:t>
      </w:r>
      <w:r w:rsidR="00402F1D">
        <w:rPr>
          <w:szCs w:val="22"/>
        </w:rPr>
        <w:t>e of</w:t>
      </w:r>
      <w:r w:rsidR="00BE6396">
        <w:rPr>
          <w:szCs w:val="22"/>
        </w:rPr>
        <w:t xml:space="preserve"> superior natural </w:t>
      </w:r>
      <w:r w:rsidR="00743B65">
        <w:rPr>
          <w:szCs w:val="22"/>
        </w:rPr>
        <w:t xml:space="preserve">infection-derived </w:t>
      </w:r>
      <w:r w:rsidR="00BE6396">
        <w:rPr>
          <w:szCs w:val="22"/>
        </w:rPr>
        <w:t>immunity</w:t>
      </w:r>
      <w:r>
        <w:rPr>
          <w:szCs w:val="22"/>
        </w:rPr>
        <w:t xml:space="preserve"> over </w:t>
      </w:r>
      <w:r w:rsidR="006E7A9D">
        <w:rPr>
          <w:szCs w:val="22"/>
        </w:rPr>
        <w:t xml:space="preserve">improperly tested and hastily approved </w:t>
      </w:r>
      <w:r w:rsidR="00743B65">
        <w:rPr>
          <w:szCs w:val="22"/>
        </w:rPr>
        <w:t xml:space="preserve">harmful </w:t>
      </w:r>
      <w:r>
        <w:rPr>
          <w:szCs w:val="22"/>
        </w:rPr>
        <w:t>vaccination</w:t>
      </w:r>
      <w:r w:rsidR="00402F1D">
        <w:rPr>
          <w:szCs w:val="22"/>
        </w:rPr>
        <w:t xml:space="preserve"> </w:t>
      </w:r>
      <w:r w:rsidR="008D1572">
        <w:rPr>
          <w:szCs w:val="22"/>
        </w:rPr>
        <w:t>for a disease no worse than influenza in sub-70yr demographics</w:t>
      </w:r>
      <w:r>
        <w:rPr>
          <w:szCs w:val="22"/>
        </w:rPr>
        <w:t>, and for which we already had effective treatments</w:t>
      </w:r>
      <w:r w:rsidR="00215A89">
        <w:rPr>
          <w:szCs w:val="22"/>
        </w:rPr>
        <w:t>.</w:t>
      </w:r>
      <w:r w:rsidR="00215A89" w:rsidRPr="00271F8E">
        <w:rPr>
          <w:szCs w:val="22"/>
        </w:rPr>
        <w:t xml:space="preserve"> I am </w:t>
      </w:r>
      <w:r>
        <w:rPr>
          <w:szCs w:val="22"/>
        </w:rPr>
        <w:t>anti-</w:t>
      </w:r>
      <w:r w:rsidR="00BE6396">
        <w:rPr>
          <w:szCs w:val="22"/>
        </w:rPr>
        <w:t>Blitzkrieg</w:t>
      </w:r>
      <w:r w:rsidR="00215A89">
        <w:rPr>
          <w:szCs w:val="22"/>
        </w:rPr>
        <w:t xml:space="preserve"> speed vaccination campaigns </w:t>
      </w:r>
      <w:r w:rsidR="00135AEF">
        <w:rPr>
          <w:szCs w:val="22"/>
        </w:rPr>
        <w:t xml:space="preserve">done before </w:t>
      </w:r>
      <w:r w:rsidR="00C10E73">
        <w:rPr>
          <w:szCs w:val="22"/>
        </w:rPr>
        <w:t xml:space="preserve">predictable </w:t>
      </w:r>
      <w:r w:rsidR="00D54E53">
        <w:rPr>
          <w:szCs w:val="22"/>
        </w:rPr>
        <w:t>ADE</w:t>
      </w:r>
      <w:r w:rsidR="00135AEF">
        <w:rPr>
          <w:szCs w:val="22"/>
        </w:rPr>
        <w:t xml:space="preserve"> </w:t>
      </w:r>
      <w:r w:rsidR="00D54E53">
        <w:rPr>
          <w:szCs w:val="22"/>
        </w:rPr>
        <w:t xml:space="preserve">could be discovered/uncovered </w:t>
      </w:r>
      <w:r w:rsidR="00135AEF">
        <w:rPr>
          <w:szCs w:val="22"/>
        </w:rPr>
        <w:t xml:space="preserve">in </w:t>
      </w:r>
      <w:r w:rsidR="00520D05">
        <w:rPr>
          <w:szCs w:val="22"/>
        </w:rPr>
        <w:t xml:space="preserve">the </w:t>
      </w:r>
      <w:r>
        <w:rPr>
          <w:szCs w:val="22"/>
        </w:rPr>
        <w:t>surveillance</w:t>
      </w:r>
      <w:r w:rsidR="00135AEF">
        <w:rPr>
          <w:szCs w:val="22"/>
        </w:rPr>
        <w:t xml:space="preserve"> data</w:t>
      </w:r>
      <w:r w:rsidR="00D54E53">
        <w:rPr>
          <w:szCs w:val="22"/>
        </w:rPr>
        <w:t xml:space="preserve">. </w:t>
      </w:r>
      <w:r w:rsidR="00215A89">
        <w:rPr>
          <w:szCs w:val="22"/>
        </w:rPr>
        <w:t xml:space="preserve">I </w:t>
      </w:r>
      <w:r w:rsidR="00135AEF">
        <w:rPr>
          <w:szCs w:val="22"/>
        </w:rPr>
        <w:t xml:space="preserve">have </w:t>
      </w:r>
      <w:r w:rsidR="00215A89">
        <w:rPr>
          <w:szCs w:val="22"/>
        </w:rPr>
        <w:t xml:space="preserve">had </w:t>
      </w:r>
      <w:r w:rsidR="006E7A9D">
        <w:rPr>
          <w:szCs w:val="22"/>
        </w:rPr>
        <w:t xml:space="preserve">long-standing </w:t>
      </w:r>
      <w:r w:rsidR="00215A89">
        <w:rPr>
          <w:szCs w:val="22"/>
        </w:rPr>
        <w:t xml:space="preserve">concerns about </w:t>
      </w:r>
      <w:r w:rsidR="008B062A">
        <w:rPr>
          <w:szCs w:val="22"/>
        </w:rPr>
        <w:t>reverse transcription and genome</w:t>
      </w:r>
      <w:r w:rsidR="00215A89">
        <w:rPr>
          <w:szCs w:val="22"/>
        </w:rPr>
        <w:t xml:space="preserve"> incorporation</w:t>
      </w:r>
      <w:r w:rsidR="006E7A9D">
        <w:rPr>
          <w:szCs w:val="22"/>
        </w:rPr>
        <w:t>, cancer, and autoimmunity</w:t>
      </w:r>
      <w:r w:rsidR="00BE6396">
        <w:rPr>
          <w:szCs w:val="22"/>
        </w:rPr>
        <w:t xml:space="preserve"> </w:t>
      </w:r>
      <w:r w:rsidR="00135AEF">
        <w:rPr>
          <w:szCs w:val="22"/>
        </w:rPr>
        <w:t xml:space="preserve">for any nucleic acid-based </w:t>
      </w:r>
      <w:r w:rsidR="00BE6396">
        <w:rPr>
          <w:szCs w:val="22"/>
        </w:rPr>
        <w:t xml:space="preserve">vaccine </w:t>
      </w:r>
      <w:r w:rsidR="00135AEF">
        <w:rPr>
          <w:szCs w:val="22"/>
        </w:rPr>
        <w:t xml:space="preserve">technology (i.e., any </w:t>
      </w:r>
      <w:r w:rsidR="00BE6396">
        <w:rPr>
          <w:szCs w:val="22"/>
        </w:rPr>
        <w:t>RNA</w:t>
      </w:r>
      <w:r w:rsidR="00135AEF">
        <w:rPr>
          <w:szCs w:val="22"/>
        </w:rPr>
        <w:t xml:space="preserve"> or DNA</w:t>
      </w:r>
      <w:r w:rsidR="00D54E53">
        <w:rPr>
          <w:szCs w:val="22"/>
        </w:rPr>
        <w:t xml:space="preserve"> vaccine</w:t>
      </w:r>
      <w:r w:rsidR="00052D44">
        <w:rPr>
          <w:szCs w:val="22"/>
        </w:rPr>
        <w:t xml:space="preserve">, </w:t>
      </w:r>
      <w:r w:rsidR="00D54E53">
        <w:rPr>
          <w:szCs w:val="22"/>
        </w:rPr>
        <w:t>since 2002)</w:t>
      </w:r>
      <w:r w:rsidR="00BE6396">
        <w:rPr>
          <w:szCs w:val="22"/>
        </w:rPr>
        <w:t>.</w:t>
      </w:r>
    </w:p>
    <w:p w14:paraId="37EEFD15" w14:textId="77777777" w:rsidR="0043514D" w:rsidRDefault="00215A89" w:rsidP="00215A89">
      <w:pPr>
        <w:rPr>
          <w:szCs w:val="22"/>
        </w:rPr>
      </w:pPr>
      <w:r w:rsidRPr="00271F8E">
        <w:rPr>
          <w:szCs w:val="22"/>
        </w:rPr>
        <w:t xml:space="preserve">I also have rare </w:t>
      </w:r>
      <w:r w:rsidR="000368C0">
        <w:rPr>
          <w:szCs w:val="22"/>
        </w:rPr>
        <w:t xml:space="preserve">research </w:t>
      </w:r>
      <w:r w:rsidRPr="00271F8E">
        <w:rPr>
          <w:szCs w:val="22"/>
        </w:rPr>
        <w:t>expertise in risk factors associated with zoonotic</w:t>
      </w:r>
      <w:r w:rsidR="00BB200E">
        <w:rPr>
          <w:szCs w:val="22"/>
        </w:rPr>
        <w:t xml:space="preserve"> mutation-prone</w:t>
      </w:r>
      <w:r w:rsidRPr="00271F8E">
        <w:rPr>
          <w:szCs w:val="22"/>
        </w:rPr>
        <w:t xml:space="preserve"> RNA viruses </w:t>
      </w:r>
      <w:r w:rsidR="000368C0">
        <w:rPr>
          <w:szCs w:val="22"/>
        </w:rPr>
        <w:t xml:space="preserve">that </w:t>
      </w:r>
      <w:r>
        <w:rPr>
          <w:szCs w:val="22"/>
        </w:rPr>
        <w:t>caus</w:t>
      </w:r>
      <w:r w:rsidR="000368C0">
        <w:rPr>
          <w:szCs w:val="22"/>
        </w:rPr>
        <w:t>e</w:t>
      </w:r>
      <w:r>
        <w:rPr>
          <w:szCs w:val="22"/>
        </w:rPr>
        <w:t xml:space="preserve"> respiratory pandemics (influenza) linked to environmental-induced immunosuppression</w:t>
      </w:r>
      <w:r w:rsidR="00E868F7">
        <w:rPr>
          <w:szCs w:val="22"/>
        </w:rPr>
        <w:t>, directly and indirectly</w:t>
      </w:r>
      <w:r w:rsidR="008B062A">
        <w:rPr>
          <w:szCs w:val="22"/>
        </w:rPr>
        <w:t>,</w:t>
      </w:r>
      <w:r>
        <w:rPr>
          <w:szCs w:val="22"/>
        </w:rPr>
        <w:t xml:space="preserve"> consequent to solar-/geo-magnetism</w:t>
      </w:r>
      <w:r w:rsidR="006827DD">
        <w:rPr>
          <w:szCs w:val="22"/>
        </w:rPr>
        <w:t xml:space="preserve"> (i.e., </w:t>
      </w:r>
      <w:r w:rsidR="006827DD" w:rsidRPr="00274AA8">
        <w:rPr>
          <w:i/>
          <w:iCs/>
          <w:szCs w:val="22"/>
        </w:rPr>
        <w:t>circadian system</w:t>
      </w:r>
      <w:r w:rsidR="00F559CE">
        <w:rPr>
          <w:i/>
          <w:iCs/>
          <w:szCs w:val="22"/>
        </w:rPr>
        <w:t xml:space="preserve"> dysregulation</w:t>
      </w:r>
      <w:r w:rsidR="008B062A" w:rsidRPr="00274AA8">
        <w:rPr>
          <w:i/>
          <w:iCs/>
          <w:szCs w:val="22"/>
        </w:rPr>
        <w:t>-</w:t>
      </w:r>
      <w:r w:rsidR="006827DD" w:rsidRPr="00274AA8">
        <w:rPr>
          <w:i/>
          <w:iCs/>
          <w:szCs w:val="22"/>
        </w:rPr>
        <w:t xml:space="preserve">, cosmic </w:t>
      </w:r>
      <w:r w:rsidR="00E868F7" w:rsidRPr="00274AA8">
        <w:rPr>
          <w:i/>
          <w:iCs/>
          <w:szCs w:val="22"/>
        </w:rPr>
        <w:t>ray-induced</w:t>
      </w:r>
      <w:r w:rsidR="006827DD" w:rsidRPr="00274AA8">
        <w:rPr>
          <w:i/>
          <w:iCs/>
          <w:szCs w:val="22"/>
        </w:rPr>
        <w:t xml:space="preserve"> ionization</w:t>
      </w:r>
      <w:r w:rsidR="008B062A" w:rsidRPr="00274AA8">
        <w:rPr>
          <w:i/>
          <w:iCs/>
          <w:szCs w:val="22"/>
        </w:rPr>
        <w:t>-</w:t>
      </w:r>
      <w:r w:rsidR="006827DD" w:rsidRPr="00274AA8">
        <w:rPr>
          <w:i/>
          <w:iCs/>
          <w:szCs w:val="22"/>
        </w:rPr>
        <w:t xml:space="preserve">, </w:t>
      </w:r>
      <w:r w:rsidR="00E868F7" w:rsidRPr="00274AA8">
        <w:rPr>
          <w:i/>
          <w:iCs/>
          <w:szCs w:val="22"/>
        </w:rPr>
        <w:t xml:space="preserve">and </w:t>
      </w:r>
      <w:r w:rsidR="00274AA8" w:rsidRPr="00274AA8">
        <w:rPr>
          <w:i/>
          <w:iCs/>
          <w:szCs w:val="22"/>
        </w:rPr>
        <w:t xml:space="preserve">climate change related </w:t>
      </w:r>
      <w:r w:rsidR="006827DD" w:rsidRPr="00274AA8">
        <w:rPr>
          <w:i/>
          <w:iCs/>
          <w:szCs w:val="22"/>
        </w:rPr>
        <w:t>cold-stress</w:t>
      </w:r>
      <w:r w:rsidR="008B062A" w:rsidRPr="00274AA8">
        <w:rPr>
          <w:i/>
          <w:iCs/>
          <w:szCs w:val="22"/>
        </w:rPr>
        <w:t>-</w:t>
      </w:r>
      <w:r w:rsidR="00825F4F" w:rsidRPr="00274AA8">
        <w:rPr>
          <w:i/>
          <w:iCs/>
          <w:szCs w:val="22"/>
        </w:rPr>
        <w:t xml:space="preserve"> induced</w:t>
      </w:r>
      <w:r w:rsidR="00520D05" w:rsidRPr="00274AA8">
        <w:rPr>
          <w:i/>
          <w:iCs/>
          <w:szCs w:val="22"/>
        </w:rPr>
        <w:t xml:space="preserve"> immunosuppression</w:t>
      </w:r>
      <w:r w:rsidR="006827DD">
        <w:rPr>
          <w:szCs w:val="22"/>
        </w:rPr>
        <w:t>)</w:t>
      </w:r>
      <w:r w:rsidR="008B062A">
        <w:rPr>
          <w:szCs w:val="22"/>
        </w:rPr>
        <w:t xml:space="preserve"> </w:t>
      </w:r>
      <w:r>
        <w:rPr>
          <w:szCs w:val="22"/>
        </w:rPr>
        <w:t>(</w:t>
      </w:r>
      <w:hyperlink r:id="rId17" w:history="1">
        <w:r w:rsidRPr="00DC0CBF">
          <w:rPr>
            <w:rStyle w:val="Hyperlink"/>
            <w:szCs w:val="22"/>
          </w:rPr>
          <w:t>hyperlink</w:t>
        </w:r>
      </w:hyperlink>
      <w:r>
        <w:rPr>
          <w:szCs w:val="22"/>
        </w:rPr>
        <w:t>)</w:t>
      </w:r>
      <w:r w:rsidR="008B062A">
        <w:rPr>
          <w:szCs w:val="22"/>
        </w:rPr>
        <w:t xml:space="preserve"> (since 2015</w:t>
      </w:r>
      <w:r w:rsidR="00257F5E">
        <w:rPr>
          <w:szCs w:val="22"/>
        </w:rPr>
        <w:t>).</w:t>
      </w:r>
    </w:p>
    <w:p w14:paraId="165526C8" w14:textId="77777777" w:rsidR="00712351" w:rsidRDefault="00712351" w:rsidP="00215A89">
      <w:pPr>
        <w:rPr>
          <w:szCs w:val="22"/>
        </w:rPr>
      </w:pPr>
    </w:p>
    <w:p w14:paraId="2DB73B9C" w14:textId="77777777" w:rsidR="00712351" w:rsidRDefault="00712351" w:rsidP="00712351">
      <w:pPr>
        <w:pStyle w:val="Heading1"/>
      </w:pPr>
      <w:bookmarkStart w:id="254" w:name="_Toc121035160"/>
      <w:r>
        <w:t>REFERENCES</w:t>
      </w:r>
      <w:bookmarkEnd w:id="180"/>
      <w:bookmarkEnd w:id="181"/>
      <w:bookmarkEnd w:id="182"/>
      <w:bookmarkEnd w:id="254"/>
    </w:p>
    <w:sectPr w:rsidR="00712351" w:rsidSect="00E12C85">
      <w:endnotePr>
        <w:numFmt w:val="decimal"/>
      </w:endnotePr>
      <w:pgSz w:w="12240" w:h="15840"/>
      <w:pgMar w:top="1296" w:right="1440" w:bottom="1296"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E0BB5" w14:textId="77777777" w:rsidR="000974EF" w:rsidRDefault="000974EF" w:rsidP="00E9219E">
      <w:pPr>
        <w:spacing w:after="0" w:line="240" w:lineRule="auto"/>
      </w:pPr>
      <w:r>
        <w:separator/>
      </w:r>
    </w:p>
  </w:endnote>
  <w:endnote w:type="continuationSeparator" w:id="0">
    <w:p w14:paraId="373EC5CA" w14:textId="77777777" w:rsidR="000974EF" w:rsidRDefault="000974EF" w:rsidP="00E9219E">
      <w:pPr>
        <w:spacing w:after="0" w:line="240" w:lineRule="auto"/>
      </w:pPr>
      <w:r>
        <w:continuationSeparator/>
      </w:r>
    </w:p>
  </w:endnote>
  <w:endnote w:id="1">
    <w:p w14:paraId="03A55289" w14:textId="1AAC1DE3" w:rsidR="004D2973" w:rsidRPr="004D2973" w:rsidRDefault="004D2973" w:rsidP="004D2973">
      <w:pPr>
        <w:pStyle w:val="EndnoteText"/>
        <w:ind w:left="270" w:hanging="270"/>
        <w:jc w:val="left"/>
        <w:rPr>
          <w:rStyle w:val="EndnoteReference"/>
          <w:rFonts w:cs="Times New Roman"/>
          <w:sz w:val="20"/>
          <w:szCs w:val="20"/>
          <w:vertAlign w:val="baseline"/>
        </w:rPr>
      </w:pPr>
      <w:r w:rsidRPr="004D2973">
        <w:rPr>
          <w:rStyle w:val="EndnoteReference"/>
          <w:rFonts w:cs="Times New Roman"/>
          <w:sz w:val="20"/>
          <w:szCs w:val="20"/>
          <w:vertAlign w:val="baseline"/>
        </w:rPr>
        <w:endnoteRef/>
      </w:r>
      <w:r w:rsidRPr="004D2973">
        <w:rPr>
          <w:rStyle w:val="EndnoteReference"/>
          <w:rFonts w:cs="Times New Roman"/>
          <w:sz w:val="20"/>
          <w:szCs w:val="20"/>
          <w:vertAlign w:val="baseline"/>
        </w:rPr>
        <w:t xml:space="preserve"> </w:t>
      </w:r>
      <w:r>
        <w:rPr>
          <w:rFonts w:cs="Times New Roman"/>
          <w:sz w:val="20"/>
          <w:szCs w:val="20"/>
        </w:rPr>
        <w:tab/>
      </w:r>
      <w:r w:rsidRPr="004D2973">
        <w:rPr>
          <w:rStyle w:val="EndnoteReference"/>
          <w:rFonts w:cs="Times New Roman"/>
          <w:sz w:val="20"/>
          <w:szCs w:val="20"/>
          <w:vertAlign w:val="baseline"/>
        </w:rPr>
        <w:t>https://grandsolarminimum.com/2022/12/01/covid-19-vaccination-antibody-dependent-enhancement-of-virus-infection-and-vaccine-associated-enhanced-disease-evidence/</w:t>
      </w:r>
      <w:r>
        <w:rPr>
          <w:rFonts w:cs="Times New Roman"/>
          <w:sz w:val="20"/>
          <w:szCs w:val="20"/>
        </w:rPr>
        <w:t>.</w:t>
      </w:r>
    </w:p>
  </w:endnote>
  <w:endnote w:id="2">
    <w:p w14:paraId="29EF7BDC" w14:textId="7F6A2FC5" w:rsidR="004D2973" w:rsidRPr="004D2973" w:rsidRDefault="004D2973" w:rsidP="004D2973">
      <w:pPr>
        <w:pStyle w:val="EndnoteText"/>
        <w:ind w:left="270" w:hanging="270"/>
        <w:jc w:val="left"/>
        <w:rPr>
          <w:rStyle w:val="EndnoteReference"/>
          <w:rFonts w:cs="Times New Roman"/>
          <w:sz w:val="20"/>
          <w:szCs w:val="20"/>
          <w:vertAlign w:val="baseline"/>
        </w:rPr>
      </w:pPr>
      <w:r w:rsidRPr="004D2973">
        <w:rPr>
          <w:rStyle w:val="EndnoteReference"/>
          <w:rFonts w:cs="Times New Roman"/>
          <w:sz w:val="20"/>
          <w:szCs w:val="20"/>
          <w:vertAlign w:val="baseline"/>
        </w:rPr>
        <w:endnoteRef/>
      </w:r>
      <w:r w:rsidRPr="004D2973">
        <w:rPr>
          <w:rStyle w:val="EndnoteReference"/>
          <w:rFonts w:cs="Times New Roman"/>
          <w:sz w:val="20"/>
          <w:szCs w:val="20"/>
          <w:vertAlign w:val="baseline"/>
        </w:rPr>
        <w:t xml:space="preserve"> </w:t>
      </w:r>
      <w:r>
        <w:rPr>
          <w:rFonts w:cs="Times New Roman"/>
          <w:sz w:val="20"/>
          <w:szCs w:val="20"/>
        </w:rPr>
        <w:tab/>
      </w:r>
      <w:r w:rsidRPr="004D2973">
        <w:rPr>
          <w:rStyle w:val="EndnoteReference"/>
          <w:rFonts w:cs="Times New Roman"/>
          <w:sz w:val="20"/>
          <w:szCs w:val="20"/>
          <w:vertAlign w:val="baseline"/>
        </w:rPr>
        <w:t>https://grandsolarminimum.com/2022/12/01/vaers-toxic-covid-19-vaccine-lot-evidence/</w:t>
      </w:r>
    </w:p>
  </w:endnote>
  <w:endnote w:id="3">
    <w:p w14:paraId="52EA6744" w14:textId="77777777" w:rsidR="00285296" w:rsidRPr="00C85CB4" w:rsidRDefault="00285296" w:rsidP="00285296">
      <w:pPr>
        <w:pStyle w:val="EndnoteText"/>
        <w:ind w:left="270" w:hanging="270"/>
        <w:jc w:val="left"/>
        <w:rPr>
          <w:rStyle w:val="EndnoteReference"/>
          <w:rFonts w:cs="Times New Roman"/>
          <w:sz w:val="20"/>
          <w:szCs w:val="20"/>
        </w:rPr>
      </w:pPr>
      <w:r w:rsidRPr="00C85CB4">
        <w:rPr>
          <w:rStyle w:val="EndnoteReference"/>
          <w:rFonts w:cs="Times New Roman"/>
          <w:sz w:val="20"/>
          <w:szCs w:val="20"/>
        </w:rPr>
        <w:endnoteRef/>
      </w:r>
      <w:r w:rsidRPr="00C85CB4">
        <w:rPr>
          <w:rStyle w:val="EndnoteReference"/>
          <w:rFonts w:cs="Times New Roman"/>
          <w:sz w:val="20"/>
          <w:szCs w:val="20"/>
        </w:rPr>
        <w:t xml:space="preserve"> </w:t>
      </w:r>
      <w:r w:rsidRPr="00C85CB4">
        <w:rPr>
          <w:rStyle w:val="EndnoteReference"/>
        </w:rPr>
        <w:tab/>
      </w:r>
      <w:r w:rsidRPr="008102B0">
        <w:rPr>
          <w:rStyle w:val="EndnoteReference"/>
          <w:rFonts w:cs="Times New Roman"/>
          <w:sz w:val="20"/>
          <w:szCs w:val="20"/>
          <w:vertAlign w:val="baseline"/>
        </w:rPr>
        <w:t>Mathieu, E., Ritchie, H., Ortiz-Ospina, E. et al. A global database of COVID-19 vaccinations. Nat Hum Behav (2021). Our World in Data file: https://covid.ourworldindata.org/data/owid-covid-data.xlsx. Downloaded 27/01/2022.</w:t>
      </w:r>
    </w:p>
  </w:endnote>
  <w:endnote w:id="4">
    <w:p w14:paraId="754FD696" w14:textId="77777777" w:rsidR="00BA4188" w:rsidRPr="00FC3CE8" w:rsidRDefault="00BA4188" w:rsidP="00BA418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6D5AAD">
        <w:rPr>
          <w:rStyle w:val="EndnoteReference"/>
          <w:rFonts w:cs="Times New Roman"/>
          <w:sz w:val="20"/>
          <w:szCs w:val="20"/>
          <w:vertAlign w:val="baseline"/>
        </w:rPr>
        <w:tab/>
      </w:r>
      <w:r w:rsidRPr="00FC3CE8">
        <w:rPr>
          <w:rStyle w:val="EndnoteReference"/>
          <w:rFonts w:cs="Times New Roman"/>
          <w:sz w:val="20"/>
          <w:szCs w:val="20"/>
          <w:vertAlign w:val="baseline"/>
        </w:rPr>
        <w:t>Hannah Ritchie, Lucas Rodés-Guirao, Edouard Mathieu, and Max Roser. 2021. “Coronavirus Pandemic (COVID-19, data to 2021-11-15).” Our World in Data. https://vector-news.github.io/editorials/CausalAnalysisReport_html.html</w:t>
      </w:r>
    </w:p>
  </w:endnote>
  <w:endnote w:id="5">
    <w:p w14:paraId="22DC6C54" w14:textId="539608A9" w:rsidR="00CB0147" w:rsidRPr="00FC3CE8" w:rsidRDefault="00CB0147" w:rsidP="00CB0147">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20183A" w:rsidRPr="006D5AAD">
        <w:rPr>
          <w:rStyle w:val="EndnoteReference"/>
          <w:rFonts w:cs="Times New Roman"/>
          <w:sz w:val="20"/>
          <w:szCs w:val="20"/>
          <w:vertAlign w:val="baseline"/>
        </w:rPr>
        <w:tab/>
      </w:r>
      <w:r w:rsidRPr="006D31CA">
        <w:rPr>
          <w:rStyle w:val="EndnoteReference"/>
          <w:rFonts w:cs="Times New Roman"/>
          <w:sz w:val="20"/>
          <w:szCs w:val="20"/>
          <w:vertAlign w:val="baseline"/>
        </w:rPr>
        <w:t xml:space="preserve">https://www.health.govt.nz/covid-19-novel-coronavirus/covid-19-data-and-statistics, https://web.archive.org/. </w:t>
      </w:r>
      <w:r w:rsidRPr="0020183A">
        <w:rPr>
          <w:rStyle w:val="EndnoteReference"/>
          <w:rFonts w:cs="Times New Roman"/>
          <w:sz w:val="20"/>
          <w:szCs w:val="20"/>
          <w:vertAlign w:val="baseline"/>
        </w:rPr>
        <w:t>Web archive download dates: 22/02/2022, 1/3, 8/3, 15/03, 22/03, 29/03, 5/4, 12/4, 20/04, 26/04, 3/5, 11/5, 17/05, 24/05, 31/05, 7/6, 16/6/, 22/6, 29/6/, 4/7/2022.</w:t>
      </w:r>
    </w:p>
  </w:endnote>
  <w:endnote w:id="6">
    <w:p w14:paraId="428182A7" w14:textId="3DD7239F" w:rsidR="00CB0147" w:rsidRPr="00FC3CE8" w:rsidRDefault="00CB0147" w:rsidP="00CB0147">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20183A" w:rsidRPr="006D5AAD">
        <w:rPr>
          <w:rStyle w:val="EndnoteReference"/>
          <w:rFonts w:cs="Times New Roman"/>
          <w:sz w:val="20"/>
          <w:szCs w:val="20"/>
          <w:vertAlign w:val="baseline"/>
        </w:rPr>
        <w:tab/>
      </w:r>
      <w:r w:rsidRPr="00FC3CE8">
        <w:rPr>
          <w:rStyle w:val="EndnoteReference"/>
          <w:rFonts w:cs="Times New Roman"/>
          <w:sz w:val="20"/>
          <w:szCs w:val="20"/>
          <w:vertAlign w:val="baseline"/>
        </w:rPr>
        <w:t xml:space="preserve">New Zealand 2021 Population Estimates, </w:t>
      </w:r>
      <w:r w:rsidRPr="006D31CA">
        <w:rPr>
          <w:rStyle w:val="EndnoteReference"/>
          <w:rFonts w:cs="Times New Roman"/>
          <w:sz w:val="20"/>
          <w:szCs w:val="20"/>
          <w:vertAlign w:val="baseline"/>
        </w:rPr>
        <w:t>https://infoshare.stats.govt.nz/</w:t>
      </w:r>
    </w:p>
  </w:endnote>
  <w:endnote w:id="7">
    <w:p w14:paraId="008947CE" w14:textId="0D8CEC45" w:rsidR="00A842DA" w:rsidRPr="00FC3CE8" w:rsidRDefault="00A842DA" w:rsidP="00A842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662906">
        <w:rPr>
          <w:rFonts w:cs="Times New Roman"/>
          <w:sz w:val="20"/>
          <w:szCs w:val="20"/>
        </w:rPr>
        <w:tab/>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A3794D">
        <w:rPr>
          <w:rStyle w:val="EndnoteReference"/>
          <w:rFonts w:cs="Times New Roman"/>
          <w:sz w:val="20"/>
          <w:szCs w:val="20"/>
          <w:vertAlign w:val="baseline"/>
        </w:rPr>
        <w:t>COVID-19 cases by vaccination status between week</w:t>
      </w:r>
      <w:r w:rsidR="00D4419A" w:rsidRPr="003F5A75">
        <w:rPr>
          <w:rStyle w:val="EndnoteReference"/>
          <w:rFonts w:cs="Times New Roman"/>
          <w:sz w:val="20"/>
          <w:szCs w:val="20"/>
          <w:vertAlign w:val="baseline"/>
        </w:rPr>
        <w:t>s</w:t>
      </w:r>
      <w:r w:rsidRPr="00A3794D">
        <w:rPr>
          <w:rStyle w:val="EndnoteReference"/>
          <w:rFonts w:cs="Times New Roman"/>
          <w:sz w:val="20"/>
          <w:szCs w:val="20"/>
          <w:vertAlign w:val="baseline"/>
        </w:rPr>
        <w:t xml:space="preserve"> X and Y</w:t>
      </w:r>
      <w:r w:rsidRPr="003F5A75">
        <w:rPr>
          <w:rStyle w:val="EndnoteReference"/>
          <w:rFonts w:cs="Times New Roman"/>
          <w:sz w:val="20"/>
          <w:szCs w:val="20"/>
          <w:vertAlign w:val="baseline"/>
        </w:rPr>
        <w:t>”, for weeks 49-51, 2021, and weeks 1-13, 2022.</w:t>
      </w:r>
      <w:r w:rsidRPr="00A3794D">
        <w:rPr>
          <w:rStyle w:val="EndnoteReference"/>
          <w:rFonts w:cs="Times New Roman"/>
          <w:sz w:val="20"/>
          <w:szCs w:val="20"/>
          <w:vertAlign w:val="baseline"/>
        </w:rPr>
        <w:t xml:space="preserve"> </w:t>
      </w:r>
      <w:r w:rsidRPr="00B203D8">
        <w:rPr>
          <w:rStyle w:val="EndnoteReference"/>
          <w:rFonts w:cs="Times New Roman"/>
          <w:sz w:val="20"/>
          <w:szCs w:val="20"/>
          <w:vertAlign w:val="baseline"/>
        </w:rPr>
        <w:t>https://www.gov.uk/government/publications/covid-19-vaccine-weekly-surveillance-reports</w:t>
      </w:r>
    </w:p>
  </w:endnote>
  <w:endnote w:id="8">
    <w:p w14:paraId="2D946BA0" w14:textId="7250C08C" w:rsidR="00A842DA" w:rsidRPr="00FC3CE8" w:rsidRDefault="00A842DA" w:rsidP="00A842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662906">
        <w:rPr>
          <w:rFonts w:cs="Times New Roman"/>
          <w:sz w:val="20"/>
          <w:szCs w:val="20"/>
        </w:rPr>
        <w:tab/>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733D71">
        <w:rPr>
          <w:rStyle w:val="EndnoteReference"/>
          <w:rFonts w:cs="Times New Roman"/>
          <w:sz w:val="20"/>
          <w:szCs w:val="20"/>
          <w:vertAlign w:val="baseline"/>
        </w:rPr>
        <w:t>Provisional cumulative COVID-19 vaccine uptake by age in England</w:t>
      </w:r>
      <w:r w:rsidRPr="003F5A75">
        <w:rPr>
          <w:rStyle w:val="EndnoteReference"/>
          <w:rFonts w:cs="Times New Roman"/>
          <w:sz w:val="20"/>
          <w:szCs w:val="20"/>
          <w:vertAlign w:val="baseline"/>
        </w:rPr>
        <w:t xml:space="preserve">”, for weeks 49-51, 2021, and weeks 1-13, 2022. </w:t>
      </w:r>
      <w:r w:rsidRPr="00733D71">
        <w:rPr>
          <w:rStyle w:val="EndnoteReference"/>
          <w:rFonts w:cs="Times New Roman"/>
          <w:sz w:val="20"/>
          <w:szCs w:val="20"/>
          <w:vertAlign w:val="baseline"/>
        </w:rPr>
        <w:t>https://www.gov.uk/government/statistics/national-flu-and-covid-19-surveillance-reports-2021-to-2022-season</w:t>
      </w:r>
    </w:p>
  </w:endnote>
  <w:endnote w:id="9">
    <w:p w14:paraId="576AFFD6" w14:textId="1EF79E84" w:rsidR="00CB0147" w:rsidRPr="00CB0147" w:rsidRDefault="00CB0147" w:rsidP="00CB0147">
      <w:pPr>
        <w:pStyle w:val="EndnoteText"/>
        <w:ind w:left="270" w:hanging="270"/>
        <w:jc w:val="left"/>
        <w:rPr>
          <w:rStyle w:val="EndnoteReference"/>
          <w:rFonts w:cs="Times New Roman"/>
          <w:sz w:val="20"/>
          <w:szCs w:val="20"/>
          <w:vertAlign w:val="baseline"/>
        </w:rPr>
      </w:pPr>
      <w:r w:rsidRPr="00CB0147">
        <w:rPr>
          <w:rStyle w:val="EndnoteReference"/>
          <w:rFonts w:cs="Times New Roman"/>
          <w:sz w:val="20"/>
          <w:szCs w:val="20"/>
          <w:vertAlign w:val="baseline"/>
        </w:rPr>
        <w:endnoteRef/>
      </w:r>
      <w:r w:rsidRPr="00CB0147">
        <w:rPr>
          <w:rStyle w:val="EndnoteReference"/>
          <w:rFonts w:cs="Times New Roman"/>
          <w:sz w:val="20"/>
          <w:szCs w:val="20"/>
          <w:vertAlign w:val="baseline"/>
        </w:rPr>
        <w:t xml:space="preserve"> </w:t>
      </w:r>
      <w:r w:rsidR="00662906">
        <w:rPr>
          <w:rFonts w:cs="Times New Roman"/>
          <w:sz w:val="20"/>
          <w:szCs w:val="20"/>
        </w:rPr>
        <w:tab/>
      </w:r>
      <w:r w:rsidR="00557346" w:rsidRPr="00557346">
        <w:rPr>
          <w:rStyle w:val="EndnoteReference"/>
          <w:rFonts w:cs="Times New Roman"/>
          <w:sz w:val="20"/>
          <w:szCs w:val="20"/>
          <w:vertAlign w:val="baseline"/>
        </w:rPr>
        <w:t>Reports as at 29/11/21, 6/12/21, 13/12/21, 20/12/21, 05/01/22, 10/01/22, 17/01/22, 24/01/22, 31/01/22, 07/022022, and 14/02/2022</w:t>
      </w:r>
      <w:r w:rsidR="00557346">
        <w:rPr>
          <w:rStyle w:val="EndnoteReference"/>
          <w:rFonts w:cs="Times New Roman"/>
          <w:sz w:val="20"/>
          <w:szCs w:val="20"/>
          <w:vertAlign w:val="baseline"/>
        </w:rPr>
        <w:t xml:space="preserve">. </w:t>
      </w:r>
      <w:r w:rsidR="00D4419A">
        <w:rPr>
          <w:rStyle w:val="EndnoteReference"/>
          <w:rFonts w:cs="Times New Roman"/>
          <w:sz w:val="20"/>
          <w:szCs w:val="20"/>
          <w:vertAlign w:val="baseline"/>
        </w:rPr>
        <w:t>W</w:t>
      </w:r>
      <w:r w:rsidR="00D4419A" w:rsidRPr="00D4419A">
        <w:rPr>
          <w:rStyle w:val="EndnoteReference"/>
          <w:rFonts w:cs="Times New Roman"/>
          <w:sz w:val="20"/>
          <w:szCs w:val="20"/>
          <w:vertAlign w:val="baseline"/>
        </w:rPr>
        <w:t>eek commencing 30/10/21 to week ending 11/02/22</w:t>
      </w:r>
      <w:r w:rsidR="00D4419A" w:rsidRPr="003F5A75">
        <w:rPr>
          <w:rStyle w:val="EndnoteReference"/>
          <w:rFonts w:cs="Times New Roman"/>
          <w:sz w:val="20"/>
          <w:szCs w:val="20"/>
          <w:vertAlign w:val="baseline"/>
        </w:rPr>
        <w:t xml:space="preserve">. </w:t>
      </w:r>
      <w:r w:rsidR="00AC22C7" w:rsidRPr="003F5A75">
        <w:rPr>
          <w:rStyle w:val="EndnoteReference"/>
          <w:rFonts w:cs="Times New Roman"/>
          <w:sz w:val="20"/>
          <w:szCs w:val="20"/>
          <w:vertAlign w:val="baseline"/>
        </w:rPr>
        <w:t xml:space="preserve">Table: PCR-confirmed COVID-19 age-standardized case rate per 100,000 individuals by vaccine status, seven-day rolling average from X to Y. </w:t>
      </w:r>
      <w:r w:rsidRPr="00CB0147">
        <w:rPr>
          <w:rStyle w:val="EndnoteReference"/>
          <w:rFonts w:cs="Times New Roman"/>
          <w:sz w:val="20"/>
          <w:szCs w:val="20"/>
          <w:vertAlign w:val="baseline"/>
        </w:rPr>
        <w:t>https://publichealthscotland.scot/publications/show-all-releases?id=20580</w:t>
      </w:r>
    </w:p>
  </w:endnote>
  <w:endnote w:id="10">
    <w:p w14:paraId="38A5F4CA" w14:textId="3CCD60C9" w:rsidR="00A842DA" w:rsidRPr="00A842DA" w:rsidRDefault="00A842DA" w:rsidP="00A842DA">
      <w:pPr>
        <w:pStyle w:val="EndnoteText"/>
        <w:ind w:left="270" w:hanging="270"/>
        <w:jc w:val="left"/>
        <w:rPr>
          <w:rStyle w:val="EndnoteReference"/>
          <w:rFonts w:cs="Times New Roman"/>
          <w:sz w:val="20"/>
          <w:szCs w:val="20"/>
          <w:vertAlign w:val="baseline"/>
        </w:rPr>
      </w:pPr>
      <w:r w:rsidRPr="00A842DA">
        <w:rPr>
          <w:rStyle w:val="EndnoteReference"/>
          <w:rFonts w:cs="Times New Roman"/>
          <w:sz w:val="20"/>
          <w:szCs w:val="20"/>
          <w:vertAlign w:val="baseline"/>
        </w:rPr>
        <w:endnoteRef/>
      </w:r>
      <w:r w:rsidRPr="00A842DA">
        <w:rPr>
          <w:rStyle w:val="EndnoteReference"/>
          <w:rFonts w:cs="Times New Roman"/>
          <w:sz w:val="20"/>
          <w:szCs w:val="20"/>
          <w:vertAlign w:val="baseline"/>
        </w:rPr>
        <w:t xml:space="preserve"> National Records of Scotland: Mid-2021 Population Estimates Scotland</w:t>
      </w:r>
      <w:r>
        <w:rPr>
          <w:rStyle w:val="EndnoteReference"/>
          <w:rFonts w:cs="Times New Roman"/>
          <w:sz w:val="20"/>
          <w:szCs w:val="20"/>
          <w:vertAlign w:val="baseline"/>
        </w:rPr>
        <w:t xml:space="preserve">. </w:t>
      </w:r>
      <w:r w:rsidRPr="00A842DA">
        <w:rPr>
          <w:rStyle w:val="EndnoteReference"/>
          <w:rFonts w:cs="Times New Roman"/>
          <w:sz w:val="20"/>
          <w:szCs w:val="20"/>
          <w:vertAlign w:val="baseline"/>
        </w:rPr>
        <w:t>https://www.nrscotland.gov.uk/statistics-and-data/statistics/statistics-by-theme/population/population-estimates/mid-year-population-estimates/mid-2021</w:t>
      </w:r>
    </w:p>
  </w:endnote>
  <w:endnote w:id="11">
    <w:p w14:paraId="5F853B59" w14:textId="146C262D" w:rsidR="00557346" w:rsidRPr="00557346" w:rsidRDefault="00557346" w:rsidP="00557346">
      <w:pPr>
        <w:pStyle w:val="EndnoteText"/>
        <w:ind w:left="270" w:hanging="270"/>
        <w:jc w:val="left"/>
        <w:rPr>
          <w:rStyle w:val="EndnoteReference"/>
          <w:rFonts w:cs="Times New Roman"/>
          <w:sz w:val="20"/>
          <w:szCs w:val="20"/>
          <w:vertAlign w:val="baseline"/>
        </w:rPr>
      </w:pPr>
      <w:r w:rsidRPr="00557346">
        <w:rPr>
          <w:rStyle w:val="EndnoteReference"/>
          <w:rFonts w:cs="Times New Roman"/>
          <w:sz w:val="20"/>
          <w:szCs w:val="20"/>
          <w:vertAlign w:val="baseline"/>
        </w:rPr>
        <w:endnoteRef/>
      </w:r>
      <w:r w:rsidRPr="00557346">
        <w:rPr>
          <w:rStyle w:val="EndnoteReference"/>
          <w:rFonts w:cs="Times New Roman"/>
          <w:sz w:val="20"/>
          <w:szCs w:val="20"/>
          <w:vertAlign w:val="baseline"/>
        </w:rPr>
        <w:t xml:space="preserve"> </w:t>
      </w:r>
      <w:r w:rsidR="00994937" w:rsidRPr="00994937">
        <w:rPr>
          <w:rStyle w:val="EndnoteReference"/>
          <w:rFonts w:cs="Times New Roman"/>
          <w:sz w:val="20"/>
          <w:szCs w:val="20"/>
          <w:vertAlign w:val="baseline"/>
        </w:rPr>
        <w:t xml:space="preserve">PHAC, </w:t>
      </w:r>
      <w:r w:rsidR="00994937" w:rsidRPr="003F5A75">
        <w:rPr>
          <w:rStyle w:val="EndnoteReference"/>
          <w:rFonts w:cs="Times New Roman"/>
          <w:sz w:val="20"/>
          <w:szCs w:val="20"/>
          <w:vertAlign w:val="baseline"/>
        </w:rPr>
        <w:t xml:space="preserve">Reports dated </w:t>
      </w:r>
      <w:r w:rsidR="00994937" w:rsidRPr="00994937">
        <w:rPr>
          <w:rStyle w:val="EndnoteReference"/>
          <w:rFonts w:cs="Times New Roman"/>
          <w:sz w:val="20"/>
          <w:szCs w:val="20"/>
          <w:vertAlign w:val="baseline"/>
        </w:rPr>
        <w:t xml:space="preserve">March 24, April 29, and May 27, 2022, </w:t>
      </w:r>
      <w:r w:rsidR="00994937">
        <w:rPr>
          <w:rStyle w:val="EndnoteReference"/>
          <w:rFonts w:cs="Times New Roman"/>
          <w:sz w:val="20"/>
          <w:szCs w:val="20"/>
          <w:vertAlign w:val="baseline"/>
        </w:rPr>
        <w:t>T</w:t>
      </w:r>
      <w:r w:rsidR="00994937" w:rsidRPr="003F5A75">
        <w:rPr>
          <w:rStyle w:val="EndnoteReference"/>
          <w:rFonts w:cs="Times New Roman"/>
          <w:sz w:val="20"/>
          <w:szCs w:val="20"/>
          <w:vertAlign w:val="baseline"/>
        </w:rPr>
        <w:t>able 2 data</w:t>
      </w:r>
      <w:r w:rsidR="00994937" w:rsidRPr="00994937">
        <w:rPr>
          <w:rStyle w:val="EndnoteReference"/>
          <w:rFonts w:cs="Times New Roman"/>
          <w:sz w:val="20"/>
          <w:szCs w:val="20"/>
          <w:vertAlign w:val="baseline"/>
        </w:rPr>
        <w:t xml:space="preserve"> as of 06/03/22, 10/04/22, </w:t>
      </w:r>
      <w:r w:rsidR="00994937" w:rsidRPr="003F5A75">
        <w:rPr>
          <w:rStyle w:val="EndnoteReference"/>
          <w:rFonts w:cs="Times New Roman"/>
          <w:sz w:val="20"/>
          <w:szCs w:val="20"/>
          <w:vertAlign w:val="baseline"/>
        </w:rPr>
        <w:t xml:space="preserve">and </w:t>
      </w:r>
      <w:r w:rsidR="00994937" w:rsidRPr="00994937">
        <w:rPr>
          <w:rStyle w:val="EndnoteReference"/>
          <w:rFonts w:cs="Times New Roman"/>
          <w:sz w:val="20"/>
          <w:szCs w:val="20"/>
          <w:vertAlign w:val="baseline"/>
        </w:rPr>
        <w:t>08/05/22, ≥5yr demographics</w:t>
      </w:r>
      <w:r w:rsidR="00994937" w:rsidRPr="003F5A75">
        <w:rPr>
          <w:rStyle w:val="EndnoteReference"/>
          <w:rFonts w:cs="Times New Roman"/>
          <w:sz w:val="20"/>
          <w:szCs w:val="20"/>
          <w:vertAlign w:val="baseline"/>
        </w:rPr>
        <w:t xml:space="preserve">. </w:t>
      </w:r>
      <w:r w:rsidRPr="00557346">
        <w:rPr>
          <w:rStyle w:val="EndnoteReference"/>
          <w:rFonts w:cs="Times New Roman"/>
          <w:sz w:val="20"/>
          <w:szCs w:val="20"/>
          <w:vertAlign w:val="baseline"/>
        </w:rPr>
        <w:t>https://health-infobase.canada.ca/src/data/covidLive/Epidemiological-summary-of-COVID-19-cases-in-Canada-Canada.ca.pdf</w:t>
      </w:r>
      <w:r w:rsidRPr="003F5A75">
        <w:rPr>
          <w:rStyle w:val="EndnoteReference"/>
          <w:rFonts w:cs="Times New Roman"/>
          <w:sz w:val="20"/>
          <w:szCs w:val="20"/>
          <w:vertAlign w:val="baseline"/>
        </w:rPr>
        <w:t xml:space="preserve">, </w:t>
      </w:r>
      <w:r w:rsidRPr="006D31CA">
        <w:rPr>
          <w:rStyle w:val="EndnoteReference"/>
          <w:rFonts w:cs="Times New Roman"/>
          <w:sz w:val="20"/>
          <w:szCs w:val="20"/>
          <w:vertAlign w:val="baseline"/>
        </w:rPr>
        <w:t>https://web.archive.org/</w:t>
      </w:r>
      <w:r w:rsidRPr="003F5A75">
        <w:rPr>
          <w:rStyle w:val="EndnoteReference"/>
          <w:rFonts w:cs="Times New Roman"/>
          <w:sz w:val="20"/>
          <w:szCs w:val="20"/>
          <w:vertAlign w:val="baseline"/>
        </w:rPr>
        <w:t>.</w:t>
      </w:r>
    </w:p>
  </w:endnote>
  <w:endnote w:id="12">
    <w:p w14:paraId="6FE8555E" w14:textId="2748794A" w:rsidR="003A70E7" w:rsidRPr="003A70E7" w:rsidRDefault="003A70E7" w:rsidP="000140E6">
      <w:pPr>
        <w:pStyle w:val="EndnoteText"/>
        <w:ind w:left="270" w:hanging="270"/>
        <w:jc w:val="left"/>
        <w:rPr>
          <w:rStyle w:val="EndnoteReference"/>
          <w:rFonts w:cs="Times New Roman"/>
          <w:sz w:val="20"/>
          <w:szCs w:val="20"/>
          <w:vertAlign w:val="baseline"/>
        </w:rPr>
      </w:pPr>
      <w:r w:rsidRPr="003A70E7">
        <w:rPr>
          <w:rStyle w:val="EndnoteReference"/>
          <w:rFonts w:cs="Times New Roman"/>
          <w:sz w:val="20"/>
          <w:szCs w:val="20"/>
          <w:vertAlign w:val="baseline"/>
        </w:rPr>
        <w:endnoteRef/>
      </w:r>
      <w:r w:rsidRPr="003A70E7">
        <w:rPr>
          <w:rStyle w:val="EndnoteReference"/>
          <w:rFonts w:cs="Times New Roman"/>
          <w:sz w:val="20"/>
          <w:szCs w:val="20"/>
          <w:vertAlign w:val="baseline"/>
        </w:rPr>
        <w:t xml:space="preserve"> </w:t>
      </w:r>
      <w:r w:rsidR="000140E6" w:rsidRPr="000140E6">
        <w:rPr>
          <w:rStyle w:val="EndnoteReference"/>
          <w:rFonts w:cs="Times New Roman"/>
          <w:sz w:val="20"/>
          <w:szCs w:val="20"/>
          <w:vertAlign w:val="baseline"/>
        </w:rPr>
        <w:t>Statistics Canada. Table 98-10-0020-01  Age (in single years), average age and median age and gender: Canada, provinces and territories, census metropolitan areas and census agglomerations with parts</w:t>
      </w:r>
      <w:r w:rsidR="000140E6">
        <w:rPr>
          <w:rStyle w:val="EndnoteReference"/>
          <w:rFonts w:cs="Times New Roman"/>
          <w:sz w:val="20"/>
          <w:szCs w:val="20"/>
          <w:vertAlign w:val="baseline"/>
        </w:rPr>
        <w:t xml:space="preserve">, </w:t>
      </w:r>
      <w:r w:rsidR="000140E6" w:rsidRPr="000140E6">
        <w:rPr>
          <w:rStyle w:val="EndnoteReference"/>
          <w:rFonts w:cs="Times New Roman"/>
          <w:sz w:val="20"/>
          <w:szCs w:val="20"/>
          <w:vertAlign w:val="baseline"/>
        </w:rPr>
        <w:t>DOI: https://doi.org/10.25318/9810002001-eng</w:t>
      </w:r>
      <w:r w:rsidR="000140E6" w:rsidRPr="003F5A75">
        <w:rPr>
          <w:rStyle w:val="EndnoteReference"/>
          <w:rFonts w:cs="Times New Roman"/>
          <w:sz w:val="20"/>
          <w:szCs w:val="20"/>
          <w:vertAlign w:val="baseline"/>
        </w:rPr>
        <w:t>.</w:t>
      </w:r>
      <w:r w:rsidR="000140E6" w:rsidRPr="000140E6">
        <w:rPr>
          <w:rStyle w:val="EndnoteReference"/>
          <w:rFonts w:cs="Times New Roman"/>
          <w:sz w:val="20"/>
          <w:szCs w:val="20"/>
          <w:vertAlign w:val="baseline"/>
        </w:rPr>
        <w:t xml:space="preserve"> </w:t>
      </w:r>
      <w:r w:rsidRPr="003A70E7">
        <w:rPr>
          <w:rStyle w:val="EndnoteReference"/>
          <w:rFonts w:cs="Times New Roman"/>
          <w:sz w:val="20"/>
          <w:szCs w:val="20"/>
          <w:vertAlign w:val="baseline"/>
        </w:rPr>
        <w:t>https://www150.statcan.gc.ca/t1/tbl1/en/tv.action?pid=9810002001</w:t>
      </w:r>
    </w:p>
  </w:endnote>
  <w:endnote w:id="13">
    <w:p w14:paraId="701DCED5" w14:textId="0C933A76" w:rsidR="006934F2" w:rsidRPr="00FC3CE8" w:rsidRDefault="006934F2" w:rsidP="006934F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D4419A">
        <w:rPr>
          <w:rStyle w:val="EndnoteReference"/>
          <w:rFonts w:cs="Times New Roman"/>
          <w:sz w:val="20"/>
          <w:szCs w:val="20"/>
          <w:vertAlign w:val="baseline"/>
        </w:rPr>
        <w:t xml:space="preserve">COVID-19 deaths (a) within 28 days of positive specimen or with COVID-19 reported on </w:t>
      </w:r>
      <w:r w:rsidR="00182EA7" w:rsidRPr="006D5AAD">
        <w:rPr>
          <w:rStyle w:val="EndnoteReference"/>
          <w:vertAlign w:val="baseline"/>
        </w:rPr>
        <w:t xml:space="preserve">the </w:t>
      </w:r>
      <w:r w:rsidRPr="00D4419A">
        <w:rPr>
          <w:rStyle w:val="EndnoteReference"/>
          <w:rFonts w:cs="Times New Roman"/>
          <w:sz w:val="20"/>
          <w:szCs w:val="20"/>
          <w:vertAlign w:val="baseline"/>
        </w:rPr>
        <w:t>death certificate, by vaccination status between week</w:t>
      </w:r>
      <w:r w:rsidRPr="003F5A75">
        <w:rPr>
          <w:rStyle w:val="EndnoteReference"/>
          <w:rFonts w:cs="Times New Roman"/>
          <w:sz w:val="20"/>
          <w:szCs w:val="20"/>
          <w:vertAlign w:val="baseline"/>
        </w:rPr>
        <w:t xml:space="preserve">s </w:t>
      </w:r>
      <w:r w:rsidRPr="00A3794D">
        <w:rPr>
          <w:rStyle w:val="EndnoteReference"/>
          <w:rFonts w:cs="Times New Roman"/>
          <w:sz w:val="20"/>
          <w:szCs w:val="20"/>
          <w:vertAlign w:val="baseline"/>
        </w:rPr>
        <w:t>X and Y</w:t>
      </w:r>
      <w:r w:rsidRPr="003F5A75">
        <w:rPr>
          <w:rStyle w:val="EndnoteReference"/>
          <w:rFonts w:cs="Times New Roman"/>
          <w:sz w:val="20"/>
          <w:szCs w:val="20"/>
          <w:vertAlign w:val="baseline"/>
        </w:rPr>
        <w:t>”, for weeks 49-51, 2021, and weeks 1-13, 2022.</w:t>
      </w:r>
      <w:r w:rsidRPr="00A3794D">
        <w:rPr>
          <w:rStyle w:val="EndnoteReference"/>
          <w:rFonts w:cs="Times New Roman"/>
          <w:sz w:val="20"/>
          <w:szCs w:val="20"/>
          <w:vertAlign w:val="baseline"/>
        </w:rPr>
        <w:t xml:space="preserve"> </w:t>
      </w:r>
      <w:r w:rsidRPr="00B203D8">
        <w:rPr>
          <w:rStyle w:val="EndnoteReference"/>
          <w:rFonts w:cs="Times New Roman"/>
          <w:sz w:val="20"/>
          <w:szCs w:val="20"/>
          <w:vertAlign w:val="baseline"/>
        </w:rPr>
        <w:t>https://www.gov.uk/government/publications/covid-19-vaccine-weekly-surveillance-reports</w:t>
      </w:r>
    </w:p>
  </w:endnote>
  <w:endnote w:id="14">
    <w:p w14:paraId="4294B944" w14:textId="77777777" w:rsidR="006934F2" w:rsidRPr="00FC3CE8" w:rsidRDefault="006934F2" w:rsidP="006934F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733D71">
        <w:rPr>
          <w:rStyle w:val="EndnoteReference"/>
          <w:rFonts w:cs="Times New Roman"/>
          <w:sz w:val="20"/>
          <w:szCs w:val="20"/>
          <w:vertAlign w:val="baseline"/>
        </w:rPr>
        <w:t>Provisional cumulative COVID-19 vaccine uptake by age in England</w:t>
      </w:r>
      <w:r w:rsidRPr="003F5A75">
        <w:rPr>
          <w:rStyle w:val="EndnoteReference"/>
          <w:rFonts w:cs="Times New Roman"/>
          <w:sz w:val="20"/>
          <w:szCs w:val="20"/>
          <w:vertAlign w:val="baseline"/>
        </w:rPr>
        <w:t xml:space="preserve">”, for weeks 49-51, 2021, and weeks 1-13, 2022. </w:t>
      </w:r>
      <w:r w:rsidRPr="00733D71">
        <w:rPr>
          <w:rStyle w:val="EndnoteReference"/>
          <w:rFonts w:cs="Times New Roman"/>
          <w:sz w:val="20"/>
          <w:szCs w:val="20"/>
          <w:vertAlign w:val="baseline"/>
        </w:rPr>
        <w:t>https://www.gov.uk/government/statistics/national-flu-and-covid-19-surveillance-reports-2021-to-2022-season</w:t>
      </w:r>
    </w:p>
  </w:endnote>
  <w:endnote w:id="15">
    <w:p w14:paraId="4657AF32" w14:textId="1A283595" w:rsidR="00AC22C7" w:rsidRPr="00CB0147" w:rsidRDefault="00AC22C7" w:rsidP="00AC22C7">
      <w:pPr>
        <w:pStyle w:val="EndnoteText"/>
        <w:ind w:left="270" w:hanging="270"/>
        <w:jc w:val="left"/>
        <w:rPr>
          <w:rStyle w:val="EndnoteReference"/>
          <w:rFonts w:cs="Times New Roman"/>
          <w:sz w:val="20"/>
          <w:szCs w:val="20"/>
          <w:vertAlign w:val="baseline"/>
        </w:rPr>
      </w:pPr>
      <w:r w:rsidRPr="00CB0147">
        <w:rPr>
          <w:rStyle w:val="EndnoteReference"/>
          <w:rFonts w:cs="Times New Roman"/>
          <w:sz w:val="20"/>
          <w:szCs w:val="20"/>
          <w:vertAlign w:val="baseline"/>
        </w:rPr>
        <w:endnoteRef/>
      </w:r>
      <w:r w:rsidRPr="00CB0147">
        <w:rPr>
          <w:rStyle w:val="EndnoteReference"/>
          <w:rFonts w:cs="Times New Roman"/>
          <w:sz w:val="20"/>
          <w:szCs w:val="20"/>
          <w:vertAlign w:val="baseline"/>
        </w:rPr>
        <w:t xml:space="preserve"> </w:t>
      </w:r>
      <w:r w:rsidRPr="00557346">
        <w:rPr>
          <w:rStyle w:val="EndnoteReference"/>
          <w:rFonts w:cs="Times New Roman"/>
          <w:sz w:val="20"/>
          <w:szCs w:val="20"/>
          <w:vertAlign w:val="baseline"/>
        </w:rPr>
        <w:t>Reports as at 29/11/21, 6/12/21, 13/12/21, 20/12/21, 05/01/22, 10/01/22, 17/01/22, 24/01/22, 31/01/22, 07/022022, and 14/02/2022</w:t>
      </w:r>
      <w:r>
        <w:rPr>
          <w:rStyle w:val="EndnoteReference"/>
          <w:rFonts w:cs="Times New Roman"/>
          <w:sz w:val="20"/>
          <w:szCs w:val="20"/>
          <w:vertAlign w:val="baseline"/>
        </w:rPr>
        <w:t>. W</w:t>
      </w:r>
      <w:r w:rsidRPr="00D4419A">
        <w:rPr>
          <w:rStyle w:val="EndnoteReference"/>
          <w:rFonts w:cs="Times New Roman"/>
          <w:sz w:val="20"/>
          <w:szCs w:val="20"/>
          <w:vertAlign w:val="baseline"/>
        </w:rPr>
        <w:t>eek commencing 30/10/21 to week ending 11/02/22</w:t>
      </w:r>
      <w:r w:rsidRPr="003F5A75">
        <w:rPr>
          <w:rStyle w:val="EndnoteReference"/>
          <w:rFonts w:cs="Times New Roman"/>
          <w:sz w:val="20"/>
          <w:szCs w:val="20"/>
          <w:vertAlign w:val="baseline"/>
        </w:rPr>
        <w:t xml:space="preserve">. Table: Number of confirmed COVID-19 related deaths by vaccination status at time of test and age-standardized mortality rate per 100,000. </w:t>
      </w:r>
      <w:r w:rsidRPr="00CB0147">
        <w:rPr>
          <w:rStyle w:val="EndnoteReference"/>
          <w:rFonts w:cs="Times New Roman"/>
          <w:sz w:val="20"/>
          <w:szCs w:val="20"/>
          <w:vertAlign w:val="baseline"/>
        </w:rPr>
        <w:t>https://publichealthscotland.scot/publications/show-all-releases?id=20580</w:t>
      </w:r>
    </w:p>
  </w:endnote>
  <w:endnote w:id="16">
    <w:p w14:paraId="2CE8E276" w14:textId="77777777" w:rsidR="00AC22C7" w:rsidRPr="00A842DA" w:rsidRDefault="00AC22C7" w:rsidP="00AC22C7">
      <w:pPr>
        <w:pStyle w:val="EndnoteText"/>
        <w:ind w:left="270" w:hanging="270"/>
        <w:jc w:val="left"/>
        <w:rPr>
          <w:rStyle w:val="EndnoteReference"/>
          <w:rFonts w:cs="Times New Roman"/>
          <w:sz w:val="20"/>
          <w:szCs w:val="20"/>
          <w:vertAlign w:val="baseline"/>
        </w:rPr>
      </w:pPr>
      <w:r w:rsidRPr="00A842DA">
        <w:rPr>
          <w:rStyle w:val="EndnoteReference"/>
          <w:rFonts w:cs="Times New Roman"/>
          <w:sz w:val="20"/>
          <w:szCs w:val="20"/>
          <w:vertAlign w:val="baseline"/>
        </w:rPr>
        <w:endnoteRef/>
      </w:r>
      <w:r w:rsidRPr="00A842DA">
        <w:rPr>
          <w:rStyle w:val="EndnoteReference"/>
          <w:rFonts w:cs="Times New Roman"/>
          <w:sz w:val="20"/>
          <w:szCs w:val="20"/>
          <w:vertAlign w:val="baseline"/>
        </w:rPr>
        <w:t xml:space="preserve"> National Records of Scotland: Mid-2021 Population Estimates Scotland</w:t>
      </w:r>
      <w:r>
        <w:rPr>
          <w:rStyle w:val="EndnoteReference"/>
          <w:rFonts w:cs="Times New Roman"/>
          <w:sz w:val="20"/>
          <w:szCs w:val="20"/>
          <w:vertAlign w:val="baseline"/>
        </w:rPr>
        <w:t xml:space="preserve">. </w:t>
      </w:r>
      <w:r w:rsidRPr="00A842DA">
        <w:rPr>
          <w:rStyle w:val="EndnoteReference"/>
          <w:rFonts w:cs="Times New Roman"/>
          <w:sz w:val="20"/>
          <w:szCs w:val="20"/>
          <w:vertAlign w:val="baseline"/>
        </w:rPr>
        <w:t>https://www.nrscotland.gov.uk/statistics-and-data/statistics/statistics-by-theme/population/population-estimates/mid-year-population-estimates/mid-2021</w:t>
      </w:r>
    </w:p>
  </w:endnote>
  <w:endnote w:id="17">
    <w:p w14:paraId="3F3FD2F0" w14:textId="77777777" w:rsidR="00DC34EF" w:rsidRPr="003A70E7" w:rsidRDefault="00DC34EF" w:rsidP="00DC34EF">
      <w:pPr>
        <w:pStyle w:val="EndnoteText"/>
        <w:ind w:left="270" w:hanging="270"/>
        <w:jc w:val="left"/>
        <w:rPr>
          <w:rStyle w:val="EndnoteReference"/>
          <w:rFonts w:cs="Times New Roman"/>
          <w:sz w:val="20"/>
          <w:szCs w:val="20"/>
          <w:vertAlign w:val="baseline"/>
        </w:rPr>
      </w:pPr>
      <w:r w:rsidRPr="003A70E7">
        <w:rPr>
          <w:rStyle w:val="EndnoteReference"/>
          <w:rFonts w:cs="Times New Roman"/>
          <w:sz w:val="20"/>
          <w:szCs w:val="20"/>
          <w:vertAlign w:val="baseline"/>
        </w:rPr>
        <w:endnoteRef/>
      </w:r>
      <w:r w:rsidRPr="003A70E7">
        <w:rPr>
          <w:rStyle w:val="EndnoteReference"/>
          <w:rFonts w:cs="Times New Roman"/>
          <w:sz w:val="20"/>
          <w:szCs w:val="20"/>
          <w:vertAlign w:val="baseline"/>
        </w:rPr>
        <w:t xml:space="preserve"> </w:t>
      </w:r>
      <w:r w:rsidRPr="000140E6">
        <w:rPr>
          <w:rStyle w:val="EndnoteReference"/>
          <w:rFonts w:cs="Times New Roman"/>
          <w:sz w:val="20"/>
          <w:szCs w:val="20"/>
          <w:vertAlign w:val="baseline"/>
        </w:rPr>
        <w:t>Statistics Canada. Table 98-10-0020-01  Age (in single years), average age and median age and gender: Canada, provinces and territories, census metropolitan areas and census agglomerations with parts</w:t>
      </w:r>
      <w:r>
        <w:rPr>
          <w:rStyle w:val="EndnoteReference"/>
          <w:rFonts w:cs="Times New Roman"/>
          <w:sz w:val="20"/>
          <w:szCs w:val="20"/>
          <w:vertAlign w:val="baseline"/>
        </w:rPr>
        <w:t xml:space="preserve">, </w:t>
      </w:r>
      <w:r w:rsidRPr="000140E6">
        <w:rPr>
          <w:rStyle w:val="EndnoteReference"/>
          <w:rFonts w:cs="Times New Roman"/>
          <w:sz w:val="20"/>
          <w:szCs w:val="20"/>
          <w:vertAlign w:val="baseline"/>
        </w:rPr>
        <w:t>DOI: https://doi.org/10.25318/9810002001-eng</w:t>
      </w:r>
      <w:r w:rsidRPr="003F5A75">
        <w:rPr>
          <w:rStyle w:val="EndnoteReference"/>
          <w:rFonts w:cs="Times New Roman"/>
          <w:sz w:val="20"/>
          <w:szCs w:val="20"/>
          <w:vertAlign w:val="baseline"/>
        </w:rPr>
        <w:t>.</w:t>
      </w:r>
      <w:r w:rsidRPr="000140E6">
        <w:rPr>
          <w:rStyle w:val="EndnoteReference"/>
          <w:rFonts w:cs="Times New Roman"/>
          <w:sz w:val="20"/>
          <w:szCs w:val="20"/>
          <w:vertAlign w:val="baseline"/>
        </w:rPr>
        <w:t xml:space="preserve"> </w:t>
      </w:r>
      <w:r w:rsidRPr="003A70E7">
        <w:rPr>
          <w:rStyle w:val="EndnoteReference"/>
          <w:rFonts w:cs="Times New Roman"/>
          <w:sz w:val="20"/>
          <w:szCs w:val="20"/>
          <w:vertAlign w:val="baseline"/>
        </w:rPr>
        <w:t>https://www150.statcan.gc.ca/t1/tbl1/en/tv.action?pid=9810002001</w:t>
      </w:r>
    </w:p>
  </w:endnote>
  <w:endnote w:id="18">
    <w:p w14:paraId="0250EC19" w14:textId="5CE63F52" w:rsidR="006934F2" w:rsidRPr="00FC3CE8" w:rsidRDefault="006934F2" w:rsidP="006934F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6934F2">
        <w:rPr>
          <w:rStyle w:val="EndnoteReference"/>
          <w:rFonts w:cs="Times New Roman"/>
          <w:sz w:val="20"/>
          <w:szCs w:val="20"/>
          <w:vertAlign w:val="baseline"/>
        </w:rPr>
        <w:t xml:space="preserve">COVID-19 cases presenting to emergency care (within 28 days of a positive specimen) resulting in an overnight inpatient admission by vaccination status between </w:t>
      </w:r>
      <w:r w:rsidRPr="00D4419A">
        <w:rPr>
          <w:rStyle w:val="EndnoteReference"/>
          <w:rFonts w:cs="Times New Roman"/>
          <w:sz w:val="20"/>
          <w:szCs w:val="20"/>
          <w:vertAlign w:val="baseline"/>
        </w:rPr>
        <w:t>week</w:t>
      </w:r>
      <w:r w:rsidRPr="003F5A75">
        <w:rPr>
          <w:rStyle w:val="EndnoteReference"/>
          <w:rFonts w:cs="Times New Roman"/>
          <w:sz w:val="20"/>
          <w:szCs w:val="20"/>
          <w:vertAlign w:val="baseline"/>
        </w:rPr>
        <w:t xml:space="preserve">s </w:t>
      </w:r>
      <w:r w:rsidRPr="00A3794D">
        <w:rPr>
          <w:rStyle w:val="EndnoteReference"/>
          <w:rFonts w:cs="Times New Roman"/>
          <w:sz w:val="20"/>
          <w:szCs w:val="20"/>
          <w:vertAlign w:val="baseline"/>
        </w:rPr>
        <w:t>X and Y</w:t>
      </w:r>
      <w:r w:rsidRPr="003F5A75">
        <w:rPr>
          <w:rStyle w:val="EndnoteReference"/>
          <w:rFonts w:cs="Times New Roman"/>
          <w:sz w:val="20"/>
          <w:szCs w:val="20"/>
          <w:vertAlign w:val="baseline"/>
        </w:rPr>
        <w:t>”, for weeks 49-51, 2021, and weeks 1-13, 2022.</w:t>
      </w:r>
      <w:r w:rsidRPr="00A3794D">
        <w:rPr>
          <w:rStyle w:val="EndnoteReference"/>
          <w:rFonts w:cs="Times New Roman"/>
          <w:sz w:val="20"/>
          <w:szCs w:val="20"/>
          <w:vertAlign w:val="baseline"/>
        </w:rPr>
        <w:t xml:space="preserve"> </w:t>
      </w:r>
      <w:r w:rsidRPr="00B203D8">
        <w:rPr>
          <w:rStyle w:val="EndnoteReference"/>
          <w:rFonts w:cs="Times New Roman"/>
          <w:sz w:val="20"/>
          <w:szCs w:val="20"/>
          <w:vertAlign w:val="baseline"/>
        </w:rPr>
        <w:t>https://www.gov.uk/government/publications/covid-19-vaccine-weekly-surveillance-reports</w:t>
      </w:r>
    </w:p>
  </w:endnote>
  <w:endnote w:id="19">
    <w:p w14:paraId="757E2F14" w14:textId="77777777" w:rsidR="006934F2" w:rsidRPr="00FC3CE8" w:rsidRDefault="006934F2" w:rsidP="006934F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A3794D">
        <w:rPr>
          <w:rStyle w:val="EndnoteReference"/>
          <w:rFonts w:cs="Times New Roman"/>
          <w:sz w:val="20"/>
          <w:szCs w:val="20"/>
          <w:vertAlign w:val="baseline"/>
        </w:rPr>
        <w:t xml:space="preserve">Table titled: </w:t>
      </w:r>
      <w:r w:rsidRPr="003F5A75">
        <w:rPr>
          <w:rStyle w:val="EndnoteReference"/>
          <w:rFonts w:cs="Times New Roman"/>
          <w:sz w:val="20"/>
          <w:szCs w:val="20"/>
          <w:vertAlign w:val="baseline"/>
        </w:rPr>
        <w:t>“</w:t>
      </w:r>
      <w:r w:rsidRPr="00733D71">
        <w:rPr>
          <w:rStyle w:val="EndnoteReference"/>
          <w:rFonts w:cs="Times New Roman"/>
          <w:sz w:val="20"/>
          <w:szCs w:val="20"/>
          <w:vertAlign w:val="baseline"/>
        </w:rPr>
        <w:t>Provisional cumulative COVID-19 vaccine uptake by age in England</w:t>
      </w:r>
      <w:r w:rsidRPr="003F5A75">
        <w:rPr>
          <w:rStyle w:val="EndnoteReference"/>
          <w:rFonts w:cs="Times New Roman"/>
          <w:sz w:val="20"/>
          <w:szCs w:val="20"/>
          <w:vertAlign w:val="baseline"/>
        </w:rPr>
        <w:t xml:space="preserve">”, for weeks 49-51, 2021, and weeks 1-13, 2022. </w:t>
      </w:r>
      <w:r w:rsidRPr="00733D71">
        <w:rPr>
          <w:rStyle w:val="EndnoteReference"/>
          <w:rFonts w:cs="Times New Roman"/>
          <w:sz w:val="20"/>
          <w:szCs w:val="20"/>
          <w:vertAlign w:val="baseline"/>
        </w:rPr>
        <w:t>https://www.gov.uk/government/statistics/national-flu-and-covid-19-surveillance-reports-2021-to-2022-season</w:t>
      </w:r>
    </w:p>
  </w:endnote>
  <w:endnote w:id="20">
    <w:p w14:paraId="013A312D" w14:textId="6B196C8F" w:rsidR="00D875F3" w:rsidRPr="00CB0147" w:rsidRDefault="00D875F3" w:rsidP="00D875F3">
      <w:pPr>
        <w:pStyle w:val="EndnoteText"/>
        <w:ind w:left="270" w:hanging="270"/>
        <w:jc w:val="left"/>
        <w:rPr>
          <w:rStyle w:val="EndnoteReference"/>
          <w:rFonts w:cs="Times New Roman"/>
          <w:sz w:val="20"/>
          <w:szCs w:val="20"/>
          <w:vertAlign w:val="baseline"/>
        </w:rPr>
      </w:pPr>
      <w:r w:rsidRPr="00CB0147">
        <w:rPr>
          <w:rStyle w:val="EndnoteReference"/>
          <w:rFonts w:cs="Times New Roman"/>
          <w:sz w:val="20"/>
          <w:szCs w:val="20"/>
          <w:vertAlign w:val="baseline"/>
        </w:rPr>
        <w:endnoteRef/>
      </w:r>
      <w:r w:rsidRPr="00CB0147">
        <w:rPr>
          <w:rStyle w:val="EndnoteReference"/>
          <w:rFonts w:cs="Times New Roman"/>
          <w:sz w:val="20"/>
          <w:szCs w:val="20"/>
          <w:vertAlign w:val="baseline"/>
        </w:rPr>
        <w:t xml:space="preserve"> </w:t>
      </w:r>
      <w:r w:rsidRPr="00557346">
        <w:rPr>
          <w:rStyle w:val="EndnoteReference"/>
          <w:rFonts w:cs="Times New Roman"/>
          <w:sz w:val="20"/>
          <w:szCs w:val="20"/>
          <w:vertAlign w:val="baseline"/>
        </w:rPr>
        <w:t>Reports as at 29/11/21, 6/12/21, 13/12/21, 20/12/21, 05/01/22, 10/01/22, 17/01/22, 24/01/22, 31/01/22, 07/022022, and 14/02/2022</w:t>
      </w:r>
      <w:r>
        <w:rPr>
          <w:rStyle w:val="EndnoteReference"/>
          <w:rFonts w:cs="Times New Roman"/>
          <w:sz w:val="20"/>
          <w:szCs w:val="20"/>
          <w:vertAlign w:val="baseline"/>
        </w:rPr>
        <w:t xml:space="preserve">. </w:t>
      </w:r>
      <w:r w:rsidRPr="00D875F3">
        <w:rPr>
          <w:rStyle w:val="EndnoteReference"/>
          <w:rFonts w:cs="Times New Roman"/>
          <w:sz w:val="20"/>
          <w:szCs w:val="20"/>
          <w:vertAlign w:val="baseline"/>
        </w:rPr>
        <w:t>Age-standardized rate of acute hospital admissions where an individual had a COVID-19 positive PCR test up to 14 days prior, on admission, or during their stay in hospital, by week and vaccination status</w:t>
      </w:r>
      <w:r w:rsidRPr="003F5A75">
        <w:rPr>
          <w:rStyle w:val="EndnoteReference"/>
          <w:rFonts w:cs="Times New Roman"/>
          <w:sz w:val="20"/>
          <w:szCs w:val="20"/>
          <w:vertAlign w:val="baseline"/>
        </w:rPr>
        <w:t xml:space="preserve">. </w:t>
      </w:r>
      <w:r w:rsidRPr="00CB0147">
        <w:rPr>
          <w:rStyle w:val="EndnoteReference"/>
          <w:rFonts w:cs="Times New Roman"/>
          <w:sz w:val="20"/>
          <w:szCs w:val="20"/>
          <w:vertAlign w:val="baseline"/>
        </w:rPr>
        <w:t>https://publichealthscotland.scot/publications/show-all-releases?id=20580</w:t>
      </w:r>
    </w:p>
  </w:endnote>
  <w:endnote w:id="21">
    <w:p w14:paraId="307D3E86" w14:textId="77777777" w:rsidR="00D875F3" w:rsidRPr="00A842DA" w:rsidRDefault="00D875F3" w:rsidP="00D875F3">
      <w:pPr>
        <w:pStyle w:val="EndnoteText"/>
        <w:ind w:left="270" w:hanging="270"/>
        <w:jc w:val="left"/>
        <w:rPr>
          <w:rStyle w:val="EndnoteReference"/>
          <w:rFonts w:cs="Times New Roman"/>
          <w:sz w:val="20"/>
          <w:szCs w:val="20"/>
          <w:vertAlign w:val="baseline"/>
        </w:rPr>
      </w:pPr>
      <w:r w:rsidRPr="00A842DA">
        <w:rPr>
          <w:rStyle w:val="EndnoteReference"/>
          <w:rFonts w:cs="Times New Roman"/>
          <w:sz w:val="20"/>
          <w:szCs w:val="20"/>
          <w:vertAlign w:val="baseline"/>
        </w:rPr>
        <w:endnoteRef/>
      </w:r>
      <w:r w:rsidRPr="00A842DA">
        <w:rPr>
          <w:rStyle w:val="EndnoteReference"/>
          <w:rFonts w:cs="Times New Roman"/>
          <w:sz w:val="20"/>
          <w:szCs w:val="20"/>
          <w:vertAlign w:val="baseline"/>
        </w:rPr>
        <w:t xml:space="preserve"> National Records of Scotland: Mid-2021 Population Estimates Scotland</w:t>
      </w:r>
      <w:r>
        <w:rPr>
          <w:rStyle w:val="EndnoteReference"/>
          <w:rFonts w:cs="Times New Roman"/>
          <w:sz w:val="20"/>
          <w:szCs w:val="20"/>
          <w:vertAlign w:val="baseline"/>
        </w:rPr>
        <w:t xml:space="preserve">. </w:t>
      </w:r>
      <w:r w:rsidRPr="00A842DA">
        <w:rPr>
          <w:rStyle w:val="EndnoteReference"/>
          <w:rFonts w:cs="Times New Roman"/>
          <w:sz w:val="20"/>
          <w:szCs w:val="20"/>
          <w:vertAlign w:val="baseline"/>
        </w:rPr>
        <w:t>https://www.nrscotland.gov.uk/statistics-and-data/statistics/statistics-by-theme/population/population-estimates/mid-year-population-estimates/mid-2021</w:t>
      </w:r>
    </w:p>
  </w:endnote>
  <w:endnote w:id="22">
    <w:p w14:paraId="4F470130" w14:textId="77777777" w:rsidR="00DC34EF" w:rsidRPr="003A70E7" w:rsidRDefault="00DC34EF" w:rsidP="00DC34EF">
      <w:pPr>
        <w:pStyle w:val="EndnoteText"/>
        <w:ind w:left="270" w:hanging="270"/>
        <w:jc w:val="left"/>
        <w:rPr>
          <w:rStyle w:val="EndnoteReference"/>
          <w:rFonts w:cs="Times New Roman"/>
          <w:sz w:val="20"/>
          <w:szCs w:val="20"/>
          <w:vertAlign w:val="baseline"/>
        </w:rPr>
      </w:pPr>
      <w:r w:rsidRPr="003A70E7">
        <w:rPr>
          <w:rStyle w:val="EndnoteReference"/>
          <w:rFonts w:cs="Times New Roman"/>
          <w:sz w:val="20"/>
          <w:szCs w:val="20"/>
          <w:vertAlign w:val="baseline"/>
        </w:rPr>
        <w:endnoteRef/>
      </w:r>
      <w:r w:rsidRPr="003A70E7">
        <w:rPr>
          <w:rStyle w:val="EndnoteReference"/>
          <w:rFonts w:cs="Times New Roman"/>
          <w:sz w:val="20"/>
          <w:szCs w:val="20"/>
          <w:vertAlign w:val="baseline"/>
        </w:rPr>
        <w:t xml:space="preserve"> </w:t>
      </w:r>
      <w:r w:rsidRPr="000140E6">
        <w:rPr>
          <w:rStyle w:val="EndnoteReference"/>
          <w:rFonts w:cs="Times New Roman"/>
          <w:sz w:val="20"/>
          <w:szCs w:val="20"/>
          <w:vertAlign w:val="baseline"/>
        </w:rPr>
        <w:t>Statistics Canada. Table 98-10-0020-01  Age (in single years), average age and median age and gender: Canada, provinces and territories, census metropolitan areas and census agglomerations with parts</w:t>
      </w:r>
      <w:r>
        <w:rPr>
          <w:rStyle w:val="EndnoteReference"/>
          <w:rFonts w:cs="Times New Roman"/>
          <w:sz w:val="20"/>
          <w:szCs w:val="20"/>
          <w:vertAlign w:val="baseline"/>
        </w:rPr>
        <w:t xml:space="preserve">, </w:t>
      </w:r>
      <w:r w:rsidRPr="000140E6">
        <w:rPr>
          <w:rStyle w:val="EndnoteReference"/>
          <w:rFonts w:cs="Times New Roman"/>
          <w:sz w:val="20"/>
          <w:szCs w:val="20"/>
          <w:vertAlign w:val="baseline"/>
        </w:rPr>
        <w:t>DOI: https://doi.org/10.25318/9810002001-eng</w:t>
      </w:r>
      <w:r w:rsidRPr="003F5A75">
        <w:rPr>
          <w:rStyle w:val="EndnoteReference"/>
          <w:rFonts w:cs="Times New Roman"/>
          <w:sz w:val="20"/>
          <w:szCs w:val="20"/>
          <w:vertAlign w:val="baseline"/>
        </w:rPr>
        <w:t>.</w:t>
      </w:r>
      <w:r w:rsidRPr="000140E6">
        <w:rPr>
          <w:rStyle w:val="EndnoteReference"/>
          <w:rFonts w:cs="Times New Roman"/>
          <w:sz w:val="20"/>
          <w:szCs w:val="20"/>
          <w:vertAlign w:val="baseline"/>
        </w:rPr>
        <w:t xml:space="preserve"> </w:t>
      </w:r>
      <w:r w:rsidRPr="003A70E7">
        <w:rPr>
          <w:rStyle w:val="EndnoteReference"/>
          <w:rFonts w:cs="Times New Roman"/>
          <w:sz w:val="20"/>
          <w:szCs w:val="20"/>
          <w:vertAlign w:val="baseline"/>
        </w:rPr>
        <w:t>https://www150.statcan.gc.ca/t1/tbl1/en/tv.action?pid=9810002001</w:t>
      </w:r>
    </w:p>
  </w:endnote>
  <w:endnote w:id="23">
    <w:p w14:paraId="0840809D" w14:textId="0E4F9561" w:rsidR="00874B08" w:rsidRPr="00874B08" w:rsidRDefault="00874B08" w:rsidP="00874B08">
      <w:pPr>
        <w:pStyle w:val="EndnoteText"/>
        <w:ind w:left="270" w:hanging="270"/>
        <w:jc w:val="left"/>
        <w:rPr>
          <w:rStyle w:val="EndnoteReference"/>
          <w:rFonts w:cs="Times New Roman"/>
          <w:sz w:val="20"/>
          <w:szCs w:val="20"/>
          <w:vertAlign w:val="baseline"/>
        </w:rPr>
      </w:pPr>
      <w:r w:rsidRPr="00874B08">
        <w:rPr>
          <w:rStyle w:val="EndnoteReference"/>
          <w:rFonts w:cs="Times New Roman"/>
          <w:sz w:val="20"/>
          <w:szCs w:val="20"/>
          <w:vertAlign w:val="baseline"/>
        </w:rPr>
        <w:endnoteRef/>
      </w:r>
      <w:r w:rsidRPr="00874B08">
        <w:rPr>
          <w:rStyle w:val="EndnoteReference"/>
          <w:rFonts w:cs="Times New Roman"/>
          <w:sz w:val="20"/>
          <w:szCs w:val="20"/>
          <w:vertAlign w:val="baseline"/>
        </w:rPr>
        <w:t xml:space="preserve"> https://assets.publishing.service.gov.uk/government/uploads/system/uploads/attachment_data/file/1066759/Vaccine-surveillance-report-week-13.pdf</w:t>
      </w:r>
    </w:p>
  </w:endnote>
  <w:endnote w:id="24">
    <w:p w14:paraId="6F167267" w14:textId="10B8C427" w:rsidR="00874B08" w:rsidRPr="00874B08" w:rsidRDefault="00874B08" w:rsidP="00874B08">
      <w:pPr>
        <w:pStyle w:val="EndnoteText"/>
        <w:ind w:left="270" w:hanging="270"/>
        <w:jc w:val="left"/>
        <w:rPr>
          <w:rStyle w:val="EndnoteReference"/>
          <w:rFonts w:cs="Times New Roman"/>
          <w:sz w:val="20"/>
          <w:szCs w:val="20"/>
          <w:vertAlign w:val="baseline"/>
        </w:rPr>
      </w:pPr>
      <w:r w:rsidRPr="00874B08">
        <w:rPr>
          <w:rStyle w:val="EndnoteReference"/>
          <w:rFonts w:cs="Times New Roman"/>
          <w:sz w:val="20"/>
          <w:szCs w:val="20"/>
          <w:vertAlign w:val="baseline"/>
        </w:rPr>
        <w:endnoteRef/>
      </w:r>
      <w:r w:rsidRPr="00874B08">
        <w:rPr>
          <w:rStyle w:val="EndnoteReference"/>
          <w:rFonts w:cs="Times New Roman"/>
          <w:sz w:val="20"/>
          <w:szCs w:val="20"/>
          <w:vertAlign w:val="baseline"/>
        </w:rPr>
        <w:t xml:space="preserve"> https://publichealthscotland.scot/media/11916/22-02-16-covid19-winter_publication_report.pdf</w:t>
      </w:r>
    </w:p>
  </w:endnote>
  <w:endnote w:id="25">
    <w:p w14:paraId="371581AF" w14:textId="77777777" w:rsidR="00874B08" w:rsidRPr="00B21CA4" w:rsidRDefault="00874B08" w:rsidP="00874B08">
      <w:pPr>
        <w:pStyle w:val="EndnoteText"/>
        <w:ind w:left="270" w:hanging="270"/>
        <w:jc w:val="left"/>
        <w:rPr>
          <w:rStyle w:val="EndnoteReference"/>
          <w:rFonts w:cs="Times New Roman"/>
          <w:sz w:val="20"/>
          <w:szCs w:val="20"/>
          <w:vertAlign w:val="baseline"/>
        </w:rPr>
      </w:pPr>
      <w:r w:rsidRPr="00B21CA4">
        <w:rPr>
          <w:rStyle w:val="EndnoteReference"/>
          <w:rFonts w:cs="Times New Roman"/>
          <w:sz w:val="20"/>
          <w:szCs w:val="20"/>
          <w:vertAlign w:val="baseline"/>
        </w:rPr>
        <w:endnoteRef/>
      </w:r>
      <w:r w:rsidRPr="00B21CA4">
        <w:rPr>
          <w:rStyle w:val="EndnoteReference"/>
          <w:rFonts w:cs="Times New Roman"/>
          <w:sz w:val="20"/>
          <w:szCs w:val="20"/>
          <w:vertAlign w:val="baseline"/>
        </w:rPr>
        <w:t xml:space="preserve"> https://assets.publishing.service.gov.uk/government/uploads/system/uploads/attachment_data/file/1050721/Vaccine-surveillance-report-week-4.pdf</w:t>
      </w:r>
      <w:r w:rsidRPr="003F5A75">
        <w:rPr>
          <w:rStyle w:val="EndnoteReference"/>
          <w:rFonts w:cs="Times New Roman"/>
          <w:sz w:val="20"/>
          <w:szCs w:val="20"/>
          <w:vertAlign w:val="baseline"/>
        </w:rPr>
        <w:t>, https://assets.publishing.service.gov.uk/government/uploads/system/uploads/attachment_data/file/1054071/vaccine-surveillance-report-week-6.pdf</w:t>
      </w:r>
    </w:p>
  </w:endnote>
  <w:endnote w:id="26">
    <w:p w14:paraId="1D546BBD" w14:textId="77777777" w:rsidR="00C510DB" w:rsidRPr="0052496E" w:rsidRDefault="00C510DB" w:rsidP="00C510DB">
      <w:pPr>
        <w:pStyle w:val="EndnoteText"/>
        <w:ind w:left="270" w:hanging="270"/>
        <w:jc w:val="left"/>
        <w:rPr>
          <w:rStyle w:val="EndnoteReference"/>
          <w:rFonts w:cs="Times New Roman"/>
          <w:sz w:val="20"/>
          <w:szCs w:val="20"/>
          <w:vertAlign w:val="baseline"/>
        </w:rPr>
      </w:pPr>
      <w:r w:rsidRPr="0052496E">
        <w:rPr>
          <w:rStyle w:val="EndnoteReference"/>
          <w:rFonts w:cs="Times New Roman"/>
          <w:sz w:val="20"/>
          <w:szCs w:val="20"/>
          <w:vertAlign w:val="baseline"/>
        </w:rPr>
        <w:endnoteRef/>
      </w:r>
      <w:r w:rsidRPr="003F5A75">
        <w:rPr>
          <w:rStyle w:val="EndnoteReference"/>
          <w:rFonts w:cs="Times New Roman"/>
          <w:sz w:val="20"/>
          <w:szCs w:val="20"/>
          <w:vertAlign w:val="baseline"/>
        </w:rPr>
        <w:t xml:space="preserve"> </w:t>
      </w:r>
      <w:r w:rsidRPr="0052496E">
        <w:rPr>
          <w:rStyle w:val="EndnoteReference"/>
          <w:rFonts w:cs="Times New Roman"/>
          <w:sz w:val="20"/>
          <w:szCs w:val="20"/>
          <w:vertAlign w:val="baseline"/>
        </w:rPr>
        <w:t>https://web.archive.org/web/20220630035617/https://www.health.govt.nz/system/files/documents/pages/covid_vaccinations_28_06_2022.xlsx</w:t>
      </w:r>
    </w:p>
  </w:endnote>
  <w:endnote w:id="27">
    <w:p w14:paraId="4AB5F086" w14:textId="77777777" w:rsidR="00C510DB" w:rsidRPr="0052496E" w:rsidRDefault="00C510DB" w:rsidP="00C510DB">
      <w:pPr>
        <w:pStyle w:val="EndnoteText"/>
        <w:ind w:left="270" w:hanging="270"/>
        <w:jc w:val="left"/>
        <w:rPr>
          <w:rStyle w:val="EndnoteReference"/>
          <w:rFonts w:cs="Times New Roman"/>
          <w:sz w:val="20"/>
          <w:szCs w:val="20"/>
          <w:vertAlign w:val="baseline"/>
        </w:rPr>
      </w:pPr>
      <w:r w:rsidRPr="0052496E">
        <w:rPr>
          <w:rStyle w:val="EndnoteReference"/>
          <w:rFonts w:cs="Times New Roman"/>
          <w:sz w:val="20"/>
          <w:szCs w:val="20"/>
          <w:vertAlign w:val="baseline"/>
        </w:rPr>
        <w:endnoteRef/>
      </w:r>
      <w:r w:rsidRPr="0052496E">
        <w:rPr>
          <w:rStyle w:val="EndnoteReference"/>
          <w:rFonts w:cs="Times New Roman"/>
          <w:sz w:val="20"/>
          <w:szCs w:val="20"/>
          <w:vertAlign w:val="baseline"/>
        </w:rPr>
        <w:t xml:space="preserve"> https://web.archive.org/web/20220223072305/https://www.health.govt.nz/covid-19-novel-coronavirus/covid-19-data-and-statistics/covid-19-vaccine-data</w:t>
      </w:r>
    </w:p>
  </w:endnote>
  <w:endnote w:id="28">
    <w:p w14:paraId="40D92DBB" w14:textId="77777777" w:rsidR="00C510DB" w:rsidRPr="00FC50F3" w:rsidRDefault="00C510DB" w:rsidP="00C510DB">
      <w:pPr>
        <w:pStyle w:val="EndnoteText"/>
        <w:ind w:left="270" w:hanging="270"/>
        <w:jc w:val="left"/>
        <w:rPr>
          <w:rStyle w:val="EndnoteReference"/>
          <w:rFonts w:cs="Times New Roman"/>
          <w:sz w:val="20"/>
          <w:szCs w:val="20"/>
          <w:vertAlign w:val="baseline"/>
        </w:rPr>
      </w:pPr>
      <w:r w:rsidRPr="00FC50F3">
        <w:rPr>
          <w:rStyle w:val="EndnoteReference"/>
          <w:rFonts w:cs="Times New Roman"/>
          <w:sz w:val="20"/>
          <w:szCs w:val="20"/>
          <w:vertAlign w:val="baseline"/>
        </w:rPr>
        <w:endnoteRef/>
      </w:r>
      <w:r w:rsidRPr="00FC50F3">
        <w:rPr>
          <w:rStyle w:val="EndnoteReference"/>
          <w:rFonts w:cs="Times New Roman"/>
          <w:sz w:val="20"/>
          <w:szCs w:val="20"/>
          <w:vertAlign w:val="baseline"/>
        </w:rPr>
        <w:t xml:space="preserve"> https://infoshare.stats.govt.nz/ViewTable.aspx?pxID=d64e09a0-5547-4aaf-8fea-028fb44fe547</w:t>
      </w:r>
    </w:p>
  </w:endnote>
  <w:endnote w:id="29">
    <w:p w14:paraId="19388827" w14:textId="22301E37" w:rsidR="006A313D" w:rsidRPr="006A313D" w:rsidRDefault="006A313D" w:rsidP="006A313D">
      <w:pPr>
        <w:pStyle w:val="EndnoteText"/>
        <w:ind w:left="270" w:hanging="270"/>
        <w:jc w:val="left"/>
        <w:rPr>
          <w:rStyle w:val="EndnoteReference"/>
          <w:rFonts w:cs="Times New Roman"/>
          <w:sz w:val="20"/>
          <w:szCs w:val="20"/>
          <w:vertAlign w:val="baseline"/>
        </w:rPr>
      </w:pPr>
      <w:r w:rsidRPr="006A313D">
        <w:rPr>
          <w:rStyle w:val="EndnoteReference"/>
          <w:rFonts w:cs="Times New Roman"/>
          <w:sz w:val="20"/>
          <w:szCs w:val="20"/>
          <w:vertAlign w:val="baseline"/>
        </w:rPr>
        <w:endnoteRef/>
      </w:r>
      <w:r w:rsidRPr="006A313D">
        <w:rPr>
          <w:rStyle w:val="EndnoteReference"/>
          <w:rFonts w:cs="Times New Roman"/>
          <w:sz w:val="20"/>
          <w:szCs w:val="20"/>
          <w:vertAlign w:val="baseline"/>
        </w:rPr>
        <w:t xml:space="preserve"> https://www.health.govt.nz/our-work/research-and-innovation/covid-19-and-national-immunisation-programme-research-projects#about</w:t>
      </w:r>
    </w:p>
  </w:endnote>
  <w:endnote w:id="30">
    <w:p w14:paraId="66BC2BBC" w14:textId="77777777" w:rsidR="00C510DB" w:rsidRPr="004D3F6A" w:rsidRDefault="00C510DB" w:rsidP="00C510DB">
      <w:pPr>
        <w:pStyle w:val="EndnoteText"/>
        <w:ind w:left="270" w:hanging="270"/>
        <w:jc w:val="left"/>
        <w:rPr>
          <w:rStyle w:val="EndnoteReference"/>
          <w:rFonts w:cs="Times New Roman"/>
          <w:sz w:val="20"/>
          <w:szCs w:val="20"/>
          <w:vertAlign w:val="baseline"/>
        </w:rPr>
      </w:pPr>
      <w:r w:rsidRPr="004D3F6A">
        <w:rPr>
          <w:rStyle w:val="EndnoteReference"/>
          <w:rFonts w:cs="Times New Roman"/>
          <w:sz w:val="20"/>
          <w:szCs w:val="20"/>
          <w:vertAlign w:val="baseline"/>
        </w:rPr>
        <w:endnoteRef/>
      </w:r>
      <w:r w:rsidRPr="004D3F6A">
        <w:rPr>
          <w:rStyle w:val="EndnoteReference"/>
          <w:rFonts w:cs="Times New Roman"/>
          <w:sz w:val="20"/>
          <w:szCs w:val="20"/>
          <w:vertAlign w:val="baseline"/>
        </w:rPr>
        <w:t xml:space="preserve"> https://web.archive.org/web/20220805100824/https://www.health.govt.nz/covid-19-novel-coronavirus/covid-19-data-and-statistics/covid-19-vaccine-data</w:t>
      </w:r>
    </w:p>
  </w:endnote>
  <w:endnote w:id="31">
    <w:p w14:paraId="5BE6AC1A" w14:textId="77777777" w:rsidR="00C510DB" w:rsidRPr="004D3F6A" w:rsidRDefault="00C510DB" w:rsidP="00C510DB">
      <w:pPr>
        <w:pStyle w:val="EndnoteText"/>
        <w:ind w:left="270" w:hanging="270"/>
        <w:jc w:val="left"/>
        <w:rPr>
          <w:rStyle w:val="EndnoteReference"/>
          <w:rFonts w:cs="Times New Roman"/>
          <w:sz w:val="20"/>
          <w:szCs w:val="20"/>
          <w:vertAlign w:val="baseline"/>
        </w:rPr>
      </w:pPr>
      <w:r w:rsidRPr="004D3F6A">
        <w:rPr>
          <w:rStyle w:val="EndnoteReference"/>
          <w:rFonts w:cs="Times New Roman"/>
          <w:sz w:val="20"/>
          <w:szCs w:val="20"/>
          <w:vertAlign w:val="baseline"/>
        </w:rPr>
        <w:endnoteRef/>
      </w:r>
      <w:r w:rsidRPr="004D3F6A">
        <w:rPr>
          <w:rStyle w:val="EndnoteReference"/>
          <w:rFonts w:cs="Times New Roman"/>
          <w:sz w:val="20"/>
          <w:szCs w:val="20"/>
          <w:vertAlign w:val="baseline"/>
        </w:rPr>
        <w:t xml:space="preserve"> https://web.archive.org/web/20220809054406/https://www.health.govt.nz/covid-19-novel-coronavirus/covid-19-data-and-statistics/covid-19-vaccine-data</w:t>
      </w:r>
    </w:p>
  </w:endnote>
  <w:endnote w:id="32">
    <w:p w14:paraId="2A996C19" w14:textId="77777777" w:rsidR="00026C69" w:rsidRPr="00792F28" w:rsidRDefault="00026C69" w:rsidP="00026C69">
      <w:pPr>
        <w:pStyle w:val="EndnoteText"/>
        <w:ind w:left="270" w:hanging="270"/>
        <w:jc w:val="left"/>
        <w:rPr>
          <w:rStyle w:val="EndnoteReference"/>
          <w:rFonts w:cs="Times New Roman"/>
          <w:sz w:val="20"/>
          <w:szCs w:val="20"/>
          <w:vertAlign w:val="baseline"/>
        </w:rPr>
      </w:pPr>
      <w:r w:rsidRPr="00792F28">
        <w:rPr>
          <w:rStyle w:val="EndnoteReference"/>
          <w:rFonts w:cs="Times New Roman"/>
          <w:sz w:val="20"/>
          <w:szCs w:val="20"/>
          <w:vertAlign w:val="baseline"/>
        </w:rPr>
        <w:endnoteRef/>
      </w:r>
      <w:r w:rsidRPr="00792F28">
        <w:rPr>
          <w:rStyle w:val="EndnoteReference"/>
          <w:rFonts w:cs="Times New Roman"/>
          <w:sz w:val="20"/>
          <w:szCs w:val="20"/>
          <w:vertAlign w:val="baseline"/>
        </w:rPr>
        <w:t xml:space="preserve"> https://web.archive.org/web/20220630035617/https://www.health.govt.nz/system/files/documents/pages/covid_vaccinations_28_06_2022.xlsx</w:t>
      </w:r>
    </w:p>
  </w:endnote>
  <w:endnote w:id="33">
    <w:p w14:paraId="5A607296" w14:textId="77777777" w:rsidR="00C510DB" w:rsidRPr="000F457E" w:rsidRDefault="00C510DB" w:rsidP="00C510DB">
      <w:pPr>
        <w:pStyle w:val="EndnoteText"/>
        <w:ind w:left="270" w:hanging="270"/>
        <w:jc w:val="left"/>
        <w:rPr>
          <w:rStyle w:val="EndnoteReference"/>
          <w:rFonts w:cs="Times New Roman"/>
          <w:sz w:val="20"/>
          <w:szCs w:val="20"/>
          <w:vertAlign w:val="baseline"/>
        </w:rPr>
      </w:pPr>
      <w:r w:rsidRPr="000F457E">
        <w:rPr>
          <w:rStyle w:val="EndnoteReference"/>
          <w:rFonts w:cs="Times New Roman"/>
          <w:sz w:val="20"/>
          <w:szCs w:val="20"/>
          <w:vertAlign w:val="baseline"/>
        </w:rPr>
        <w:endnoteRef/>
      </w:r>
      <w:r w:rsidRPr="000F457E">
        <w:rPr>
          <w:rStyle w:val="EndnoteReference"/>
          <w:rFonts w:cs="Times New Roman"/>
          <w:sz w:val="20"/>
          <w:szCs w:val="20"/>
          <w:vertAlign w:val="baseline"/>
        </w:rPr>
        <w:t xml:space="preserve"> https://www.stats.govt.nz/reports/review-of-health-service-user-population-methodology/</w:t>
      </w:r>
    </w:p>
  </w:endnote>
  <w:endnote w:id="34">
    <w:p w14:paraId="06A57F28" w14:textId="77777777" w:rsidR="00F26999" w:rsidRPr="00F26999" w:rsidRDefault="00F26999" w:rsidP="00F26999">
      <w:pPr>
        <w:pStyle w:val="EndnoteText"/>
        <w:ind w:left="270" w:hanging="270"/>
        <w:jc w:val="left"/>
        <w:rPr>
          <w:rStyle w:val="EndnoteReference"/>
          <w:rFonts w:cs="Times New Roman"/>
          <w:sz w:val="20"/>
          <w:szCs w:val="20"/>
          <w:vertAlign w:val="baseline"/>
        </w:rPr>
      </w:pPr>
      <w:r w:rsidRPr="00F26999">
        <w:rPr>
          <w:rStyle w:val="EndnoteReference"/>
          <w:rFonts w:cs="Times New Roman"/>
          <w:sz w:val="20"/>
          <w:szCs w:val="20"/>
          <w:vertAlign w:val="baseline"/>
        </w:rPr>
        <w:endnoteRef/>
      </w:r>
      <w:r w:rsidRPr="00F26999">
        <w:rPr>
          <w:rStyle w:val="EndnoteReference"/>
          <w:rFonts w:cs="Times New Roman"/>
          <w:sz w:val="20"/>
          <w:szCs w:val="20"/>
          <w:vertAlign w:val="baseline"/>
        </w:rPr>
        <w:t xml:space="preserve"> https://www.gov.uk/government/publications/covid-19-vaccine-weekly-surveillance-reports</w:t>
      </w:r>
    </w:p>
  </w:endnote>
  <w:endnote w:id="35">
    <w:p w14:paraId="25A6F96E" w14:textId="77777777" w:rsidR="00B7125A" w:rsidRPr="00590DD8" w:rsidRDefault="00B7125A" w:rsidP="00B7125A">
      <w:pPr>
        <w:pStyle w:val="EndnoteText"/>
        <w:ind w:left="270" w:hanging="270"/>
        <w:jc w:val="left"/>
        <w:rPr>
          <w:rStyle w:val="EndnoteReference"/>
          <w:rFonts w:cs="Times New Roman"/>
          <w:sz w:val="20"/>
          <w:szCs w:val="20"/>
          <w:vertAlign w:val="baseline"/>
        </w:rPr>
      </w:pPr>
      <w:r w:rsidRPr="00590DD8">
        <w:rPr>
          <w:rStyle w:val="EndnoteReference"/>
          <w:rFonts w:cs="Times New Roman"/>
          <w:sz w:val="20"/>
          <w:szCs w:val="20"/>
          <w:vertAlign w:val="baseline"/>
        </w:rPr>
        <w:endnoteRef/>
      </w:r>
      <w:r w:rsidRPr="00590DD8">
        <w:rPr>
          <w:rStyle w:val="EndnoteReference"/>
          <w:rFonts w:cs="Times New Roman"/>
          <w:sz w:val="20"/>
          <w:szCs w:val="20"/>
          <w:vertAlign w:val="baseline"/>
        </w:rPr>
        <w:t xml:space="preserve"> https://www.gov.uk/government/statistics/national-flu-and-covid-19-surveillance-reports-2021-to-2022-season</w:t>
      </w:r>
    </w:p>
  </w:endnote>
  <w:endnote w:id="36">
    <w:p w14:paraId="3D3EE979" w14:textId="5B7AD827" w:rsidR="002A0F02" w:rsidRPr="002A0F02" w:rsidRDefault="002A0F02" w:rsidP="002A0F02">
      <w:pPr>
        <w:pStyle w:val="EndnoteText"/>
        <w:ind w:left="270" w:hanging="270"/>
        <w:jc w:val="left"/>
        <w:rPr>
          <w:rStyle w:val="EndnoteReference"/>
          <w:rFonts w:cs="Times New Roman"/>
          <w:sz w:val="20"/>
          <w:szCs w:val="20"/>
          <w:vertAlign w:val="baseline"/>
        </w:rPr>
      </w:pPr>
      <w:r w:rsidRPr="002A0F02">
        <w:rPr>
          <w:rStyle w:val="EndnoteReference"/>
          <w:rFonts w:cs="Times New Roman"/>
          <w:sz w:val="20"/>
          <w:szCs w:val="20"/>
          <w:vertAlign w:val="baseline"/>
        </w:rPr>
        <w:endnoteRef/>
      </w:r>
      <w:r w:rsidRPr="002A0F02">
        <w:rPr>
          <w:rStyle w:val="EndnoteReference"/>
          <w:rFonts w:cs="Times New Roman"/>
          <w:sz w:val="20"/>
          <w:szCs w:val="20"/>
          <w:vertAlign w:val="baseline"/>
        </w:rPr>
        <w:t xml:space="preserve"> Wyper GMA, Grant I, Fletcher E, McCartney G, Fischbacher C, Stockton DL. How do world and European standard populations impact burden of disease studies? A case study of disability-adjusted life years (DALYs) in Scotland. Arch Public Health. 2020;78:1. Published 2020 Jan 3. doi:10.1186/s13690-019-0383-8</w:t>
      </w:r>
      <w:r w:rsidRPr="003F5A75">
        <w:rPr>
          <w:rStyle w:val="EndnoteReference"/>
          <w:rFonts w:cs="Times New Roman"/>
          <w:sz w:val="20"/>
          <w:szCs w:val="20"/>
          <w:vertAlign w:val="baseline"/>
        </w:rPr>
        <w:t>.</w:t>
      </w:r>
    </w:p>
  </w:endnote>
  <w:endnote w:id="37">
    <w:p w14:paraId="17002349" w14:textId="7DC37565" w:rsidR="007370EE" w:rsidRPr="007370EE" w:rsidRDefault="007370EE" w:rsidP="007370EE">
      <w:pPr>
        <w:pStyle w:val="EndnoteText"/>
        <w:ind w:left="270" w:hanging="270"/>
        <w:jc w:val="left"/>
        <w:rPr>
          <w:rStyle w:val="EndnoteReference"/>
          <w:rFonts w:cs="Times New Roman"/>
          <w:sz w:val="20"/>
          <w:szCs w:val="20"/>
          <w:vertAlign w:val="baseline"/>
        </w:rPr>
      </w:pPr>
      <w:r w:rsidRPr="007370EE">
        <w:rPr>
          <w:rStyle w:val="EndnoteReference"/>
          <w:rFonts w:cs="Times New Roman"/>
          <w:sz w:val="20"/>
          <w:szCs w:val="20"/>
          <w:vertAlign w:val="baseline"/>
        </w:rPr>
        <w:endnoteRef/>
      </w:r>
      <w:r w:rsidRPr="007370EE">
        <w:rPr>
          <w:rStyle w:val="EndnoteReference"/>
          <w:rFonts w:cs="Times New Roman"/>
          <w:sz w:val="20"/>
          <w:szCs w:val="20"/>
          <w:vertAlign w:val="baseline"/>
        </w:rPr>
        <w:t xml:space="preserve"> Public Health Scotland COVID-19 &amp; Winter Statistical Report, As at 6 December 2021, Publication date: 8 December 2021</w:t>
      </w:r>
      <w:r w:rsidRPr="003F5A75">
        <w:rPr>
          <w:rStyle w:val="EndnoteReference"/>
          <w:rFonts w:cs="Times New Roman"/>
          <w:sz w:val="20"/>
          <w:szCs w:val="20"/>
          <w:vertAlign w:val="baseline"/>
        </w:rPr>
        <w:t>.</w:t>
      </w:r>
    </w:p>
  </w:endnote>
  <w:endnote w:id="38">
    <w:p w14:paraId="122B3D9A" w14:textId="77777777" w:rsidR="00E6491B" w:rsidRPr="0055282B" w:rsidRDefault="00E6491B" w:rsidP="00E6491B">
      <w:pPr>
        <w:pStyle w:val="EndnoteText"/>
        <w:ind w:left="270" w:hanging="270"/>
        <w:jc w:val="left"/>
        <w:rPr>
          <w:rStyle w:val="EndnoteReference"/>
          <w:rFonts w:cs="Times New Roman"/>
          <w:sz w:val="20"/>
          <w:szCs w:val="20"/>
          <w:vertAlign w:val="baseline"/>
        </w:rPr>
      </w:pPr>
      <w:r w:rsidRPr="0055282B">
        <w:rPr>
          <w:rStyle w:val="EndnoteReference"/>
          <w:rFonts w:cs="Times New Roman"/>
          <w:sz w:val="20"/>
          <w:szCs w:val="20"/>
          <w:vertAlign w:val="baseline"/>
        </w:rPr>
        <w:endnoteRef/>
      </w:r>
      <w:r w:rsidRPr="0055282B">
        <w:rPr>
          <w:rStyle w:val="EndnoteReference"/>
          <w:rFonts w:cs="Times New Roman"/>
          <w:sz w:val="20"/>
          <w:szCs w:val="20"/>
          <w:vertAlign w:val="baseline"/>
        </w:rPr>
        <w:t xml:space="preserve"> https://web.archive.org/web/20220527154225/https://health-infobase.canada.ca/src/data/covidLive/Epidemiological-summary-of-COVID-19-cases-in-Canada-Canada.ca.pdf</w:t>
      </w:r>
    </w:p>
  </w:endnote>
  <w:endnote w:id="39">
    <w:p w14:paraId="029D3BBC" w14:textId="77777777" w:rsidR="002E3C46" w:rsidRPr="009A7674" w:rsidRDefault="002E3C46" w:rsidP="002E3C46">
      <w:pPr>
        <w:pStyle w:val="EndnoteText"/>
        <w:ind w:left="270" w:hanging="270"/>
        <w:jc w:val="left"/>
        <w:rPr>
          <w:rStyle w:val="EndnoteReference"/>
          <w:rFonts w:cs="Times New Roman"/>
          <w:sz w:val="20"/>
          <w:szCs w:val="20"/>
          <w:vertAlign w:val="baseline"/>
        </w:rPr>
      </w:pPr>
      <w:r w:rsidRPr="009A7674">
        <w:rPr>
          <w:rStyle w:val="EndnoteReference"/>
          <w:rFonts w:cs="Times New Roman"/>
          <w:sz w:val="20"/>
          <w:szCs w:val="20"/>
          <w:vertAlign w:val="baseline"/>
        </w:rPr>
        <w:endnoteRef/>
      </w:r>
      <w:r w:rsidRPr="009A7674">
        <w:rPr>
          <w:rStyle w:val="EndnoteReference"/>
          <w:rFonts w:cs="Times New Roman"/>
          <w:sz w:val="20"/>
          <w:szCs w:val="20"/>
          <w:vertAlign w:val="baseline"/>
        </w:rPr>
        <w:t xml:space="preserve"> https://web.archive.org/web/20220324130145/https://health-infobase.canada.ca/src/data/covidLive/Epidemiological-summary-of-COVID-19-cases-in-Canada-Canada.ca.pdf</w:t>
      </w:r>
    </w:p>
  </w:endnote>
  <w:endnote w:id="40">
    <w:p w14:paraId="65093A8A" w14:textId="77777777" w:rsidR="002E3C46" w:rsidRPr="009A7674" w:rsidRDefault="002E3C46" w:rsidP="002E3C46">
      <w:pPr>
        <w:pStyle w:val="EndnoteText"/>
        <w:ind w:left="270" w:hanging="270"/>
        <w:jc w:val="left"/>
        <w:rPr>
          <w:rStyle w:val="EndnoteReference"/>
          <w:rFonts w:cs="Times New Roman"/>
          <w:sz w:val="20"/>
          <w:szCs w:val="20"/>
          <w:vertAlign w:val="baseline"/>
        </w:rPr>
      </w:pPr>
      <w:r w:rsidRPr="009A7674">
        <w:rPr>
          <w:rStyle w:val="EndnoteReference"/>
          <w:rFonts w:cs="Times New Roman"/>
          <w:sz w:val="20"/>
          <w:szCs w:val="20"/>
          <w:vertAlign w:val="baseline"/>
        </w:rPr>
        <w:endnoteRef/>
      </w:r>
      <w:r w:rsidRPr="009A7674">
        <w:rPr>
          <w:rStyle w:val="EndnoteReference"/>
          <w:rFonts w:cs="Times New Roman"/>
          <w:sz w:val="20"/>
          <w:szCs w:val="20"/>
          <w:vertAlign w:val="baseline"/>
        </w:rPr>
        <w:t xml:space="preserve"> https://web.archive.org/web/20220429133444/https://health-infobase.canada.ca/src/data/covidLive/Epidemiological-summary-of-COVID-19-cases-in-Canada-Canada.ca.pdf</w:t>
      </w:r>
    </w:p>
  </w:endnote>
  <w:endnote w:id="41">
    <w:p w14:paraId="2E17B686" w14:textId="77777777" w:rsidR="002E3C46" w:rsidRPr="0055282B" w:rsidRDefault="002E3C46" w:rsidP="002E3C46">
      <w:pPr>
        <w:pStyle w:val="EndnoteText"/>
        <w:ind w:left="270" w:hanging="270"/>
        <w:jc w:val="left"/>
        <w:rPr>
          <w:rStyle w:val="EndnoteReference"/>
          <w:rFonts w:cs="Times New Roman"/>
          <w:sz w:val="20"/>
          <w:szCs w:val="20"/>
          <w:vertAlign w:val="baseline"/>
        </w:rPr>
      </w:pPr>
      <w:r w:rsidRPr="0055282B">
        <w:rPr>
          <w:rStyle w:val="EndnoteReference"/>
          <w:rFonts w:cs="Times New Roman"/>
          <w:sz w:val="20"/>
          <w:szCs w:val="20"/>
          <w:vertAlign w:val="baseline"/>
        </w:rPr>
        <w:endnoteRef/>
      </w:r>
      <w:r w:rsidRPr="0055282B">
        <w:rPr>
          <w:rStyle w:val="EndnoteReference"/>
          <w:rFonts w:cs="Times New Roman"/>
          <w:sz w:val="20"/>
          <w:szCs w:val="20"/>
          <w:vertAlign w:val="baseline"/>
        </w:rPr>
        <w:t xml:space="preserve"> https://web.archive.org/web/20220527154225/https://health-infobase.canada.ca/src/data/covidLive/Epidemiological-summary-of-COVID-19-cases-in-Canada-Canada.ca.pdf</w:t>
      </w:r>
    </w:p>
  </w:endnote>
  <w:endnote w:id="42">
    <w:p w14:paraId="6B2EC878" w14:textId="057AB9CE" w:rsidR="005F08B8" w:rsidRPr="005F08B8" w:rsidRDefault="005F08B8" w:rsidP="005F08B8">
      <w:pPr>
        <w:pStyle w:val="EndnoteText"/>
        <w:ind w:left="270" w:hanging="270"/>
        <w:jc w:val="left"/>
        <w:rPr>
          <w:rStyle w:val="EndnoteReference"/>
          <w:rFonts w:cs="Times New Roman"/>
          <w:sz w:val="20"/>
          <w:szCs w:val="20"/>
          <w:vertAlign w:val="baseline"/>
        </w:rPr>
      </w:pPr>
      <w:r w:rsidRPr="005F08B8">
        <w:rPr>
          <w:rStyle w:val="EndnoteReference"/>
          <w:rFonts w:cs="Times New Roman"/>
          <w:sz w:val="20"/>
          <w:szCs w:val="20"/>
          <w:vertAlign w:val="baseline"/>
        </w:rPr>
        <w:endnoteRef/>
      </w:r>
      <w:r w:rsidRPr="005F08B8">
        <w:rPr>
          <w:rStyle w:val="EndnoteReference"/>
          <w:rFonts w:cs="Times New Roman"/>
          <w:sz w:val="20"/>
          <w:szCs w:val="20"/>
          <w:vertAlign w:val="baseline"/>
        </w:rPr>
        <w:t xml:space="preserve"> Page 38. https://assets.publishing.service.gov.uk/government/uploads/system/uploads/attachment_data/file/1066759/Vaccine-surveillance-report-week-13.pdf</w:t>
      </w:r>
    </w:p>
  </w:endnote>
  <w:endnote w:id="43">
    <w:p w14:paraId="381FC927" w14:textId="77777777" w:rsidR="00A85CC6" w:rsidRPr="00FC3CE8" w:rsidRDefault="00A85CC6" w:rsidP="00A85CC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 M. Munoza, J. P. Cramerb, C. L. Dekker, Vaccine-associated enhanced disease: Case definition and guidelines for data collection, analysis, and presentation of immunization safety data, Vaccine, Volume 39, Issue 22, 2021, https://doi.org/10.1016/j.vaccine.2021.01.055.</w:t>
      </w:r>
    </w:p>
  </w:endnote>
  <w:endnote w:id="44">
    <w:p w14:paraId="3674B3A3" w14:textId="77777777" w:rsidR="00A85CC6" w:rsidRPr="00FC3CE8" w:rsidRDefault="00A85CC6" w:rsidP="00A85CC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Pr>
          <w:rStyle w:val="EndnoteReference"/>
          <w:rFonts w:cs="Times New Roman"/>
          <w:sz w:val="20"/>
          <w:szCs w:val="20"/>
          <w:vertAlign w:val="baseline"/>
        </w:rPr>
        <w:t xml:space="preserve">FOI disclosed: </w:t>
      </w:r>
      <w:r w:rsidRPr="0018133A">
        <w:rPr>
          <w:rStyle w:val="EndnoteReference"/>
          <w:rFonts w:cs="Times New Roman"/>
          <w:sz w:val="20"/>
          <w:szCs w:val="20"/>
          <w:vertAlign w:val="baseline"/>
        </w:rPr>
        <w:t>BNT162b2</w:t>
      </w:r>
      <w:r>
        <w:rPr>
          <w:rStyle w:val="EndnoteReference"/>
          <w:rFonts w:cs="Times New Roman"/>
          <w:sz w:val="20"/>
          <w:szCs w:val="20"/>
          <w:vertAlign w:val="baseline"/>
        </w:rPr>
        <w:t xml:space="preserve">, </w:t>
      </w:r>
      <w:r w:rsidRPr="0018133A">
        <w:rPr>
          <w:rStyle w:val="EndnoteReference"/>
          <w:rFonts w:cs="Times New Roman"/>
          <w:sz w:val="20"/>
          <w:szCs w:val="20"/>
          <w:vertAlign w:val="baseline"/>
        </w:rPr>
        <w:t>5.3.6 Cumulative Analysis of Post-authorization Adverse Event Reports</w:t>
      </w:r>
      <w:r>
        <w:rPr>
          <w:rStyle w:val="EndnoteReference"/>
          <w:rFonts w:cs="Times New Roman"/>
          <w:sz w:val="20"/>
          <w:szCs w:val="20"/>
          <w:vertAlign w:val="baseline"/>
        </w:rPr>
        <w:t xml:space="preserve">, </w:t>
      </w:r>
      <w:r w:rsidRPr="003F5A75">
        <w:rPr>
          <w:rStyle w:val="EndnoteReference"/>
          <w:rFonts w:cs="Times New Roman"/>
          <w:sz w:val="20"/>
          <w:szCs w:val="20"/>
          <w:vertAlign w:val="baseline"/>
        </w:rPr>
        <w:t xml:space="preserve">to 28/02/2021, </w:t>
      </w:r>
      <w:r w:rsidRPr="00FC3CE8">
        <w:rPr>
          <w:rStyle w:val="EndnoteReference"/>
          <w:rFonts w:cs="Times New Roman"/>
          <w:sz w:val="20"/>
          <w:szCs w:val="20"/>
          <w:vertAlign w:val="baseline"/>
        </w:rPr>
        <w:t>https://phmpt.org/wp-content/uploads/2022/04/reissue_5.3.6-postmarketing-experience.pdf</w:t>
      </w:r>
    </w:p>
  </w:endnote>
  <w:endnote w:id="45">
    <w:p w14:paraId="7420C4AC" w14:textId="77777777" w:rsidR="00F608C1" w:rsidRPr="003E5BE6" w:rsidRDefault="00F608C1"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Reincke, S. M., Prüss, H., Wilson, I. A., &amp; Kreye, J. (2022). Antigenic imprinting in SARS-CoV-2. Clinical and translational medicine, 12(7), e923. https://doi.org/10.1002/ctm2.923</w:t>
      </w:r>
    </w:p>
  </w:endnote>
  <w:endnote w:id="46">
    <w:p w14:paraId="5F155BF9"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Jaume M, Yip MS, Cheung CY, et al., Anti-severe acute respiratory syndrome coronavirus spike antibodies trigger infection of human immune cells via a pH- and cysteine protease-independent FcγR pathway. J Virol. 2011 Oct;85(20):10582-97. doi: 10.1128/JVI.00671-11. Epub 2011 Jul 20. PMID: 21775467; PMCID: PMC3187504.</w:t>
      </w:r>
    </w:p>
  </w:endnote>
  <w:endnote w:id="47">
    <w:p w14:paraId="517641FD"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Kam, Y. W., Kien, F., Roberts, A., Cheung, Y. C., Lamirande, E. W., Vogel, L., Chu, S. L., Tse, J., Guarner, J., Zaki, S. R., Subbarao, K., Peiris, M., Nal, B., &amp; Altmeyer, R. (2007). Antibodies against trimeric S glycoprotein protect hamsters against SARS-CoV challenge despite their capacity to mediate FcgammaRII-dependent entry into B cells in vitro. Vaccine, 25(4), 729–740. https://doi.org/10.1016/j.vaccine.2006.08.011</w:t>
      </w:r>
    </w:p>
  </w:endnote>
  <w:endnote w:id="48">
    <w:p w14:paraId="40CE5B48"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 Deming, T. Sheahan, M. Heise, Vaccine efficacy in senescent mice challenged with recombinant SARS-CoV bearing epidemic and zoonotic spike variants, PLoS Med. 3 (12) (2006) e525, 2006 Dec. https://doi.org/10.1371/journal.pmed.0030525.</w:t>
      </w:r>
    </w:p>
  </w:endnote>
  <w:endnote w:id="49">
    <w:p w14:paraId="4790A0DD"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Yang, Z. Y., Werner, H. C., Kong, W. P., Leung, K., Traggiai, E., Lanzavecchia, A., &amp; Nabel, G. J. (2005). Evasion of antibody neutralization in emerging severe acute respiratory syndrome coronaviruses. Proceedings of the National Academy of Sciences of the United States of America, 102(3), 797–801. https://doi.org/10.1073/pnas.0409065102</w:t>
      </w:r>
    </w:p>
  </w:endnote>
  <w:endnote w:id="50">
    <w:p w14:paraId="1278119C"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Tseng, C. T., Sbrana, E., Iwata-Yoshikawa, et al. (2012). Immunization with SARS coronavirus vaccines leads to pulmonary immunopathology on challenge with the SARS virus. PloS one, 7(4), e35421. https://doi.org/10.1371/journal.pone.0035421</w:t>
      </w:r>
    </w:p>
  </w:endnote>
  <w:endnote w:id="51">
    <w:p w14:paraId="2348408D"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Weingartl, H., Czub, M., Czub, S., Neufeld, et al., (2004). Immunization with modified vaccinia virus Ankara-based recombinant vaccine against severe acute respiratory syndrome is associated with enhanced hepatitis in ferrets. Journal of virology, 78(22), 12672–12676. https://doi.org/10.1128/JVI.78.22.12672-12676.2004</w:t>
      </w:r>
    </w:p>
  </w:endnote>
  <w:endnote w:id="52">
    <w:p w14:paraId="25E12183"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Wang, S. F., Tseng, S. P., Yen, C. H., Yang, J. Y., Tsao, C. H., Shen, C. W., Chen, K. H., Liu, F. T., Liu, W. T., Chen, Y. M., &amp; Huang, J. C. (2014). Antibody-dependent SARS coronavirus infection is mediated by antibodies against spike proteins. Biochemical and biophysical research communications, 451(2), 208–214. https://doi.org/10.1016/j.bbrc.2014.07.090</w:t>
      </w:r>
    </w:p>
  </w:endnote>
  <w:endnote w:id="53">
    <w:p w14:paraId="48CF7296"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Ho, M. S., Chen, W. J., Chen, H. Y., et al., (2005). Neutralizing antibody response and SARS severity. Emerging infectious diseases, 11(11), 1730–1737. https://doi.org/10.3201/eid1111.040659</w:t>
      </w:r>
    </w:p>
  </w:endnote>
  <w:endnote w:id="54">
    <w:p w14:paraId="596BAFB8"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Wang, Q., Zhang, L., Kuwahara, K., et al., (2016). Immunodominant SARS Coronavirus Epitopes in Humans Elicited both Enhancing and Neutralizing Effects on Infection in Non-human Primates. ACS infectious diseases, 2(5), 361–376. https://doi.org/10.1021/acsinfecdis.6b00006</w:t>
      </w:r>
    </w:p>
  </w:endnote>
  <w:endnote w:id="55">
    <w:p w14:paraId="13410DC6"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Yip, M. S., Leung, N. H., Cheung, C. Y., et al., (2014). Antibody-dependent infection of human macrophages by severe acute respiratory syndrome coronavirus. Virology journal, 11, 82. https://doi.org/10.1186/1743-422X-11-82</w:t>
      </w:r>
    </w:p>
  </w:endnote>
  <w:endnote w:id="56">
    <w:p w14:paraId="41BA15EF"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Yip MS, Leung HL, Li PH, et al., Antibody-dependent enhancement of SARS coronavirus infection and its role in the pathogenesis of SARS. Hong Kong Med J. 2016 Jun;22(3 Suppl 4):25-31. PMID: 27390007</w:t>
      </w:r>
    </w:p>
  </w:endnote>
  <w:endnote w:id="57">
    <w:p w14:paraId="1AE843B9"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Czub, M., Weingartl, H., Czub, S., He, R., &amp; Cao, J. (2005). Evaluation of modified vaccinia virus Ankara based recombinant SARS vaccine in ferrets. Vaccine, 23(17-18), 2273–2279. https://doi.org/10.1016/j.vaccine.2005.01.033</w:t>
      </w:r>
    </w:p>
  </w:endnote>
  <w:endnote w:id="58">
    <w:p w14:paraId="5B7AD823"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Anurodh Shankar Agrawal, Xinrong Tao, Abdullah Algaissi, Tania Garron, Krishna Narayanan, Bi-Hung Peng, Robert B. Couch &amp; Chien-Te K. Tseng (2016) Immunization with inactivated Middle East Respiratory Syndrome coronavirus vaccine leads to lung immunopathology on challenge with live virus, Human Vaccines &amp; Immunotherapeutics, 12:9, 2351-2356, DOI: 10.1080/21645515.2016.1177688</w:t>
      </w:r>
    </w:p>
  </w:endnote>
  <w:endnote w:id="59">
    <w:p w14:paraId="12C29EF1"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Hashem, A. M., Algaissi, A., Agrawal, A. S., et al. (2019). A Highly Immunogenic, Protective, and Safe Adenovirus-Based Vaccine Expressing Middle East Respiratory Syndrome Coronavirus S1-CD40L Fusion Protein in a Transgenic Human Dipeptidyl Peptidase 4 Mouse Model. The Journal of infectious diseases, 220(10), 1558–1567. https://doi.org/10.1093/infdis/jiz137</w:t>
      </w:r>
    </w:p>
  </w:endnote>
  <w:endnote w:id="60">
    <w:p w14:paraId="4F58506D"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Vennema, H., de Groot, R. J., Harbour, D. A., Dalderup, M., Gruffydd-Jones, T., Horzinek, M. C., &amp; Spaan, W. J. (1990). Early death after feline infectious peritonitis virus challenge due to recombinant vaccinia virus immunization. Journal of virology, 64(3), 1407–1409. https://doi.org/10.1128/JVI.64.3.1407-1409.1990</w:t>
      </w:r>
    </w:p>
  </w:endnote>
  <w:endnote w:id="61">
    <w:p w14:paraId="0A124D61"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Pedersen NC, Black JW. Attempted immunization of cats against feline infectious peritonitis, using avirulent live virus or sublethal amounts of virulent virus. Am J Vet Res. 1983 Feb;44(2):229-34. PMID: 6299143.</w:t>
      </w:r>
    </w:p>
  </w:endnote>
  <w:endnote w:id="62">
    <w:p w14:paraId="7B2F254D"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Tomomi TAKANO, Chisako KAWAKAMI, Shinji YAMADA, et al., Antibody-Dependent Enhancement Occurs Upon Re-Infection with the Identical Serotype Virus in Feline Infectious Peritonitis Virus Infection, Journal of Veterinary Medical Science, 2008, Volume 70, Issue 12, January 01, 2009, https://doi.org/10.1292/jvms.70.1315, https://www.jstage.jst.go.jp/article/jvms/70/12/70_12_1315/_article/-char/en</w:t>
      </w:r>
    </w:p>
  </w:endnote>
  <w:endnote w:id="63">
    <w:p w14:paraId="5AB6FB79"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Hohdatsu T, Yamada M, Tominaga R, Makino K, Kida K, Koyama H. Antibody-dependent enhancement of feline infectious peritonitis virus infection in feline alveolar macrophages and human monocyte cell line U937 by serum of cats experimentally or naturally infected with feline coronavirus. J Vet Med Sci. 1998 Jan;60(1):49-55. doi: 10.1292/jvms.60.49. PMID: 9492360.</w:t>
      </w:r>
    </w:p>
  </w:endnote>
  <w:endnote w:id="64">
    <w:p w14:paraId="38DA3E94"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Hohdatsu, T., Nakamura, M., Ishizuka, Y., Yamada, H., &amp; Koyama, H. (1991). A study on the mechanism of antibody-dependent enhancement of feline infectious peritonitis virus infection in feline macrophages by monoclonal antibodies. Archives of virology, 120(3-4), 207–217. https://doi.org/10.1007/BF01310476</w:t>
      </w:r>
    </w:p>
  </w:endnote>
  <w:endnote w:id="65">
    <w:p w14:paraId="279F83A4"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Takano, T., Yamada, S., Doki, T., &amp; Hohdatsu, T. (2019). Pathogenesis of oral type I feline infectious peritonitis virus (FIPV) infection: Antibody-dependent enhancement infection of cats with type I FIPV via the oral route. The Journal of veterinary medical science, 81(6), 911–915. https://doi.org/10.1292/jvms.18-0702</w:t>
      </w:r>
    </w:p>
  </w:endnote>
  <w:endnote w:id="66">
    <w:p w14:paraId="54B728BD" w14:textId="41667D95" w:rsidR="00D843FA" w:rsidRPr="00D843FA" w:rsidRDefault="00D843FA" w:rsidP="00D843FA">
      <w:pPr>
        <w:pStyle w:val="EndnoteText"/>
        <w:ind w:left="270" w:hanging="270"/>
        <w:jc w:val="left"/>
        <w:rPr>
          <w:rStyle w:val="EndnoteReference"/>
          <w:rFonts w:cs="Times New Roman"/>
          <w:sz w:val="20"/>
          <w:szCs w:val="20"/>
          <w:vertAlign w:val="baseline"/>
        </w:rPr>
      </w:pPr>
      <w:r w:rsidRPr="00D843FA">
        <w:rPr>
          <w:rStyle w:val="EndnoteReference"/>
          <w:rFonts w:cs="Times New Roman"/>
          <w:sz w:val="20"/>
          <w:szCs w:val="20"/>
          <w:vertAlign w:val="baseline"/>
        </w:rPr>
        <w:endnoteRef/>
      </w:r>
      <w:r w:rsidRPr="00D843FA">
        <w:rPr>
          <w:rStyle w:val="EndnoteReference"/>
          <w:rFonts w:cs="Times New Roman"/>
          <w:sz w:val="20"/>
          <w:szCs w:val="20"/>
          <w:vertAlign w:val="baseline"/>
        </w:rPr>
        <w:t xml:space="preserve"> https://grandsolarminimum.com/2020/12/13/covid-19-vaccination-will-preprogram-genocide/</w:t>
      </w:r>
    </w:p>
  </w:endnote>
  <w:endnote w:id="67">
    <w:p w14:paraId="52F0D115" w14:textId="77777777" w:rsidR="00361A81" w:rsidRPr="00DE3E41" w:rsidRDefault="00361A81" w:rsidP="00361A81">
      <w:pPr>
        <w:pStyle w:val="EndnoteText"/>
        <w:ind w:left="270" w:hanging="270"/>
        <w:jc w:val="left"/>
        <w:rPr>
          <w:rStyle w:val="EndnoteReference"/>
          <w:rFonts w:cs="Times New Roman"/>
          <w:sz w:val="20"/>
          <w:szCs w:val="20"/>
          <w:vertAlign w:val="baseline"/>
        </w:rPr>
      </w:pPr>
      <w:r w:rsidRPr="00DE3E41">
        <w:rPr>
          <w:rStyle w:val="EndnoteReference"/>
          <w:rFonts w:cs="Times New Roman"/>
          <w:sz w:val="20"/>
          <w:szCs w:val="20"/>
          <w:vertAlign w:val="baseline"/>
        </w:rPr>
        <w:endnoteRef/>
      </w:r>
      <w:r w:rsidRPr="00DE3E41">
        <w:rPr>
          <w:rStyle w:val="EndnoteReference"/>
          <w:rFonts w:cs="Times New Roman"/>
          <w:sz w:val="20"/>
          <w:szCs w:val="20"/>
          <w:vertAlign w:val="baseline"/>
        </w:rPr>
        <w:t xml:space="preserve"> National Institutes of Health Technology Transfer, Prefusion Coronavirus Spike Proteins and Their Use, https://www.techtransfer.nih.gov/bundle/tab-3261</w:t>
      </w:r>
    </w:p>
  </w:endnote>
  <w:endnote w:id="68">
    <w:p w14:paraId="1627A5A5" w14:textId="69C0752F" w:rsidR="00DE3E41" w:rsidRPr="00DE3E41" w:rsidRDefault="00DE3E41" w:rsidP="00DE3E41">
      <w:pPr>
        <w:pStyle w:val="EndnoteText"/>
        <w:ind w:left="270" w:hanging="270"/>
        <w:jc w:val="left"/>
        <w:rPr>
          <w:rStyle w:val="EndnoteReference"/>
          <w:rFonts w:cs="Times New Roman"/>
          <w:sz w:val="20"/>
          <w:szCs w:val="20"/>
          <w:vertAlign w:val="baseline"/>
        </w:rPr>
      </w:pPr>
      <w:r w:rsidRPr="00DE3E41">
        <w:rPr>
          <w:rStyle w:val="EndnoteReference"/>
          <w:rFonts w:cs="Times New Roman"/>
          <w:sz w:val="20"/>
          <w:szCs w:val="20"/>
          <w:vertAlign w:val="baseline"/>
        </w:rPr>
        <w:endnoteRef/>
      </w:r>
      <w:r w:rsidRPr="00DE3E41">
        <w:rPr>
          <w:rStyle w:val="EndnoteReference"/>
          <w:rFonts w:cs="Times New Roman"/>
          <w:sz w:val="20"/>
          <w:szCs w:val="20"/>
          <w:vertAlign w:val="baseline"/>
        </w:rPr>
        <w:t xml:space="preserve"> L. A. Jackson, E. J. Anderson, N. G. Rouphael, An mRNA Vaccine against SARS-CoV-2 — Preliminary Report, November 12, 2020, N Engl J Med 2020; 383:1920-1931, DOI: 10.1056/NEJMoa2022483</w:t>
      </w:r>
    </w:p>
  </w:endnote>
  <w:endnote w:id="69">
    <w:p w14:paraId="184B4EC6" w14:textId="77777777" w:rsidR="00DB5985" w:rsidRPr="00FC3CE8" w:rsidRDefault="00DB5985" w:rsidP="00DB598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Pfizer-BioNTech COVID-19 Vaccine. VRBPAC Briefing Document: https://www.fda.gov/media/144246/download</w:t>
      </w:r>
    </w:p>
  </w:endnote>
  <w:endnote w:id="70">
    <w:p w14:paraId="281BCB5C" w14:textId="77777777" w:rsidR="001A2D02" w:rsidRPr="003F5A75" w:rsidRDefault="001A2D02"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F5A75">
        <w:rPr>
          <w:rStyle w:val="EndnoteReference"/>
          <w:rFonts w:cs="Times New Roman"/>
          <w:sz w:val="20"/>
          <w:szCs w:val="20"/>
          <w:vertAlign w:val="baseline"/>
        </w:rPr>
        <w:t xml:space="preserve"> D. Li, R. J. Edwards, K. Manne, et al., In vitro and in vivo functions of SARS-CoV-2 infection-enhancing and neutralizing antibodies. Cell 184, 4203–4219 (2021). DOI:https://doi.org/10.1016/j.cell.2021.06.021</w:t>
      </w:r>
    </w:p>
  </w:endnote>
  <w:endnote w:id="71">
    <w:p w14:paraId="4D553F6B"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T. Maemura, M. Kuroda, T. Armbrust, et al., Antibody-Dependent Enhancement of SARS-CoV-2 Infection Is Mediated by the IgG Receptors FcγRIIA and FcγRIIIA but Does Not Contribute to Aberrant Cytokine Production by Macrophages, mBio, Vol. 12, DOI: https://doi.org/10.1128/mBio.01987-21</w:t>
      </w:r>
    </w:p>
  </w:endnote>
  <w:endnote w:id="72">
    <w:p w14:paraId="5A6ED226"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Z. Wang, T. Deng, Y. Zhang, et al., ACE2 can act as the secondary receptor in the FcγR-dependent ADE of SARS-CoV-2 infection, iScience, Volume 25, 2022, https://doi.org/10.1016/j.isci.2021.103720.</w:t>
      </w:r>
    </w:p>
  </w:endnote>
  <w:endnote w:id="73">
    <w:p w14:paraId="6880D352"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Shimizu, J., Sasaki, T., Yamanaka, A. et al. The potential of COVID-19 patients’ sera to cause antibody-dependent enhancement of infection and IL-6 production. Sci Rep 11, 23713 (2021). https://doi.org/10.1038/s41598-021-03273-0</w:t>
      </w:r>
    </w:p>
  </w:endnote>
  <w:endnote w:id="74">
    <w:p w14:paraId="3137D0A0" w14:textId="77777777" w:rsidR="001A2D02" w:rsidRPr="00010342" w:rsidRDefault="001A2D02"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Y. Liu, W. T. Soh, J. Kishikawa, et al., An infectivity-enhancing site on the SARS-CoV-2 spike protein targeted by antibodies, Cell, Volume 184, Issue 13, 2021, https://doi.org/10.1016/j.cell.2021.05.032</w:t>
      </w:r>
    </w:p>
  </w:endnote>
  <w:endnote w:id="75">
    <w:p w14:paraId="454B49D0"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Yahi N, Chahinian H, Fantini J. 2021. Infection-enhancing anti-SARS-CoV-2 antibodies recognize both the original Wuhan/D614G strain and Delta variants. A potential risk for mass vaccination? J Infect, V</w:t>
      </w:r>
      <w:r w:rsidRPr="003E5BE6">
        <w:rPr>
          <w:rStyle w:val="EndnoteReference"/>
          <w:rFonts w:cs="Times New Roman"/>
          <w:sz w:val="20"/>
          <w:szCs w:val="20"/>
          <w:vertAlign w:val="baseline"/>
        </w:rPr>
        <w:tab/>
        <w:t>olume 83, DOI:https://doi.org/10.1016/j.jinf.2021.08.010</w:t>
      </w:r>
    </w:p>
  </w:endnote>
  <w:endnote w:id="76">
    <w:p w14:paraId="745B9989" w14:textId="77777777" w:rsidR="001A2D02" w:rsidRPr="00010342" w:rsidRDefault="001A2D02"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Y. Liu, W. T. Soh, J. Kishikawa, et al., An infectivity-enhancing site on the SARS-CoV-2 spike protein targeted by antibodies, Cell, Volume 184, Issue 13, 2021, https://doi.org/10.1016/j.cell.2021.05.032</w:t>
      </w:r>
    </w:p>
  </w:endnote>
  <w:endnote w:id="77">
    <w:p w14:paraId="11BFFC84" w14:textId="77777777" w:rsidR="00EC5C5D" w:rsidRPr="00010342" w:rsidRDefault="00EC5C5D"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Okuya K, Hattori T, Saito T, et al. Multiple Routes of Antibody-Dependent Enhancement of SARS-CoV-2 Infection [published online ahead of print, 2022 Mar 23]. Microbiol Spectr. 2022;e0155321. doi:10.1128/spectrum.01553-21</w:t>
      </w:r>
    </w:p>
  </w:endnote>
  <w:endnote w:id="78">
    <w:p w14:paraId="791E08F6"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Shen XR, Li Q, Li HL, et al. Antibody-Dependent Enhancement of SARS-CoV-2 Infection of Human Immune Cells: In Vitro Assessment Provides Insight in COVID-19 Pathogenesis. Viruses. 2021;13(12):2483. Published 2021 Dec 11. doi:10.3390/v13122483</w:t>
      </w:r>
    </w:p>
  </w:endnote>
  <w:endnote w:id="79">
    <w:p w14:paraId="2133B0A6"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T. Maemura, M. Kuroda, T. Armbrust, et al., Antibody-Dependent Enhancement of SARS-CoV-2 Infection Is Mediated by the IgG Receptors FcγRIIA and FcγRIIIA but Does Not Contribute to Aberrant Cytokine Production by Macrophages, mBio, Vol. 12, DOI: https://doi.org/10.1128/mBio.01987-21</w:t>
      </w:r>
    </w:p>
  </w:endnote>
  <w:endnote w:id="80">
    <w:p w14:paraId="570C8E32" w14:textId="77777777" w:rsidR="001A2D02" w:rsidRPr="00010342" w:rsidRDefault="001A2D02"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Okuya K, Hattori T, Saito T, et al. Multiple Routes of Antibody-Dependent Enhancement of SARS-CoV-2 Infection [published online ahead of print, 2022 Mar 23]. Microbiol Spectr. 2022;e0155321. doi:10.1128/spectrum.01553-21</w:t>
      </w:r>
    </w:p>
  </w:endnote>
  <w:endnote w:id="81">
    <w:p w14:paraId="17B7EF5B" w14:textId="77777777" w:rsidR="001A2D02" w:rsidRPr="00010342" w:rsidRDefault="001A2D02"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Y. Liu, W. T. Soh, J. Kishikawa, et al., An infectivity-enhancing site on the SARS-CoV-2 spike protein targeted by antibodies, Cell, Volume 184, Issue 13, 2021, https://doi.org/10.1016/j.cell.2021.05.032</w:t>
      </w:r>
    </w:p>
  </w:endnote>
  <w:endnote w:id="82">
    <w:p w14:paraId="06662BB6"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Shimizu, J., Sasaki, T., Koketsu, R. et al. Reevaluation of antibody-dependent enhancement of infection in anti-SARS-CoV-2 therapeutic antibodies and mRNA-vaccine antisera using FcR- and ACE2-positive cells. Sci Rep 12, 15612 (2022). https://doi.org/10.1038/s41598-022-19993-w</w:t>
      </w:r>
    </w:p>
  </w:endnote>
  <w:endnote w:id="83">
    <w:p w14:paraId="18A79AB2"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D. Li, R. J. Edwards, K. Manne, et al., In vitro and in vivo functions of SARS-CoV-2 infection-enhancing and neutralizing antibodies. Cell 184, 4203–4219 (2021). DOI:https://doi.org/10.1016/j.cell.2021.06.021</w:t>
      </w:r>
    </w:p>
  </w:endnote>
  <w:endnote w:id="84">
    <w:p w14:paraId="70E64D44"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Wang, S., Peng, Y., Wang, R. et al. Characterization of neutralizing antibody with prophylactic and therapeutic efficacy against SARS-CoV-2 in rhesus monkeys. Nat Commun 11, 5752 (2020). https://doi.org/10.1038/s41467-020-19568-1</w:t>
      </w:r>
    </w:p>
  </w:endnote>
  <w:endnote w:id="85">
    <w:p w14:paraId="4E2F2928"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Y. Zhou, Z. Liu, S. Li, et al., Enhancement versus neutralization by SARS-CoV-2 antibodies from a convalescent donor associates with distinct epitopes on the RBD, Cell Reports, 34, 2021, https://doi.org/10.1016/j.celrep.2021.108699.</w:t>
      </w:r>
    </w:p>
  </w:endnote>
  <w:endnote w:id="86">
    <w:p w14:paraId="024ABC53"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Shimizu, J., Sasaki, T., Koketsu, R. et al. Reevaluation of antibody-dependent enhancement of infection in anti-SARS-CoV-2 therapeutic antibodies and mRNA-vaccine antisera using FcR- and ACE2-positive cells. Sci Rep 12, 15612 (2022). https://doi.org/10.1038/s41598-022-19993-w</w:t>
      </w:r>
    </w:p>
  </w:endnote>
  <w:endnote w:id="87">
    <w:p w14:paraId="082778FF" w14:textId="77777777" w:rsidR="001A2D02" w:rsidRPr="00B9289D"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B9289D">
        <w:rPr>
          <w:rStyle w:val="EndnoteReference"/>
          <w:rFonts w:cs="Times New Roman"/>
          <w:sz w:val="20"/>
          <w:szCs w:val="20"/>
          <w:vertAlign w:val="baseline"/>
        </w:rPr>
        <w:t xml:space="preserve"> Garcia-Beltran WF, Lam EC, Astudillo MG, et al. COVID-19-neutralizing antibodies predict disease severity and survival. Cell. 2021;184(2):476-488.e11. doi:10.1016/j.cell.2020.12.015</w:t>
      </w:r>
    </w:p>
  </w:endnote>
  <w:endnote w:id="88">
    <w:p w14:paraId="5D3F056A" w14:textId="77777777" w:rsidR="0030631A" w:rsidRPr="003E5BE6" w:rsidRDefault="0030631A" w:rsidP="003E5BE6">
      <w:pPr>
        <w:pStyle w:val="EndnoteText"/>
        <w:ind w:left="270" w:hanging="270"/>
        <w:jc w:val="left"/>
        <w:rPr>
          <w:rStyle w:val="EndnoteReference"/>
          <w:rFonts w:cs="Times New Roman"/>
          <w:sz w:val="20"/>
          <w:szCs w:val="20"/>
          <w:vertAlign w:val="baseline"/>
        </w:rPr>
      </w:pPr>
      <w:r w:rsidRPr="0030631A">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F. Wu, R. Yan, M. Liu, et al., Antibody-dependent enhancement (ADE) of SARS-CoV-2 infection in recovered COVID-19 patients: studies based on cellular and structural biology analysis, medRxiv 2020.10.08.20209114; doi: https://doi.org/10.1101/2020.10.08.20209114 </w:t>
      </w:r>
    </w:p>
  </w:endnote>
  <w:endnote w:id="89">
    <w:p w14:paraId="20B5DA9D" w14:textId="77777777" w:rsidR="001A2D02" w:rsidRPr="00010342" w:rsidRDefault="001A2D02" w:rsidP="003E5BE6">
      <w:pPr>
        <w:pStyle w:val="EndnoteText"/>
        <w:ind w:left="270" w:hanging="270"/>
        <w:jc w:val="left"/>
        <w:rPr>
          <w:rStyle w:val="EndnoteReference"/>
          <w:rFonts w:cs="Times New Roman"/>
          <w:sz w:val="20"/>
          <w:szCs w:val="20"/>
          <w:vertAlign w:val="baseline"/>
        </w:rPr>
      </w:pPr>
      <w:r w:rsidRPr="00010342">
        <w:rPr>
          <w:rStyle w:val="EndnoteReference"/>
          <w:rFonts w:cs="Times New Roman"/>
          <w:sz w:val="20"/>
          <w:szCs w:val="20"/>
          <w:vertAlign w:val="baseline"/>
        </w:rPr>
        <w:endnoteRef/>
      </w:r>
      <w:r w:rsidRPr="00010342">
        <w:rPr>
          <w:rStyle w:val="EndnoteReference"/>
          <w:rFonts w:cs="Times New Roman"/>
          <w:sz w:val="20"/>
          <w:szCs w:val="20"/>
          <w:vertAlign w:val="baseline"/>
        </w:rPr>
        <w:t xml:space="preserve"> Y. Liu, W. T. Soh, J. Kishikawa, et al., An infectivity-enhancing site on the SARS-CoV-2 spike protein targeted by antibodies, Cell, Volume 184, Issue 13, 2021, https://doi.org/10.1016/j.cell.2021.05.032</w:t>
      </w:r>
    </w:p>
  </w:endnote>
  <w:endnote w:id="90">
    <w:p w14:paraId="7B907772"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F. Wu, R. Yan, M. Liu, et al., Antibody-dependent enhancement (ADE) of SARS-CoV-2 infection in recovered COVID-19 patients: studies based on cellular and structural biology analysis, medRxiv 2020.10.08.20209114; doi: https://doi.org/10.1101/2020.10.08.20209114 </w:t>
      </w:r>
    </w:p>
  </w:endnote>
  <w:endnote w:id="91">
    <w:p w14:paraId="70435C61" w14:textId="77777777" w:rsidR="001A2D02" w:rsidRPr="003E5BE6" w:rsidRDefault="001A2D02" w:rsidP="003E5BE6">
      <w:pPr>
        <w:pStyle w:val="EndnoteText"/>
        <w:ind w:left="270" w:hanging="270"/>
        <w:jc w:val="left"/>
        <w:rPr>
          <w:rStyle w:val="EndnoteReference"/>
          <w:rFonts w:cs="Times New Roman"/>
          <w:sz w:val="20"/>
          <w:szCs w:val="20"/>
          <w:vertAlign w:val="baseline"/>
        </w:rPr>
      </w:pPr>
      <w:r w:rsidRPr="00B9289D">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Z. Wang, T. Deng, Y. Zhang, et al., ACE2 can act as the secondary receptor in the FcγR-dependent ADE of SARS-CoV-2 infection, iScience, Volume 25, 2022, https://doi.org/10.1016/j.isci.2021.103720.</w:t>
      </w:r>
    </w:p>
  </w:endnote>
  <w:endnote w:id="92">
    <w:p w14:paraId="6E473911" w14:textId="47E7DFE4" w:rsidR="005549F0" w:rsidRPr="003E5BE6" w:rsidRDefault="005549F0" w:rsidP="003E5BE6">
      <w:pPr>
        <w:pStyle w:val="EndnoteText"/>
        <w:ind w:left="270" w:hanging="270"/>
        <w:jc w:val="left"/>
        <w:rPr>
          <w:rStyle w:val="EndnoteReference"/>
          <w:rFonts w:cs="Times New Roman"/>
          <w:sz w:val="20"/>
          <w:szCs w:val="20"/>
          <w:vertAlign w:val="baseline"/>
        </w:rPr>
      </w:pPr>
      <w:r w:rsidRPr="005549F0">
        <w:rPr>
          <w:rStyle w:val="EndnoteReference"/>
          <w:rFonts w:cs="Times New Roman"/>
          <w:sz w:val="20"/>
          <w:szCs w:val="20"/>
          <w:vertAlign w:val="baseline"/>
        </w:rPr>
        <w:endnoteRef/>
      </w:r>
      <w:r w:rsidRPr="003E5BE6">
        <w:rPr>
          <w:rStyle w:val="EndnoteReference"/>
          <w:rFonts w:cs="Times New Roman"/>
          <w:sz w:val="20"/>
          <w:szCs w:val="20"/>
          <w:vertAlign w:val="baseline"/>
        </w:rPr>
        <w:t>https://assets.publishing.service.gov.uk/government/uploads/system/uploads/attachment_data/file/1022238/Vaccine_surveillance_report_-_week_39.pdf</w:t>
      </w:r>
    </w:p>
  </w:endnote>
  <w:endnote w:id="93">
    <w:p w14:paraId="18A0370E" w14:textId="23D1578D" w:rsidR="005549F0" w:rsidRPr="003E5BE6" w:rsidRDefault="005549F0" w:rsidP="003E5BE6">
      <w:pPr>
        <w:pStyle w:val="EndnoteText"/>
        <w:ind w:left="270" w:hanging="270"/>
        <w:jc w:val="left"/>
        <w:rPr>
          <w:rStyle w:val="EndnoteReference"/>
          <w:rFonts w:cs="Times New Roman"/>
          <w:sz w:val="20"/>
          <w:szCs w:val="20"/>
          <w:vertAlign w:val="baseline"/>
        </w:rPr>
      </w:pPr>
      <w:r w:rsidRPr="005549F0">
        <w:rPr>
          <w:rStyle w:val="EndnoteReference"/>
          <w:rFonts w:cs="Times New Roman"/>
          <w:sz w:val="20"/>
          <w:szCs w:val="20"/>
          <w:vertAlign w:val="baseline"/>
        </w:rPr>
        <w:endnoteRef/>
      </w:r>
      <w:r w:rsidRPr="003E5BE6">
        <w:rPr>
          <w:rStyle w:val="EndnoteReference"/>
          <w:rFonts w:cs="Times New Roman"/>
          <w:sz w:val="20"/>
          <w:szCs w:val="20"/>
          <w:vertAlign w:val="baseline"/>
        </w:rPr>
        <w:t>https://assets.publishing.service.gov.uk/government/uploads/system/uploads/attachment_data/file/1046431/Vaccine-surveillance-report-week-2-2022.pdf</w:t>
      </w:r>
    </w:p>
  </w:endnote>
  <w:endnote w:id="94">
    <w:p w14:paraId="2B84AA95" w14:textId="77777777" w:rsidR="00967E2E" w:rsidRPr="00991608" w:rsidRDefault="00967E2E" w:rsidP="003E5BE6">
      <w:pPr>
        <w:pStyle w:val="EndnoteText"/>
        <w:ind w:left="270" w:hanging="270"/>
        <w:jc w:val="left"/>
        <w:rPr>
          <w:rStyle w:val="EndnoteReference"/>
          <w:rFonts w:cs="Times New Roman"/>
          <w:sz w:val="20"/>
          <w:szCs w:val="20"/>
          <w:vertAlign w:val="baseline"/>
        </w:rPr>
      </w:pPr>
      <w:r w:rsidRPr="00991608">
        <w:rPr>
          <w:rStyle w:val="EndnoteReference"/>
          <w:rFonts w:cs="Times New Roman"/>
          <w:sz w:val="20"/>
          <w:szCs w:val="20"/>
          <w:vertAlign w:val="baseline"/>
        </w:rPr>
        <w:endnoteRef/>
      </w:r>
      <w:r w:rsidRPr="00991608">
        <w:rPr>
          <w:rStyle w:val="EndnoteReference"/>
          <w:rFonts w:cs="Times New Roman"/>
          <w:sz w:val="20"/>
          <w:szCs w:val="20"/>
          <w:vertAlign w:val="baseline"/>
        </w:rPr>
        <w:t xml:space="preserve">     Francis, T. 1960. On the doctrine of original antigenic sin. Proc. Am. Philos. Soc. 104: 572–578.</w:t>
      </w:r>
    </w:p>
  </w:endnote>
  <w:endnote w:id="95">
    <w:p w14:paraId="1B90D419" w14:textId="77777777" w:rsidR="00967E2E" w:rsidRPr="002F02D5" w:rsidRDefault="00967E2E" w:rsidP="003E5BE6">
      <w:pPr>
        <w:pStyle w:val="EndnoteText"/>
        <w:ind w:left="270" w:hanging="270"/>
        <w:jc w:val="left"/>
        <w:rPr>
          <w:rStyle w:val="EndnoteReference"/>
          <w:rFonts w:cs="Times New Roman"/>
          <w:sz w:val="20"/>
          <w:szCs w:val="20"/>
          <w:vertAlign w:val="baseline"/>
        </w:rPr>
      </w:pPr>
      <w:r w:rsidRPr="002F02D5">
        <w:rPr>
          <w:rStyle w:val="EndnoteReference"/>
          <w:rFonts w:cs="Times New Roman"/>
          <w:sz w:val="20"/>
          <w:szCs w:val="20"/>
          <w:vertAlign w:val="baseline"/>
        </w:rPr>
        <w:endnoteRef/>
      </w:r>
      <w:r w:rsidRPr="002F02D5">
        <w:rPr>
          <w:rStyle w:val="EndnoteReference"/>
          <w:rFonts w:cs="Times New Roman"/>
          <w:sz w:val="20"/>
          <w:szCs w:val="20"/>
          <w:vertAlign w:val="baseline"/>
        </w:rPr>
        <w:t xml:space="preserve"> Vatti A, Monsalve DM, Pacheco Y, Chang C, Anaya JM, Gershwin ME. Original antigenic sin: A comprehensive review. J Autoimmun. 2017 Sep;83:12-21. doi: 10.1016/j.jaut.2017.04.008. Epub 2017 May 5. PMID: 28479213.</w:t>
      </w:r>
    </w:p>
  </w:endnote>
  <w:endnote w:id="96">
    <w:p w14:paraId="1E257EE1" w14:textId="77777777" w:rsidR="00967E2E" w:rsidRPr="002F02D5" w:rsidRDefault="00967E2E" w:rsidP="00967E2E">
      <w:pPr>
        <w:pStyle w:val="EndnoteText"/>
        <w:ind w:left="270" w:hanging="270"/>
        <w:jc w:val="left"/>
        <w:rPr>
          <w:rStyle w:val="EndnoteReference"/>
          <w:rFonts w:cs="Times New Roman"/>
          <w:sz w:val="20"/>
          <w:szCs w:val="20"/>
          <w:vertAlign w:val="baseline"/>
        </w:rPr>
      </w:pPr>
      <w:r w:rsidRPr="002F02D5">
        <w:rPr>
          <w:rStyle w:val="EndnoteReference"/>
          <w:rFonts w:cs="Times New Roman"/>
          <w:sz w:val="20"/>
          <w:szCs w:val="20"/>
          <w:vertAlign w:val="baseline"/>
        </w:rPr>
        <w:endnoteRef/>
      </w:r>
      <w:r w:rsidRPr="002F02D5">
        <w:rPr>
          <w:rStyle w:val="EndnoteReference"/>
          <w:rFonts w:cs="Times New Roman"/>
          <w:sz w:val="20"/>
          <w:szCs w:val="20"/>
          <w:vertAlign w:val="baseline"/>
        </w:rPr>
        <w:t xml:space="preserve"> Ger T. Rijkers, Frans J. van Overveld, The “original antigenic sin” and its relevance for SARS-CoV-2 (COVID-19) vaccination, Clinical Immunology Communications, Volume 1, 2021, https://doi.org/10.1016/j.clicom.2021.10.001.</w:t>
      </w:r>
    </w:p>
  </w:endnote>
  <w:endnote w:id="97">
    <w:p w14:paraId="1F812F45"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Kaku CI, Bergeron AJ, Ahlm C, et al. Recall of preexisting cross-reactive B cell memory after Omicron BA.1 breakthrough infection. Sci Immunol. 2022;7(73):eabq3511. doi:10.1126/sciimmunol.abq3511</w:t>
      </w:r>
    </w:p>
  </w:endnote>
  <w:endnote w:id="98">
    <w:p w14:paraId="39FF2004"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Quandt J, Muik A, Salisch N, et al. Omicron BA.1 breakthrough infection drives cross-variant neutralization and memory B cell formation against conserved epitopes. Sci Immunol. 2022;7(75):eabq2427. doi:10.1126/sciimmunol.abq2427</w:t>
      </w:r>
    </w:p>
  </w:endnote>
  <w:endnote w:id="99">
    <w:p w14:paraId="0B7C0AE7"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Reincke, S. M., Prüss, H., Wilson, I. A., &amp; Kreye, J. (2022). Antigenic imprinting in SARS-CoV-2. Clinical and translational medicine, 12(7), e923. https://doi.org/10.1002/ctm2.923</w:t>
      </w:r>
    </w:p>
  </w:endnote>
  <w:endnote w:id="100">
    <w:p w14:paraId="30BB0467"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Cao, Y., Yisimayi, A., Jian, F. et al. BA.2.12.1, BA.4 and BA.5 escape antibodies elicited by Omicron infection. Nature 608, 593–602 (2022). https://doi.org/10.1038/s41586-022-04980-y</w:t>
      </w:r>
    </w:p>
  </w:endnote>
  <w:endnote w:id="101">
    <w:p w14:paraId="11A4BE02"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Young-Jun Park, Dora Pinto, Alexandra C. Walls, et al., Imprinted antibody responses against SARS-CoV-2 Omicron sublineages, Science, 20 Oct 2022, DOI: 10.1126/science.adc9127</w:t>
      </w:r>
    </w:p>
  </w:endnote>
  <w:endnote w:id="102">
    <w:p w14:paraId="781A1D5A"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Röltgen, K., Nielsen, S., Silva, O., Younes, S. F., Zaslavsky, M., Costales, C., Yang, F., Wirz, O. F., Solis, D., Hoh, R. A., Wang, A., Arunachalam, P. S., Colburg, D., Zhao, S., Haraguchi, E., Lee, A. S., Shah, M. M., Manohar, M., Chang, I., Gao, F., … Boyd, S. D. (2022). Immune imprinting, breadth of variant recognition, and germinal center response in human SARS-CoV-2 infection and vaccination. Cell, 185(6), 1025–1040.e14. https://doi.org/10.1016/j.cell.2022.01.018</w:t>
      </w:r>
    </w:p>
  </w:endnote>
  <w:endnote w:id="103">
    <w:p w14:paraId="1CE5029A"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Alsoussi WB, Malladi SK, Zhou JQ, et al. SARS-CoV-2 Omicron boosting induces de novo B cell response in humans. Preprint. bioRxiv. 2022;2022.09.22.509040. Published 2022 Sep 22. doi:10.1101/2022.09.22.509040</w:t>
      </w:r>
    </w:p>
  </w:endnote>
  <w:endnote w:id="104">
    <w:p w14:paraId="18A19FFF"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Zhang A, Stacey HD, Mullarkey CE, Miller MS. Original Antigenic Sin: How First Exposure Shapes Lifelong Anti-Influenza Virus Immune Responses. J Immunol. 2019;202(2):335-340. doi:10.4049/jimmunol.1801149</w:t>
      </w:r>
    </w:p>
  </w:endnote>
  <w:endnote w:id="105">
    <w:p w14:paraId="0B83A925" w14:textId="77777777" w:rsidR="00967E2E" w:rsidRPr="003E5BE6" w:rsidRDefault="00967E2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Brown, E. L., &amp; Essigmann, H. T. (2021). Original Antigenic Sin: the Downside of Immunological Memory and Implications for COVID-19. mSphere, 6(2), e00056-21. https://doi.org/10.1128/mSphere.00056-21</w:t>
      </w:r>
    </w:p>
  </w:endnote>
  <w:endnote w:id="106">
    <w:p w14:paraId="47942F6F"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https://doi.org/10.21203/rs.3.rs-1502293/v1</w:t>
      </w:r>
    </w:p>
  </w:endnote>
  <w:endnote w:id="107">
    <w:p w14:paraId="1AEC97C8" w14:textId="77777777" w:rsidR="00787E1D" w:rsidRPr="00FC3CE8" w:rsidRDefault="00787E1D" w:rsidP="00787E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 Simon-Loriere, X. Montagutelli, F. Lemoine et al. Rapid characterization of a Delta-Omicron SARS-CoV-2 recombinant detected in Europe, 04 April 2022, PREPRINT (Version 1) available at Research Square, https://doi.org/10.21203/rs.3.rs-1502293/v1.</w:t>
      </w:r>
    </w:p>
  </w:endnote>
  <w:endnote w:id="108">
    <w:p w14:paraId="67E0B11E"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Ioannidis JPA. Reconciling estimates of global spread and infection fatality rates of COVID-19: An overview of systematic evaluations. Eur J Clin Invest. 2021 May;51(5):e13554. doi: 10.1111/eci.13554. Epub 2021 Apr 9. PMID: 33768536; PMCID: PMC8250317</w:t>
      </w:r>
    </w:p>
  </w:endnote>
  <w:endnote w:id="109">
    <w:p w14:paraId="31F7C1D6"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Ioannidis JPA. Infection fatality rate of COVID-19 inferred from seroprevalence data. Bull World Health Organ. 2021 Jan 1;99(1):19-33F. doi: 10.2471/BLT.20.265892. Epub 2020 Oct 14. PMID: 33716331; PMCID: PMC7947934.</w:t>
      </w:r>
    </w:p>
  </w:endnote>
  <w:endnote w:id="110">
    <w:p w14:paraId="3EB12856" w14:textId="77777777" w:rsidR="00614206" w:rsidRPr="00FC3CE8" w:rsidRDefault="00614206" w:rsidP="0061420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https://www.bmj.com/content/371/bmj.m3883/rr?msclkid=68b2bcfbae4f11ecbde76785f20d378c</w:t>
      </w:r>
    </w:p>
  </w:endnote>
  <w:endnote w:id="111">
    <w:p w14:paraId="48CA5444"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 Axfors, J. P.A. Ioannidis (2021). Infection fatality rate of COVID-19 in community-dwelling populations with emphasis on the elderly: An overview. https://doi.org/10.1101/2021.07.08.21260210</w:t>
      </w:r>
    </w:p>
  </w:endnote>
  <w:endnote w:id="112">
    <w:p w14:paraId="150F9C55"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Levin, A.T., Hanage, W.P., Owusu-Boaitey, N. et al. Assessing the age specificity of infection fatality rates for COVID-19: systematic review, meta-analysis, and public policy implications. Eur J Epidemiol 35, 1123–1138 (2020). https://doi.org/10.1007/s10654-020-00698-1</w:t>
      </w:r>
    </w:p>
  </w:endnote>
  <w:endnote w:id="113">
    <w:p w14:paraId="12ED2460"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Centers for Disease Control and Prevention, National Center for Immunization and Respiratory Diseases (NCIRD), September 30, 2021, https://www.cdc.gov/flu/about/burden/2017-2018.htm </w:t>
      </w:r>
    </w:p>
  </w:endnote>
  <w:endnote w:id="114">
    <w:p w14:paraId="6832E306" w14:textId="77777777" w:rsidR="007278DC" w:rsidRPr="00FC3CE8" w:rsidRDefault="007278DC" w:rsidP="007278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Which children and young people are at higher risk of severe disease and death after SARS-CoV-2 infection: a systematic review and individual patient meta-analysis, https://www.medrxiv.org/content/10.1101/2021.06.30.21259763v1</w:t>
      </w:r>
    </w:p>
  </w:endnote>
  <w:endnote w:id="115">
    <w:p w14:paraId="0FF7034E"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 A. Lewnard, V. X. Hong, M. M. Patel, et al., Clinical outcomes among patients infected with Omicron (B.1.1.529) SARS-CoV-2 variant in southern California, March 07, 2022, medRxiv 2022.01.11.22269045; doi: https://doi.org/10.1101/2022.01.11.22269045.</w:t>
      </w:r>
    </w:p>
  </w:endnote>
  <w:endnote w:id="116">
    <w:p w14:paraId="12468588"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C. Ulloa, S. A. Buchan, N. Daneman, K. A Brown, Early estimates of SARS-CoV-2 Omicron variant severity based on a matched cohort study, Ontario, Canada, January 02, 2022, medRxiv 2021.12.24.21268382; doi: https://doi.org/10.1101/2021.12.24.21268382 </w:t>
      </w:r>
    </w:p>
  </w:endnote>
  <w:endnote w:id="117">
    <w:p w14:paraId="367D5CBE"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Wang L, Berger NA, Kaelber DC, Davis PB, Volkow ND, Xu R. Comparison of outcomes from COVID infection in pediatric and adult patients before and after the emergence of Omicron. Preprint. medRxiv. 2022;2021.12.30.21268495. Published 2022 Jan 2. doi:10.1101/2021.12.30.21268495.</w:t>
      </w:r>
    </w:p>
  </w:endnote>
  <w:endnote w:id="118">
    <w:p w14:paraId="025BB08E"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Sheikh, A, Kerr, S, Woolhouse, M, et al., 2021, Severity of Omicron variant of concern and vaccine effectiveness against symptomatic disease: national cohort with nested test negative design study in Scotland, https://www.pure.ed.ac.uk/ws/portalfiles/portal/245818096/Severity_of_Omicron_variant_of_concern_and_vaccine_effectiveness_against_symptomatic_disease.pdf.</w:t>
      </w:r>
    </w:p>
  </w:endnote>
  <w:endnote w:id="119">
    <w:p w14:paraId="1290EEA9"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Iuliano AD, Brunkard JM, Boehmer TK, et al. Trends in Disease Severity and Health Care Utilization During the Early Omicron Variant Period Compared with Previous SARS-CoV-2 High Transmission Periods - United States, December 2020-January 2022. MMWR Morb Mortal Wkly Rep. 2022;71(4):146-152. Published 2022 Jan 28. doi:10.15585/mmwr.mm7104e4</w:t>
      </w:r>
    </w:p>
  </w:endnote>
  <w:endnote w:id="120">
    <w:p w14:paraId="5D209047"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N. Wolter, W. Jassat, S. Walaza, et al.,  Early assessment of the clinical severity of the SARS-CoV-2 Omicron variant in South Africa. December 21, 2021. medRxiv 2021.12.21.21268116; doi: https://doi.org/10.1101/2021.12.21.21268116.</w:t>
      </w:r>
    </w:p>
  </w:endnote>
  <w:endnote w:id="121">
    <w:p w14:paraId="454BDE31"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 A. Lewnard, V. X. Hong, M. M. Patel. Clinical outcomes among patients infected with Omicron (B.1.1.529) SARS-CoV-2 variant in southern California. January 11, 2022. medRxiv 2022.01.11.22269045; doi: https://doi.org/10.1101/2022.01.11.22269045</w:t>
      </w:r>
    </w:p>
  </w:endnote>
  <w:endnote w:id="122">
    <w:p w14:paraId="0A97D4F2"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 Abdullah, J. Myers , D. Basu, et al., Decreased severity of disease during the first global omicron variant Covid-19 outbreak in a large hospital in tshwane, south africa. International Journal of Infectious Diseases, 116 (2022) 38–42, https://doi.org/10.1016/j.ijid.2021.12.357</w:t>
      </w:r>
    </w:p>
  </w:endnote>
  <w:endnote w:id="123">
    <w:p w14:paraId="7DD104E7"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Mary-Ann Davies, Reshma Kassanjee, Petro Rosseau, et al., Outcomes of laboratory-confirmed SARS-CoV-2 infection in the Omicron-driven fourth wave compared with previous waves in the Western Cape Province, South Africa.  January 12, 2022. medRxiv 2022.01.12.22269148; doi: https://doi.org/10.1101/2022.01.12.22269148 </w:t>
      </w:r>
    </w:p>
  </w:endnote>
  <w:endnote w:id="124">
    <w:p w14:paraId="3C5F20D3"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COVID-19 Data Repository by the Center for Systems Science and Engineering (CSSE) at Johns Hopkins University, Daily new confirmed COVID-19 cases &amp; deaths per million people, 7-day rolling average. https://bit.ly/3LeXzEK</w:t>
      </w:r>
    </w:p>
  </w:endnote>
  <w:endnote w:id="125">
    <w:p w14:paraId="287B0922"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https://assets.publishing.service.gov.uk/government/uploads/system/uploads/attachment_data/file/1062976/Weekly_Flu_and_COVID-19_report_w12.pdf</w:t>
      </w:r>
    </w:p>
  </w:endnote>
  <w:endnote w:id="126">
    <w:p w14:paraId="131A25F6" w14:textId="77777777" w:rsidR="00B73AA3" w:rsidRPr="00FC3CE8" w:rsidRDefault="00B73AA3" w:rsidP="00B73AA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State of the Epidemic in Scotland – 25 March 2022, https://www.gov.scot/binaries/content/documents/govscot/publications/research-and-analysis/2022/03/coronavirus-covid-19-state-epidemic-25-march-2022/documents/state-epidemic-scotland-25-march-2022/state-epidemic-scotland-25-march-2022/govscot%3Adocument/state-epidemic-scotland-25-march-2022.pdf</w:t>
      </w:r>
    </w:p>
  </w:endnote>
  <w:endnote w:id="127">
    <w:p w14:paraId="381E0FA2" w14:textId="398CA1ED" w:rsidR="00EC475A" w:rsidRPr="00EC475A" w:rsidRDefault="00EC475A" w:rsidP="00EC475A">
      <w:pPr>
        <w:pStyle w:val="EndnoteText"/>
        <w:ind w:left="270" w:hanging="270"/>
        <w:jc w:val="left"/>
        <w:rPr>
          <w:rStyle w:val="EndnoteReference"/>
          <w:rFonts w:cs="Times New Roman"/>
          <w:sz w:val="20"/>
          <w:szCs w:val="20"/>
          <w:vertAlign w:val="baseline"/>
        </w:rPr>
      </w:pPr>
      <w:r w:rsidRPr="00EC475A">
        <w:rPr>
          <w:rStyle w:val="EndnoteReference"/>
          <w:rFonts w:cs="Times New Roman"/>
          <w:sz w:val="20"/>
          <w:szCs w:val="20"/>
          <w:vertAlign w:val="baseline"/>
        </w:rPr>
        <w:endnoteRef/>
      </w:r>
      <w:r w:rsidRPr="00EC475A">
        <w:rPr>
          <w:rStyle w:val="EndnoteReference"/>
          <w:rFonts w:cs="Times New Roman"/>
          <w:sz w:val="20"/>
          <w:szCs w:val="20"/>
          <w:vertAlign w:val="baseline"/>
        </w:rPr>
        <w:t xml:space="preserve"> https://grandsolarminimum.com/2022/12/01/pandemic-influenza-risk-factors/</w:t>
      </w:r>
    </w:p>
  </w:endnote>
  <w:endnote w:id="128">
    <w:p w14:paraId="5CFDCD66"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81 Research Studies Confirm Natural Immunity to COVID ‘Equal’ or ‘Superior’ to Vaccine Immunity. https://childrenshealthdefense.org/defender/research-natural-immunity-Covid-brownstone-institute/</w:t>
      </w:r>
    </w:p>
  </w:endnote>
  <w:endnote w:id="129">
    <w:p w14:paraId="0FBDBBEE" w14:textId="77777777" w:rsidR="00075993" w:rsidRPr="00FC3CE8" w:rsidRDefault="00075993" w:rsidP="0007599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 E. Alexander. 150 Research Studies Affirm Naturally Acquired Immunity to Covid-19: Documented, Linked, and Quoted, October 2021: https://brownstone.org/articles/79-research-studies-affirm-naturally-acquired-immunity-to-Covid-19-documented-linked-and-quoted/</w:t>
      </w:r>
    </w:p>
  </w:endnote>
  <w:endnote w:id="130">
    <w:p w14:paraId="193038A1" w14:textId="4765C21A" w:rsidR="00EC1B14" w:rsidRPr="00FC3CE8" w:rsidRDefault="00EC1B14" w:rsidP="00EC1B1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6D5AAD">
        <w:rPr>
          <w:rStyle w:val="EndnoteReference"/>
          <w:rFonts w:cs="Times New Roman"/>
          <w:sz w:val="20"/>
          <w:szCs w:val="20"/>
          <w:vertAlign w:val="baseline"/>
        </w:rPr>
        <w:tab/>
      </w:r>
      <w:r w:rsidRPr="00FC3CE8">
        <w:rPr>
          <w:rStyle w:val="EndnoteReference"/>
          <w:rFonts w:cs="Times New Roman"/>
          <w:sz w:val="20"/>
          <w:szCs w:val="20"/>
          <w:vertAlign w:val="baseline"/>
        </w:rPr>
        <w:t xml:space="preserve">United States Department of Health and Human Services, Department of Health and Human Services (DHHS), Public Health Service (PHS), Food and Drug Administration (FDA) / Centers for Disease Control (CDC), Vaccine Adverse Event Reporting System (VAERS) 1990 </w:t>
      </w:r>
      <w:r w:rsidR="00AA0A95">
        <w:rPr>
          <w:rStyle w:val="EndnoteReference"/>
          <w:rFonts w:cs="Times New Roman"/>
          <w:sz w:val="20"/>
          <w:szCs w:val="20"/>
          <w:vertAlign w:val="baseline"/>
        </w:rPr>
        <w:t>–</w:t>
      </w:r>
      <w:r w:rsidRPr="00FC3CE8">
        <w:rPr>
          <w:rStyle w:val="EndnoteReference"/>
          <w:rFonts w:cs="Times New Roman"/>
          <w:sz w:val="20"/>
          <w:szCs w:val="20"/>
          <w:vertAlign w:val="baseline"/>
        </w:rPr>
        <w:t xml:space="preserve"> </w:t>
      </w:r>
      <w:r w:rsidR="00AA0A95">
        <w:rPr>
          <w:rStyle w:val="EndnoteReference"/>
          <w:rFonts w:cs="Times New Roman"/>
          <w:sz w:val="20"/>
          <w:szCs w:val="20"/>
          <w:vertAlign w:val="baseline"/>
        </w:rPr>
        <w:t>0</w:t>
      </w:r>
      <w:r w:rsidR="00AA0A95" w:rsidRPr="006D5AAD">
        <w:rPr>
          <w:rStyle w:val="EndnoteReference"/>
          <w:vertAlign w:val="baseline"/>
        </w:rPr>
        <w:t>6/12/2021</w:t>
      </w:r>
      <w:r w:rsidRPr="00FC3CE8">
        <w:rPr>
          <w:rStyle w:val="EndnoteReference"/>
          <w:rFonts w:cs="Times New Roman"/>
          <w:sz w:val="20"/>
          <w:szCs w:val="20"/>
          <w:vertAlign w:val="baseline"/>
        </w:rPr>
        <w:t>, CDC WONDER Online Database. https://wonder.cdc.gov/vaers.html</w:t>
      </w:r>
    </w:p>
  </w:endnote>
  <w:endnote w:id="131">
    <w:p w14:paraId="0073F8BF" w14:textId="77777777" w:rsidR="00B0605A" w:rsidRPr="00FC3CE8" w:rsidRDefault="00B0605A" w:rsidP="00B060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Shimabukuro TT, Nguyen M, Martin D, DeStefano F. Safety monitoring in the Vaccine Adverse Event Reporting System (VAERS). Vaccine. 2015;33(36):4398-4405. doi:10.1016/j.vaccine.2015.07.035</w:t>
      </w:r>
    </w:p>
  </w:endnote>
  <w:endnote w:id="132">
    <w:p w14:paraId="192B8A40" w14:textId="77777777" w:rsidR="00275223" w:rsidRPr="00FC3CE8" w:rsidRDefault="00275223" w:rsidP="00CD49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https://www.fda.gov/media/143557/download</w:t>
      </w:r>
    </w:p>
  </w:endnote>
  <w:endnote w:id="133">
    <w:p w14:paraId="4DFFF070" w14:textId="77777777" w:rsidR="005A222C" w:rsidRPr="00FC3CE8" w:rsidRDefault="005A222C" w:rsidP="005A22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Jessica Rose (2021). Critical Appraisal of VAERS Pharmacovigilance: Is the U.S. Vaccine Adverse Events Reporting System (VAERS) a Functioning Pharmacovigilance System? Science, Public Health Policy, and the Law, Volume 3:100–129, October, 2021.</w:t>
      </w:r>
      <w:r w:rsidRPr="003F5A75">
        <w:rPr>
          <w:rStyle w:val="EndnoteReference"/>
          <w:rFonts w:cs="Times New Roman"/>
          <w:sz w:val="20"/>
          <w:szCs w:val="20"/>
          <w:vertAlign w:val="baseline"/>
        </w:rPr>
        <w:t xml:space="preserve"> https://cf5e727d-d02d-4d71-89ff-9fe2d3ad957f.filesusr.com/ugd/adf864_0490c898f7514df4b6fbc5935da07322.pdf</w:t>
      </w:r>
    </w:p>
  </w:endnote>
  <w:endnote w:id="134">
    <w:p w14:paraId="7421AE77" w14:textId="77777777" w:rsidR="002D6BC5" w:rsidRPr="00FC3CE8" w:rsidRDefault="002D6BC5" w:rsidP="002D6BC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Shimabukuro TT, Nguyen M, Martin D, DeStefano F. Safety monitoring in the Vaccine Adverse Event Reporting System (VAERS). Vaccine. 2015;33(36):4398-4405. doi:10.1016/j.vaccine.2015.07.035</w:t>
      </w:r>
    </w:p>
  </w:endnote>
  <w:endnote w:id="135">
    <w:p w14:paraId="619660BB" w14:textId="77777777" w:rsidR="00986A5C" w:rsidRPr="00FC3CE8" w:rsidRDefault="00986A5C" w:rsidP="00986A5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Miller ER, Moro PL, Cano M, Shimabukuro TT. Deaths following vaccination: What does the evidence show?. Vaccine. 2015;33(29):3288-3292. doi:10.1016/j.vaccine.2015.05.023</w:t>
      </w:r>
    </w:p>
  </w:endnote>
  <w:endnote w:id="136">
    <w:p w14:paraId="6109DA12" w14:textId="77777777" w:rsidR="00986A5C" w:rsidRPr="00FC3CE8" w:rsidRDefault="00986A5C" w:rsidP="00986A5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https://www.cdc.gov/mmwr/preview/mmwrhtml/mm5334a3.htm</w:t>
      </w:r>
    </w:p>
  </w:endnote>
  <w:endnote w:id="137">
    <w:p w14:paraId="51FFD335" w14:textId="77777777" w:rsidR="00986A5C" w:rsidRPr="00FC3CE8" w:rsidRDefault="00986A5C" w:rsidP="00986A5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Hampton, L. M., Aggarwal, R., Evans, S., &amp; Law, B. (2021). General determination of causation between Covid-19 vaccines and possible adverse events. Vaccine, 39(10), 1478–1480. https://doi.org/10.1016/j.vaccine.2021.01.057</w:t>
      </w:r>
    </w:p>
  </w:endnote>
  <w:endnote w:id="138">
    <w:p w14:paraId="417A128D" w14:textId="77777777" w:rsidR="00AD5D0F" w:rsidRPr="00B30D92" w:rsidRDefault="00AD5D0F" w:rsidP="00AD5D0F">
      <w:pPr>
        <w:pStyle w:val="EndnoteText"/>
        <w:ind w:left="270" w:hanging="270"/>
        <w:jc w:val="left"/>
        <w:rPr>
          <w:rStyle w:val="EndnoteReference"/>
          <w:rFonts w:cs="Times New Roman"/>
          <w:sz w:val="20"/>
          <w:szCs w:val="20"/>
          <w:vertAlign w:val="baseline"/>
        </w:rPr>
      </w:pPr>
      <w:r w:rsidRPr="00B30D92">
        <w:rPr>
          <w:rStyle w:val="EndnoteReference"/>
          <w:rFonts w:cs="Times New Roman"/>
          <w:sz w:val="20"/>
          <w:szCs w:val="20"/>
          <w:vertAlign w:val="baseline"/>
        </w:rPr>
        <w:endnoteRef/>
      </w:r>
      <w:r w:rsidRPr="00B30D92">
        <w:rPr>
          <w:rStyle w:val="EndnoteReference"/>
          <w:rFonts w:cs="Times New Roman"/>
          <w:sz w:val="20"/>
          <w:szCs w:val="20"/>
          <w:vertAlign w:val="baseline"/>
        </w:rPr>
        <w:t xml:space="preserve"> </w:t>
      </w:r>
      <w:r w:rsidRPr="006D5AAD">
        <w:rPr>
          <w:rStyle w:val="EndnoteReference"/>
          <w:rFonts w:cs="Times New Roman"/>
          <w:sz w:val="20"/>
          <w:szCs w:val="20"/>
          <w:vertAlign w:val="baseline"/>
        </w:rPr>
        <w:tab/>
      </w:r>
      <w:r w:rsidRPr="00B30D92">
        <w:rPr>
          <w:rStyle w:val="EndnoteReference"/>
          <w:rFonts w:cs="Times New Roman"/>
          <w:sz w:val="20"/>
          <w:szCs w:val="20"/>
          <w:vertAlign w:val="baseline"/>
        </w:rPr>
        <w:t>https://www.cdc.gov/flu/prevent/vaccinesupply-2018.htm</w:t>
      </w:r>
    </w:p>
  </w:endnote>
  <w:endnote w:id="139">
    <w:p w14:paraId="141DA3DB" w14:textId="713F739F" w:rsidR="00B30D92" w:rsidRPr="00B30D92" w:rsidRDefault="00B30D92" w:rsidP="00B30D92">
      <w:pPr>
        <w:pStyle w:val="EndnoteText"/>
        <w:ind w:left="270" w:hanging="270"/>
        <w:jc w:val="left"/>
        <w:rPr>
          <w:rStyle w:val="EndnoteReference"/>
          <w:rFonts w:cs="Times New Roman"/>
          <w:sz w:val="20"/>
          <w:szCs w:val="20"/>
          <w:vertAlign w:val="baseline"/>
        </w:rPr>
      </w:pPr>
      <w:r w:rsidRPr="00B30D92">
        <w:rPr>
          <w:rStyle w:val="EndnoteReference"/>
          <w:rFonts w:cs="Times New Roman"/>
          <w:sz w:val="20"/>
          <w:szCs w:val="20"/>
          <w:vertAlign w:val="baseline"/>
        </w:rPr>
        <w:endnoteRef/>
      </w:r>
      <w:r w:rsidRPr="00B30D92">
        <w:rPr>
          <w:rStyle w:val="EndnoteReference"/>
          <w:rFonts w:cs="Times New Roman"/>
          <w:sz w:val="20"/>
          <w:szCs w:val="20"/>
          <w:vertAlign w:val="baseline"/>
        </w:rPr>
        <w:t xml:space="preserve"> https://web.archive.org/web/20211203020402/https://www.usatoday.com/in-depth/graphics/2020/03/10/us-coronavirus-map-tracking-united-states-outbreak/4945223002/</w:t>
      </w:r>
    </w:p>
  </w:endnote>
  <w:endnote w:id="140">
    <w:p w14:paraId="5B8B7792" w14:textId="77777777" w:rsidR="00F41FBD" w:rsidRPr="00B30D92" w:rsidRDefault="00F41FBD" w:rsidP="00F41FBD">
      <w:pPr>
        <w:pStyle w:val="EndnoteText"/>
        <w:ind w:left="270" w:hanging="270"/>
        <w:jc w:val="left"/>
        <w:rPr>
          <w:rStyle w:val="EndnoteReference"/>
          <w:rFonts w:cs="Times New Roman"/>
          <w:sz w:val="20"/>
          <w:szCs w:val="20"/>
          <w:vertAlign w:val="baseline"/>
        </w:rPr>
      </w:pPr>
      <w:r w:rsidRPr="00B30D92">
        <w:rPr>
          <w:rStyle w:val="EndnoteReference"/>
          <w:rFonts w:cs="Times New Roman"/>
          <w:sz w:val="20"/>
          <w:szCs w:val="20"/>
          <w:vertAlign w:val="baseline"/>
        </w:rPr>
        <w:endnoteRef/>
      </w:r>
      <w:r w:rsidRPr="00B30D92">
        <w:rPr>
          <w:rStyle w:val="EndnoteReference"/>
          <w:rFonts w:cs="Times New Roman"/>
          <w:sz w:val="20"/>
          <w:szCs w:val="20"/>
          <w:vertAlign w:val="baseline"/>
        </w:rPr>
        <w:t xml:space="preserve"> </w:t>
      </w:r>
      <w:r w:rsidRPr="00B30D92">
        <w:rPr>
          <w:rStyle w:val="EndnoteReference"/>
          <w:rFonts w:cs="Times New Roman"/>
          <w:sz w:val="20"/>
          <w:szCs w:val="20"/>
          <w:vertAlign w:val="baseline"/>
        </w:rPr>
        <w:tab/>
        <w:t>United States Department of Health and Human Services, Department of Health and Human Services (DHHS), Public Health Service (PHS), Food and Drug Administration (FDA) / Centers for Disease Control (CDC), Vaccine Adverse Event Reporting System (VAERS) 1990 – 06/12/2021, CDC WONDER Online Database. https://wonder.cdc.gov/vaers.html</w:t>
      </w:r>
    </w:p>
  </w:endnote>
  <w:endnote w:id="141">
    <w:p w14:paraId="689E51F2" w14:textId="47122638"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https://www.howbad.info/index.html</w:t>
      </w:r>
    </w:p>
  </w:endnote>
  <w:endnote w:id="142">
    <w:p w14:paraId="0B55ED37"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https://rumble.com/vtxiry-dr-mike-yeadon-calibration-of-a-killing-weapon.html</w:t>
      </w:r>
    </w:p>
  </w:endnote>
  <w:endnote w:id="143">
    <w:p w14:paraId="380F6F3E"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https://www.howbad.info/prosecution.pdf</w:t>
      </w:r>
    </w:p>
  </w:endnote>
  <w:endnote w:id="144">
    <w:p w14:paraId="72256584"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Broken Bioweapon Part II, Team Enigma, How Bad is Your Batch? https://www.bitchute.com/video/QeVnZxrYOVc9/</w:t>
      </w:r>
    </w:p>
  </w:endnote>
  <w:endnote w:id="145">
    <w:p w14:paraId="432B80F4"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https://www.howbad.info/states.html</w:t>
      </w:r>
    </w:p>
  </w:endnote>
  <w:endnote w:id="146">
    <w:p w14:paraId="5692B535" w14:textId="77777777" w:rsidR="00275223" w:rsidRPr="00FC3CE8" w:rsidRDefault="00275223" w:rsidP="0000434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https://www.howbad.info/prosecution.pdf</w:t>
      </w:r>
    </w:p>
  </w:endnote>
  <w:endnote w:id="147">
    <w:p w14:paraId="553E9815" w14:textId="77777777" w:rsidR="00275223" w:rsidRPr="00FC3CE8" w:rsidRDefault="00275223" w:rsidP="0000434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FC3CE8">
        <w:rPr>
          <w:rStyle w:val="EndnoteReference"/>
          <w:rFonts w:cs="Times New Roman"/>
          <w:sz w:val="20"/>
          <w:szCs w:val="20"/>
          <w:vertAlign w:val="baseline"/>
        </w:rPr>
        <w:tab/>
        <w:t>https://phmpt.org/wp-content/uploads/2022/04/reissue_5.3.6-postmarketing-experience.pdf</w:t>
      </w:r>
    </w:p>
  </w:endnote>
  <w:endnote w:id="148">
    <w:p w14:paraId="5D5D31B2" w14:textId="77777777" w:rsidR="00275223" w:rsidRPr="00FC3CE8" w:rsidRDefault="00275223" w:rsidP="0000434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Jessica Rose, A Report on the U.S. Vaccine Adverse Events Reporting System (VAERS) of the COVID-19 Messenger Ribonucleic Acid (mRNA) Biologicals. Science, Public Health Policy, and The Law, Volume 2:59–80, May 2021. Clinical and Translational Research. https://howbad.info/jessicarose.pdf</w:t>
      </w:r>
    </w:p>
  </w:endnote>
  <w:endnote w:id="149">
    <w:p w14:paraId="76FEEBE6"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https://www.howbad.info/states.html</w:t>
      </w:r>
    </w:p>
  </w:endnote>
  <w:endnote w:id="150">
    <w:p w14:paraId="390AA44D"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https://www.howbad.info/prosecution.pdf</w:t>
      </w:r>
    </w:p>
  </w:endnote>
  <w:endnote w:id="151">
    <w:p w14:paraId="684DF88F"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FC3CE8">
        <w:rPr>
          <w:rStyle w:val="EndnoteReference"/>
          <w:rFonts w:cs="Times New Roman"/>
          <w:sz w:val="20"/>
          <w:szCs w:val="20"/>
          <w:vertAlign w:val="baseline"/>
        </w:rPr>
        <w:tab/>
        <w:t>https://phmpt.org/wp-content/uploads/2022/04/reissue_5.3.6-postmarketing-experience.pdf</w:t>
      </w:r>
    </w:p>
  </w:endnote>
  <w:endnote w:id="152">
    <w:p w14:paraId="5EBB91DD" w14:textId="77777777" w:rsidR="007D0BDE" w:rsidRPr="00FC3CE8" w:rsidRDefault="007D0BDE" w:rsidP="007D0BD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https://www.howbad.info/sweden.html</w:t>
      </w:r>
    </w:p>
  </w:endnote>
  <w:endnote w:id="153">
    <w:p w14:paraId="5CD7A473" w14:textId="77777777" w:rsidR="007D0BDE" w:rsidRPr="00FC3CE8" w:rsidRDefault="007D0BDE" w:rsidP="007D0BD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https://www.bitchute.com/video/8tbOPuO0jyuV/</w:t>
      </w:r>
    </w:p>
  </w:endnote>
  <w:endnote w:id="154">
    <w:p w14:paraId="57CCAF76" w14:textId="77777777" w:rsidR="007D0BDE" w:rsidRPr="00FC3CE8" w:rsidRDefault="007D0BDE" w:rsidP="007D0BD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https://www.bitchute.com/video/QeVnZxrYOVc9/</w:t>
      </w:r>
    </w:p>
  </w:endnote>
  <w:endnote w:id="155">
    <w:p w14:paraId="0CDF17B6"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https://safetydatasheets.pfizer.com/DirectDocumentDownloader/Document?prd=PF00092~~PDF~~MTR~~PFEM~~EN</w:t>
      </w:r>
    </w:p>
  </w:endnote>
  <w:endnote w:id="156">
    <w:p w14:paraId="659D6AEB"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Pfizer-BioNTech COVID-19 Vaccine. VRBPAC Briefing Document: https://www.fda.gov/media/144246/download</w:t>
      </w:r>
    </w:p>
  </w:endnote>
  <w:endnote w:id="157">
    <w:p w14:paraId="631BB65A"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page 9: https://www.ema.europa.eu/en/documents/variation-report/comirnaty-h-c-5735-x-0077-epar-assessment-report-extension_en.pdf</w:t>
      </w:r>
    </w:p>
  </w:endnote>
  <w:endnote w:id="158">
    <w:p w14:paraId="392F73A3"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https://www.lifesitenews.com/wp-content/uploads/2022/01/COVID-19-mRNA-Vaccine-BioNTe24.pdf</w:t>
      </w:r>
    </w:p>
  </w:endnote>
  <w:endnote w:id="159">
    <w:p w14:paraId="587CC7EB"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Hazardous Substances and New Organisms Act 1996 No 30 (as at 28 October 2021), Public Act – New Zealand Legislation, https://legislation.govt.nz/act/public/1996/0030/latest/DLM381222.html</w:t>
      </w:r>
    </w:p>
  </w:endnote>
  <w:endnote w:id="160">
    <w:p w14:paraId="460E58FD"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Page34. https://www.ema.europa.eu/en/documents/assessment-report/comirnaty-epar-public-assessment-report_en.pdf</w:t>
      </w:r>
    </w:p>
  </w:endnote>
  <w:endnote w:id="161">
    <w:p w14:paraId="2F78BADA"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Summary Basis for Regulatory Action, https://www.fda.gov/media/151733/download.</w:t>
      </w:r>
    </w:p>
  </w:endnote>
  <w:endnote w:id="162">
    <w:p w14:paraId="45A507F9"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ALC-0159 SDS: https://cdn.caymanchem.com/cdn/msds/34336m.pdf</w:t>
      </w:r>
    </w:p>
  </w:endnote>
  <w:endnote w:id="163">
    <w:p w14:paraId="672FBFEF" w14:textId="77777777" w:rsidR="002A1C71" w:rsidRPr="00FC3CE8" w:rsidRDefault="002A1C71" w:rsidP="002A1C7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https://cdn.caymanchem.com/cdn/msds/34337m.pdf</w:t>
      </w:r>
    </w:p>
  </w:endnote>
  <w:endnote w:id="164">
    <w:p w14:paraId="5CCAF21E" w14:textId="77777777" w:rsidR="00261A52" w:rsidRPr="00FC3CE8" w:rsidRDefault="00261A52" w:rsidP="00261A5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Pr>
          <w:rStyle w:val="EndnoteReference"/>
          <w:rFonts w:cs="Times New Roman"/>
          <w:sz w:val="20"/>
          <w:szCs w:val="20"/>
          <w:vertAlign w:val="baseline"/>
        </w:rPr>
        <w:t xml:space="preserve">FOI disclosed: </w:t>
      </w:r>
      <w:r w:rsidRPr="0018133A">
        <w:rPr>
          <w:rStyle w:val="EndnoteReference"/>
          <w:rFonts w:cs="Times New Roman"/>
          <w:sz w:val="20"/>
          <w:szCs w:val="20"/>
          <w:vertAlign w:val="baseline"/>
        </w:rPr>
        <w:t>BNT162b2</w:t>
      </w:r>
      <w:r>
        <w:rPr>
          <w:rStyle w:val="EndnoteReference"/>
          <w:rFonts w:cs="Times New Roman"/>
          <w:sz w:val="20"/>
          <w:szCs w:val="20"/>
          <w:vertAlign w:val="baseline"/>
        </w:rPr>
        <w:t xml:space="preserve">, </w:t>
      </w:r>
      <w:r w:rsidRPr="0018133A">
        <w:rPr>
          <w:rStyle w:val="EndnoteReference"/>
          <w:rFonts w:cs="Times New Roman"/>
          <w:sz w:val="20"/>
          <w:szCs w:val="20"/>
          <w:vertAlign w:val="baseline"/>
        </w:rPr>
        <w:t>5.3.6 Cumulative Analysis of Post-authorization Adverse Event Reports</w:t>
      </w:r>
      <w:r>
        <w:rPr>
          <w:rStyle w:val="EndnoteReference"/>
          <w:rFonts w:cs="Times New Roman"/>
          <w:sz w:val="20"/>
          <w:szCs w:val="20"/>
          <w:vertAlign w:val="baseline"/>
        </w:rPr>
        <w:t xml:space="preserve">, </w:t>
      </w:r>
      <w:r w:rsidRPr="003F5A75">
        <w:rPr>
          <w:rStyle w:val="EndnoteReference"/>
          <w:rFonts w:cs="Times New Roman"/>
          <w:sz w:val="20"/>
          <w:szCs w:val="20"/>
          <w:vertAlign w:val="baseline"/>
        </w:rPr>
        <w:t xml:space="preserve">to 28/02/2021, </w:t>
      </w:r>
      <w:r w:rsidRPr="00FC3CE8">
        <w:rPr>
          <w:rStyle w:val="EndnoteReference"/>
          <w:rFonts w:cs="Times New Roman"/>
          <w:sz w:val="20"/>
          <w:szCs w:val="20"/>
          <w:vertAlign w:val="baseline"/>
        </w:rPr>
        <w:t>https://phmpt.org/wp-content/uploads/2022/04/reissue_5.3.6-postmarketing-experience.pdf</w:t>
      </w:r>
    </w:p>
  </w:endnote>
  <w:endnote w:id="165">
    <w:p w14:paraId="354AD61C" w14:textId="77777777" w:rsidR="00872B53" w:rsidRPr="00FC3CE8" w:rsidRDefault="00872B53" w:rsidP="00872B5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https://www.cdc.gov/nchs/nvss/vsrr/Covid_weekly/index.htm?fbclid=IwAR3-wrg3tTKK5-9tOHPGAHWFVO3DfslkJ0KsDEPQpWmPbKtp6EsoVV2Qs1Q#Comorbidities</w:t>
      </w:r>
    </w:p>
  </w:endnote>
  <w:endnote w:id="166">
    <w:p w14:paraId="29939111" w14:textId="77777777" w:rsidR="00123FDA" w:rsidRPr="00FC3CE8" w:rsidRDefault="00123FDA" w:rsidP="00123F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Vaccines and Related Biological Products Advisory, Committee October 22, 2020 Meeting Presentation, https://www.fda.gov/media/143557/download.</w:t>
      </w:r>
    </w:p>
  </w:endnote>
  <w:endnote w:id="167">
    <w:p w14:paraId="785659E9" w14:textId="77777777" w:rsidR="0012643F" w:rsidRPr="00FC3CE8" w:rsidRDefault="0012643F" w:rsidP="0012643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Seneff, S., &amp; Nigh, G. (2021). Worse Than the Disease? Reviewing Some Possible Unintended Consequences of the mRNA Vaccines Against COVID-19. International Journal of Vaccine Theory, Practice, and Research, 2(1), 38–79. https://www.ijvtpr.com/index.php/IJVTPR/article/view/23</w:t>
      </w:r>
    </w:p>
  </w:endnote>
  <w:endnote w:id="168">
    <w:p w14:paraId="23C4295F" w14:textId="77777777" w:rsidR="0012643F" w:rsidRPr="00FC3CE8" w:rsidRDefault="0012643F" w:rsidP="0012643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Karrow NA, Shandilya UK, Pelech S, Wagter-Lesperance L, McLeod D, Bridle B, Mallard BA. Maternal COVID-19 Vaccination and Its Potential Impact on Fetal and Neonatal Development. Vaccines. 2021; 9(11):1351. https://doi.org/10.3390/vaccines9111351</w:t>
      </w:r>
    </w:p>
  </w:endnote>
  <w:endnote w:id="169">
    <w:p w14:paraId="3773E061" w14:textId="77777777" w:rsidR="0012643F" w:rsidRPr="00FC3CE8" w:rsidRDefault="0012643F" w:rsidP="0012643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 Sahelian, Covid Vaccine Side Effects: </w:t>
      </w:r>
      <w:r w:rsidRPr="003F5A75">
        <w:rPr>
          <w:rStyle w:val="EndnoteReference"/>
          <w:rFonts w:cs="Times New Roman"/>
          <w:sz w:val="20"/>
          <w:szCs w:val="20"/>
          <w:vertAlign w:val="baseline"/>
        </w:rPr>
        <w:t>https://www.raysahelian.com/covidvaccinesideeffects.html</w:t>
      </w:r>
    </w:p>
  </w:endnote>
  <w:endnote w:id="170">
    <w:p w14:paraId="0BA61178" w14:textId="77777777" w:rsidR="00E16C1F" w:rsidRPr="00FC3CE8" w:rsidRDefault="00E16C1F" w:rsidP="00E16C1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Watad A, Quaresma M, Bragazzi NL, et al. The autoimmune/inflammatory syndrome induced by adjuvants (ASIA)/Shoenfeld's syndrome: descriptive analysis of 300 patients from the international ASIA syndrome registry. Clin Rheumatol. 2018;37(2):483-493.</w:t>
      </w:r>
    </w:p>
  </w:endnote>
  <w:endnote w:id="171">
    <w:p w14:paraId="576E2942" w14:textId="77777777" w:rsidR="005A222C" w:rsidRPr="00FC3CE8" w:rsidRDefault="005A222C" w:rsidP="005A22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COVID-19 Vaccines: Scientific Proof of Lethality (1,011 publications): https://www.saveusnow.org.uk/Covid-vaccine-scientific-proof-lethal/</w:t>
      </w:r>
    </w:p>
  </w:endnote>
  <w:endnote w:id="172">
    <w:p w14:paraId="2945782D" w14:textId="77777777" w:rsidR="005A222C" w:rsidRPr="00FC3CE8" w:rsidRDefault="005A222C" w:rsidP="005A22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Robert W Malone MD, Inventor of the mRNA technology. Covid19 vaccination adverse events that could harm children (149 publications): https://www.rwmalonemd.com/references</w:t>
      </w:r>
    </w:p>
  </w:endnote>
  <w:endnote w:id="173">
    <w:p w14:paraId="6ED973AD" w14:textId="77777777" w:rsidR="0064561E" w:rsidRPr="00C8776E" w:rsidRDefault="0064561E" w:rsidP="0064561E">
      <w:pPr>
        <w:pStyle w:val="EndnoteText"/>
        <w:ind w:left="270" w:hanging="270"/>
        <w:jc w:val="left"/>
        <w:rPr>
          <w:rStyle w:val="EndnoteReference"/>
          <w:rFonts w:cs="Times New Roman"/>
          <w:sz w:val="20"/>
          <w:szCs w:val="20"/>
          <w:vertAlign w:val="baseline"/>
        </w:rPr>
      </w:pPr>
      <w:r w:rsidRPr="00C8776E">
        <w:rPr>
          <w:rStyle w:val="EndnoteReference"/>
          <w:rFonts w:cs="Times New Roman"/>
          <w:sz w:val="20"/>
          <w:szCs w:val="20"/>
          <w:vertAlign w:val="baseline"/>
        </w:rPr>
        <w:endnoteRef/>
      </w:r>
      <w:r w:rsidRPr="00C8776E">
        <w:rPr>
          <w:rStyle w:val="EndnoteReference"/>
          <w:rFonts w:cs="Times New Roman"/>
          <w:sz w:val="20"/>
          <w:szCs w:val="20"/>
          <w:vertAlign w:val="baseline"/>
        </w:rPr>
        <w:t xml:space="preserve"> Group Life COVID-19 Mortality Survey Report, August 2022, https://www.documentcloud.org/documents/22275411-group-life-covid-19-mortality-03-2022-report</w:t>
      </w:r>
    </w:p>
  </w:endnote>
  <w:endnote w:id="174">
    <w:p w14:paraId="2737B3C1" w14:textId="77777777" w:rsidR="0064561E" w:rsidRPr="00FC3CE8" w:rsidRDefault="0064561E" w:rsidP="0064561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https://www.thecentersquare.com/indiana/indiana-life-insurance-ceo-says-deaths-are-up-40-among-people-ages-18-64/article_71473b12-6b1e-11ec-8641-5b2c06725e2c.html</w:t>
      </w:r>
    </w:p>
  </w:endnote>
  <w:endnote w:id="175">
    <w:p w14:paraId="1EF7A8FD" w14:textId="77777777" w:rsidR="0064561E" w:rsidRPr="00FC3CE8" w:rsidRDefault="0064561E" w:rsidP="0064561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https://childrenshealthdefense.org/defender/Covid-vaccine-injuries-german-health-insurer/</w:t>
      </w:r>
    </w:p>
  </w:endnote>
  <w:endnote w:id="176">
    <w:p w14:paraId="1E1ABC64" w14:textId="77777777" w:rsidR="0064561E" w:rsidRPr="00D317E7" w:rsidRDefault="0064561E" w:rsidP="0064561E">
      <w:pPr>
        <w:pStyle w:val="EndnoteText"/>
        <w:ind w:left="270" w:hanging="270"/>
        <w:jc w:val="left"/>
        <w:rPr>
          <w:rStyle w:val="EndnoteReference"/>
          <w:rFonts w:cs="Times New Roman"/>
          <w:sz w:val="20"/>
          <w:szCs w:val="20"/>
          <w:vertAlign w:val="baseline"/>
        </w:rPr>
      </w:pPr>
      <w:r w:rsidRPr="00D317E7">
        <w:rPr>
          <w:rStyle w:val="EndnoteReference"/>
          <w:rFonts w:cs="Times New Roman"/>
          <w:sz w:val="20"/>
          <w:szCs w:val="20"/>
          <w:vertAlign w:val="baseline"/>
        </w:rPr>
        <w:endnoteRef/>
      </w:r>
      <w:r w:rsidRPr="00D317E7">
        <w:rPr>
          <w:rStyle w:val="EndnoteReference"/>
          <w:rFonts w:cs="Times New Roman"/>
          <w:sz w:val="20"/>
          <w:szCs w:val="20"/>
          <w:vertAlign w:val="baseline"/>
        </w:rPr>
        <w:t xml:space="preserve"> https://www.sott.net/article/471003-German-insurer-highlights-staggering-rise-in-adverse-effects-from-COVID-19-vaccines</w:t>
      </w:r>
    </w:p>
  </w:endnote>
  <w:endnote w:id="177">
    <w:p w14:paraId="02BA10F0" w14:textId="77777777" w:rsidR="0064561E" w:rsidRPr="00D317E7" w:rsidRDefault="0064561E" w:rsidP="0064561E">
      <w:pPr>
        <w:pStyle w:val="EndnoteText"/>
        <w:ind w:left="270" w:hanging="270"/>
        <w:jc w:val="left"/>
        <w:rPr>
          <w:rStyle w:val="EndnoteReference"/>
          <w:rFonts w:cs="Times New Roman"/>
          <w:sz w:val="20"/>
          <w:szCs w:val="20"/>
          <w:vertAlign w:val="baseline"/>
        </w:rPr>
      </w:pPr>
      <w:r w:rsidRPr="00D317E7">
        <w:rPr>
          <w:rStyle w:val="EndnoteReference"/>
          <w:rFonts w:cs="Times New Roman"/>
          <w:sz w:val="20"/>
          <w:szCs w:val="20"/>
          <w:vertAlign w:val="baseline"/>
        </w:rPr>
        <w:endnoteRef/>
      </w:r>
      <w:r w:rsidRPr="00D317E7">
        <w:rPr>
          <w:rStyle w:val="EndnoteReference"/>
          <w:rFonts w:cs="Times New Roman"/>
          <w:sz w:val="20"/>
          <w:szCs w:val="20"/>
          <w:vertAlign w:val="baseline"/>
        </w:rPr>
        <w:t xml:space="preserve"> https://rairfoundation.com/germanys-largest-health-insurer-reveals-1-in-25-clients-underwent-medical-treatment-in-2021-for-covid-vaccine-side-effects/</w:t>
      </w:r>
    </w:p>
  </w:endnote>
  <w:endnote w:id="178">
    <w:p w14:paraId="37287B0A" w14:textId="77777777" w:rsidR="0064561E" w:rsidRPr="00002BC9" w:rsidRDefault="0064561E" w:rsidP="0064561E">
      <w:pPr>
        <w:pStyle w:val="EndnoteText"/>
        <w:ind w:left="270" w:hanging="270"/>
        <w:jc w:val="left"/>
        <w:rPr>
          <w:rStyle w:val="EndnoteReference"/>
          <w:rFonts w:cs="Times New Roman"/>
          <w:sz w:val="20"/>
          <w:szCs w:val="20"/>
          <w:vertAlign w:val="baseline"/>
        </w:rPr>
      </w:pPr>
      <w:r w:rsidRPr="00002BC9">
        <w:rPr>
          <w:rStyle w:val="EndnoteReference"/>
          <w:rFonts w:cs="Times New Roman"/>
          <w:sz w:val="20"/>
          <w:szCs w:val="20"/>
          <w:vertAlign w:val="baseline"/>
        </w:rPr>
        <w:endnoteRef/>
      </w:r>
      <w:r w:rsidRPr="00002BC9">
        <w:rPr>
          <w:rStyle w:val="EndnoteReference"/>
          <w:rFonts w:cs="Times New Roman"/>
          <w:sz w:val="20"/>
          <w:szCs w:val="20"/>
          <w:vertAlign w:val="baseline"/>
        </w:rPr>
        <w:t xml:space="preserve"> https://www.sott.net/article/464236-Life-insurance-payouts-skyrocket-258-as-post-vaccine-deaths-rapidly-accelerate</w:t>
      </w:r>
    </w:p>
  </w:endnote>
  <w:endnote w:id="179">
    <w:p w14:paraId="2704FCCA" w14:textId="77777777" w:rsidR="0064561E" w:rsidRPr="00D32708" w:rsidRDefault="0064561E" w:rsidP="0064561E">
      <w:pPr>
        <w:pStyle w:val="EndnoteText"/>
        <w:ind w:left="270" w:hanging="270"/>
        <w:jc w:val="left"/>
        <w:rPr>
          <w:rStyle w:val="EndnoteReference"/>
          <w:rFonts w:cs="Times New Roman"/>
          <w:sz w:val="20"/>
          <w:szCs w:val="20"/>
          <w:vertAlign w:val="baseline"/>
        </w:rPr>
      </w:pPr>
      <w:r w:rsidRPr="00D32708">
        <w:rPr>
          <w:rStyle w:val="EndnoteReference"/>
          <w:rFonts w:cs="Times New Roman"/>
          <w:sz w:val="20"/>
          <w:szCs w:val="20"/>
          <w:vertAlign w:val="baseline"/>
        </w:rPr>
        <w:endnoteRef/>
      </w:r>
      <w:r w:rsidRPr="00D32708">
        <w:rPr>
          <w:rStyle w:val="EndnoteReference"/>
          <w:rFonts w:cs="Times New Roman"/>
          <w:sz w:val="20"/>
          <w:szCs w:val="20"/>
          <w:vertAlign w:val="baseline"/>
        </w:rPr>
        <w:t xml:space="preserve"> https://expose-news.com/2022/08/18/covid-related-pay-outs-almost-double-in-2021/</w:t>
      </w:r>
    </w:p>
  </w:endnote>
  <w:endnote w:id="180">
    <w:p w14:paraId="056286D0" w14:textId="77777777" w:rsidR="0064561E" w:rsidRPr="009133F7" w:rsidRDefault="0064561E" w:rsidP="0064561E">
      <w:pPr>
        <w:pStyle w:val="EndnoteText"/>
        <w:ind w:left="270" w:hanging="270"/>
        <w:jc w:val="left"/>
        <w:rPr>
          <w:rStyle w:val="EndnoteReference"/>
          <w:rFonts w:cs="Times New Roman"/>
          <w:sz w:val="20"/>
          <w:szCs w:val="20"/>
          <w:vertAlign w:val="baseline"/>
        </w:rPr>
      </w:pPr>
      <w:r w:rsidRPr="009133F7">
        <w:rPr>
          <w:rStyle w:val="EndnoteReference"/>
          <w:rFonts w:cs="Times New Roman"/>
          <w:sz w:val="20"/>
          <w:szCs w:val="20"/>
          <w:vertAlign w:val="baseline"/>
        </w:rPr>
        <w:endnoteRef/>
      </w:r>
      <w:r w:rsidRPr="009133F7">
        <w:rPr>
          <w:rStyle w:val="EndnoteReference"/>
          <w:rFonts w:cs="Times New Roman"/>
          <w:sz w:val="20"/>
          <w:szCs w:val="20"/>
          <w:vertAlign w:val="baseline"/>
        </w:rPr>
        <w:t xml:space="preserve"> Fifth largest life insurance company in the US paid out 163% more for deaths of working people ages 18-64 in 2021 - Total claims/benefits up $6 BILLION, https://crossroadsreport.substack.com/p/breaking-fifth-largest-life-insurance</w:t>
      </w:r>
    </w:p>
  </w:endnote>
  <w:endnote w:id="181">
    <w:p w14:paraId="0987E6C7" w14:textId="38FB462D"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E45C4D" w:rsidRPr="00E45C4D">
        <w:rPr>
          <w:rStyle w:val="EndnoteReference"/>
          <w:rFonts w:cs="Times New Roman"/>
          <w:sz w:val="20"/>
          <w:szCs w:val="20"/>
          <w:vertAlign w:val="baseline"/>
        </w:rPr>
        <w:t>Ndeupen S, Qin Z, Jacobsen S, Bouteau A, Estanbouli H, Igyártó BZ. The mRNA-LNP platform's lipid nanoparticle component used in preclinical vaccine studies is highly inflammatory. iScience. 2021;24(12):103479. doi:10.1016/j.isci.2021.103479</w:t>
      </w:r>
    </w:p>
  </w:endnote>
  <w:endnote w:id="182">
    <w:p w14:paraId="51E3F952"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Sedic, M. et al. (2018). Safety Evaluation of Lipid Nanoparticle-Formulated Modified mRNA in the Sprague-Dawley Rat and Cynomolgus Monkey. Veterinary pathology, 55(2), 341–354. https://doi.org/10.1177/0300985817738095</w:t>
      </w:r>
    </w:p>
  </w:endnote>
  <w:endnote w:id="183">
    <w:p w14:paraId="31E09A47"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Staci Sabnis, E. S. Kumarasinghe, T. Salerno, A Novel Amino Lipid Series for mRNA Delivery: Improved Endosomal Escape and Sustained Pharmacology and Safety in Non-human Primates, Volume 26, ISSUE 6, P1509-1519, June 06, 2018, DOI:https://doi.org/10.1016/j.ymthe.2018.03.010.</w:t>
      </w:r>
    </w:p>
  </w:endnote>
  <w:endnote w:id="184">
    <w:p w14:paraId="75B2D5DA" w14:textId="77777777" w:rsidR="00423676" w:rsidRPr="00FC3CE8" w:rsidRDefault="00423676" w:rsidP="0042367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https://www.ema.europa.eu/en/documents/assessment-report/comirnaty-epar-public-assessment-report_en.pdf</w:t>
      </w:r>
    </w:p>
  </w:endnote>
  <w:endnote w:id="185">
    <w:p w14:paraId="41938FED"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Arcolaci A, Bronte V, Zanoni G. Immunization practices and risk of anaphylaxis: a current update, comprehensive of COVID-19 vaccination data. Curr Opin Allergy Clin Immunol. 2021 Oct 1;21(5):418-425. doi: 10.1097/ACI.0000000000000769. PMID: 34269740.</w:t>
      </w:r>
    </w:p>
  </w:endnote>
  <w:endnote w:id="186">
    <w:p w14:paraId="550554FB"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Iguchi T, Umeda H, Kojima M, Kanno Y, Tanaka Y, Kinoshita N, Sato D. Cumulative Adverse Event Reporting of Anaphylaxis After mRNA COVID-19 Vaccine (Pfizer-BioNTech) Injections in Japan: The First-Month Report. Drug Saf. 2021 Nov;44(11):1209-1214. doi: 10.1007/s40264-021-01104-9.</w:t>
      </w:r>
    </w:p>
  </w:endnote>
  <w:endnote w:id="187">
    <w:p w14:paraId="489A11E0"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Somiya, M., Mine, S., Yasukawa, K., &amp; Ikeda, S. (2021). Sex differences in the incidence of anaphylaxis to LNP-mRNA COVID-19 vaccines. Vaccine, 39(25), 3313–3314. https://doi.org/10.1016/j.vaccine.2021.04.066</w:t>
      </w:r>
    </w:p>
  </w:endnote>
  <w:endnote w:id="188">
    <w:p w14:paraId="59AC9F68"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Erdeljic Turk V. Anaphylaxis associated with the mRNA COVID-19 vaccines: Approach to allergy investigation. Clin Immunol. 2021 Jun;227:108748. doi: 10.1016/j.clim.2021.108748. Epub 2021 Apr 28. PMID: 33932618; PMCID: PMC8080508.</w:t>
      </w:r>
    </w:p>
  </w:endnote>
  <w:endnote w:id="189">
    <w:p w14:paraId="4E6C3B3D"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Moghimi S. M. (2021). Allergic Reactions and Anaphylaxis to LNP-Based COVID-19 Vaccines. Molecular therapy : the journal of the American Society of Gene Therapy, 29(3), 898–900. https://doi.org/10.1016/j.ymthe.2021.01.030</w:t>
      </w:r>
    </w:p>
  </w:endnote>
  <w:endnote w:id="190">
    <w:p w14:paraId="3E31624B"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Paul J. Turner, Ignacio J. Ansotegui, Dianne E. et al., COVID-19 vaccine-associated anaphylaxis: A statement of the World Allergy Organization Anaphylaxis Committee, World Allergy Organization Journal, Volume 14, Issue 2, 2021, https://doi.org/10.1016/j.waojou.2021.100517.</w:t>
      </w:r>
    </w:p>
  </w:endnote>
  <w:endnote w:id="191">
    <w:p w14:paraId="3EB58369"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Shimabukuro T, Nair N. Allergic Reactions Including Anaphylaxis After Receipt of the First Dose of Pfizer-BioNTech COVID-19 Vaccine. JAMA. 2021;325(8):780–781. doi:10.1001/jama.2021.0600</w:t>
      </w:r>
    </w:p>
  </w:endnote>
  <w:endnote w:id="192">
    <w:p w14:paraId="2FE48A4A" w14:textId="77777777" w:rsidR="00E23642" w:rsidRPr="00FC3CE8" w:rsidRDefault="00E23642" w:rsidP="00E2364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Sellaturay P, Nasser S, Islam S, Gurugama P, Ewan PW. Polyethylene glycol (PEG) is a cause of anaphylaxis to the Pfizer/BioNTech mRNA COVID-19 vaccine. Clin Exp Allergy. 2021 Jun;51(6):861-863. doi: 10.1111/cea.13874. Epub 2021 Apr 9. PMID: 33825239; PMCID: PMC8251011.</w:t>
      </w:r>
    </w:p>
  </w:endnote>
  <w:endnote w:id="193">
    <w:p w14:paraId="201A7C3F" w14:textId="77777777" w:rsidR="00423676" w:rsidRPr="00FC3CE8" w:rsidRDefault="00423676" w:rsidP="0042367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Szebeni J. Complement activation-related pseudoallergy: a stress reaction in blood triggered by nanomedicines and biologicals. Mol Immunol. 2014 Oct;61(2):163-73. doi: 10.1016/j.molimm.2014.06.038. Epub 2014 Aug 12. PMID: 25124145.</w:t>
      </w:r>
    </w:p>
  </w:endnote>
  <w:endnote w:id="194">
    <w:p w14:paraId="4BE9109C" w14:textId="6083379F" w:rsidR="00E23642" w:rsidRPr="00E23642" w:rsidRDefault="00E23642" w:rsidP="00E23642">
      <w:pPr>
        <w:pStyle w:val="EndnoteText"/>
        <w:ind w:left="270" w:hanging="270"/>
        <w:jc w:val="left"/>
        <w:rPr>
          <w:rStyle w:val="EndnoteReference"/>
          <w:rFonts w:cs="Times New Roman"/>
          <w:sz w:val="20"/>
          <w:szCs w:val="20"/>
          <w:vertAlign w:val="baseline"/>
        </w:rPr>
      </w:pPr>
      <w:r w:rsidRPr="00E23642">
        <w:rPr>
          <w:rStyle w:val="EndnoteReference"/>
          <w:rFonts w:cs="Times New Roman"/>
          <w:sz w:val="20"/>
          <w:szCs w:val="20"/>
          <w:vertAlign w:val="baseline"/>
        </w:rPr>
        <w:endnoteRef/>
      </w:r>
      <w:r w:rsidRPr="00E23642">
        <w:rPr>
          <w:rStyle w:val="EndnoteReference"/>
          <w:rFonts w:cs="Times New Roman"/>
          <w:sz w:val="20"/>
          <w:szCs w:val="20"/>
          <w:vertAlign w:val="baseline"/>
        </w:rPr>
        <w:t xml:space="preserve"> Risma KA, Edwards KM, Hummell DS, et al. Potential mechanisms of anaphylaxis to COVID-19 mRNA vaccines. J Allergy Clin Immunol. 2021;147(6):2075-2082.e2. doi:10.1016/j.jaci.2021.04.002</w:t>
      </w:r>
    </w:p>
  </w:endnote>
  <w:endnote w:id="195">
    <w:p w14:paraId="4D87DA19" w14:textId="77777777" w:rsidR="000C0448" w:rsidRPr="00FC3CE8" w:rsidRDefault="000C0448" w:rsidP="000C044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F. AbdelMassih, J. Ye, A. Kamel, et al., A multicenter consensus: A role of furin in the endothelial tropism in obese patients with COVID-19 infection, Obesity Medicine, Volume 19, 2020, https://doi.org/10.1016/j.obmed.2020.100281.</w:t>
      </w:r>
    </w:p>
  </w:endnote>
  <w:endnote w:id="196">
    <w:p w14:paraId="6FC6D496" w14:textId="77777777" w:rsidR="000C0448" w:rsidRPr="00FC3CE8" w:rsidRDefault="000C0448" w:rsidP="000C044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Xia S, Lan Q, Su S, et al. The role of furin cleavage site in SARS-CoV-2 spike protein-mediated membrane fusion in the presence or absence of trypsin. Signal Transduct Target Ther. 2020;5(1):92. Published 2020 Jun 12. doi:10.1038/s41392-020-0184-0</w:t>
      </w:r>
    </w:p>
  </w:endnote>
  <w:endnote w:id="197">
    <w:p w14:paraId="39D660B9" w14:textId="77777777" w:rsidR="000C0448" w:rsidRPr="00FC3CE8" w:rsidRDefault="000C0448" w:rsidP="000C044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Johnson, B. A., Xie, X., Kalveram, B., et al., (2020). Furin Cleavage Site Is Key to SARS-CoV-2 Pathogenesis. bioRxiv : the preprint server for biology, 2020.08.26.268854. https://doi.org/10.1101/2020.08.26.268854</w:t>
      </w:r>
    </w:p>
  </w:endnote>
  <w:endnote w:id="198">
    <w:p w14:paraId="70497823" w14:textId="77777777" w:rsidR="000C0448" w:rsidRPr="00FC3CE8" w:rsidRDefault="000C0448" w:rsidP="000C044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Johnson, B.A., et. al. “Loss of furin cleavage site attenuates SARS-CoV-2 pathogenesis.” Nature, 25 Jan. 2021, 591: 293-299. https://www.nature.com/articles/s41586-021-03237-4</w:t>
      </w:r>
    </w:p>
  </w:endnote>
  <w:endnote w:id="199">
    <w:p w14:paraId="2459DF05" w14:textId="77777777" w:rsidR="00F71581" w:rsidRPr="00FC3CE8" w:rsidRDefault="00F71581" w:rsidP="00F7158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F. Ogata, Chi-An Cheng, M. Desjardins, et al., Circulating Severe Acute Respiratory Syndrome Coronavirus 2 (SARS-CoV-2) Vaccine Antigen Detected in the Plasma of mRNA-1273 Vaccine Recipients, Clinical Infectious Diseases, 2021;, ciab465, https://doi.org/10.1093/cid/ciab465</w:t>
      </w:r>
    </w:p>
  </w:endnote>
  <w:endnote w:id="200">
    <w:p w14:paraId="366D6852" w14:textId="77777777" w:rsidR="00F71581" w:rsidRPr="003E5BE6" w:rsidRDefault="00F71581"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Röltgen, K., Nielsen, S., Silva, O., et al., (2022). Immune imprinting, breadth of variant recognition, and germinal center response in human SARS-CoV-2 infection and vaccination. Cell, 185(6), 1025–1040.e14. https://doi.org/10.1016/j.cell.2022.01.018</w:t>
      </w:r>
    </w:p>
  </w:endnote>
  <w:endnote w:id="201">
    <w:p w14:paraId="1E47DBD2" w14:textId="77777777" w:rsidR="00F71581" w:rsidRPr="00FC3CE8" w:rsidRDefault="00F71581" w:rsidP="00F7158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https://www.ema.europa.eu/en/documents/assessment-report/comirnaty-epar-public-assessment-report_en.pdf</w:t>
      </w:r>
    </w:p>
  </w:endnote>
  <w:endnote w:id="202">
    <w:p w14:paraId="4358245B" w14:textId="77777777" w:rsidR="00F71581" w:rsidRPr="00FC3CE8" w:rsidRDefault="00F71581" w:rsidP="00F7158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SARS-CoV-2 mRNA Vaccine (BNT162, PF-07302048). https://www.pmda.go.jp/drugs/2021/P20210212001/672212000_30300AMX00231_I100_1.pdf</w:t>
      </w:r>
    </w:p>
  </w:endnote>
  <w:endnote w:id="203">
    <w:p w14:paraId="277782F6" w14:textId="77777777" w:rsidR="00F71581" w:rsidRPr="00FC3CE8" w:rsidRDefault="00F71581" w:rsidP="00F7158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https://www.ema.europa.eu/en/documents/assessment-report/spikevax-previously-Covid-19-vaccine-moderna-epar-public-assessment-report_en.pdf</w:t>
      </w:r>
    </w:p>
  </w:endnote>
  <w:endnote w:id="204">
    <w:p w14:paraId="2EE7F148" w14:textId="77777777" w:rsidR="00F71581" w:rsidRPr="00FC3CE8" w:rsidRDefault="00F71581" w:rsidP="00F7158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Bahl, K., Senn, J. J., Yuzhakov, O., Bulychev, A., Brito, L. A., Hassett, K. J., Laska, M. E., Smith, M., Almarsson, Ö., Thompson, J., Ribeiro, A. M., Watson, M., Zaks, T., &amp; Ciaramella, G. (2017). Preclinical and Clinical Demonstration of Immunogenicity by mRNA Vaccines against H10N8 and H7N9 Influenza Viruses. Molecular therapy : the journal of the American Society of Gene Therapy, 25(6), 1316–1327. https://doi.org/10.1016/j.ymthe.2017.03.035</w:t>
      </w:r>
    </w:p>
  </w:endnote>
  <w:endnote w:id="205">
    <w:p w14:paraId="05E57634" w14:textId="77777777" w:rsidR="00D367D9" w:rsidRPr="00FC3CE8" w:rsidRDefault="00D367D9" w:rsidP="00D367D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Gheblawi M, Wang K, Viveiros A, et al. Angiotensin-Converting Enzyme 2: SARS-CoV-2 Receptor and Regulator of the Renin-Angiotensin System: Celebrating the 20th Anniversary of the Discovery of ACE2. Circ Res. 2020;126(10):1456-1474. doi:10.1161/CIRCRESAHA.120.317015</w:t>
      </w:r>
    </w:p>
  </w:endnote>
  <w:endnote w:id="206">
    <w:p w14:paraId="4EF46D4D" w14:textId="77777777" w:rsidR="00D367D9" w:rsidRPr="00FC3CE8" w:rsidRDefault="00D367D9" w:rsidP="00D367D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Ghafouri-Fard S, Noroozi R, Omrani MD, et al. Angiotensin converting enzyme: A review on expression profile and its association with human disorders with special focus on SARS-CoV-2 infection. Vascul Pharmacol. 2020;130:106680. doi:10.1016/j.vph.2020.106680</w:t>
      </w:r>
    </w:p>
  </w:endnote>
  <w:endnote w:id="207">
    <w:p w14:paraId="1211F699" w14:textId="77777777" w:rsidR="00D367D9" w:rsidRPr="00FC3CE8" w:rsidRDefault="00D367D9" w:rsidP="00D367D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Li W, Moore MJ, Vasilieva N, Sui J, Wong SK, Berne MA, Somasundaran M, Sullivan JL, Luzuriaga K, Greenough TC, Choe H, Farzan M. Angiotensin-converting enzyme 2 is a functional receptor for the SARS coronavirus. Nature. 2003 Nov 27;426(6965):450-4. doi: 10.1038/nature02145. PMID: 14647384; PMCID: PMC7095016.</w:t>
      </w:r>
    </w:p>
  </w:endnote>
  <w:endnote w:id="208">
    <w:p w14:paraId="673E5E3B"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Hamming, I., Timens, W., Bulthuis, M. L., Lely, A. T., Navis, G., &amp; van Goor, H. (2004). Tissue distribution of ACE2 protein, the functional receptor for SARS coronavirus. A first step in understanding SARS pathogenesis. The Journal of pathology, 203(2), 631–637. https://doi.org/10.1002/path.1570</w:t>
      </w:r>
    </w:p>
  </w:endnote>
  <w:endnote w:id="209">
    <w:p w14:paraId="5EB1FE9C"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Harmer D, Gilbert M, Borman R, Clark KL. Quantitative mRNA expression profiling of ACE 2, a novel homologue of angiotensin converting enzyme. FEBS Lett. 2002 Dec 4;532(1-2):107-10. doi: 10.1016/s0014-5793(02)03640-2. PMID: 12459472.</w:t>
      </w:r>
    </w:p>
  </w:endnote>
  <w:endnote w:id="210">
    <w:p w14:paraId="6D818634"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Oudit GY, Crackower MA, Backx PH, Penninger JM. The role of ACE2 in cardiovascular physiology. Trends Cardiovasc Med. 2003 Apr;13(3):93-101. doi: 10.1016/s1050-1738(02)00233-5. PMID: 12691672.</w:t>
      </w:r>
    </w:p>
  </w:endnote>
  <w:endnote w:id="211">
    <w:p w14:paraId="1D06696F"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Ratajczak, M.Z., Bujko, K., Ciechanowicz, A. et al. SARS-CoV-2 Entry Receptor ACE2 Is Expressed on Very Small CD45− Precursors of Hematopoietic and Endothelial Cells and in Response to Virus Spike Protein Activates the Nlrp3 Inflammasome. Stem Cell Rev and Rep 17, 266–277 (2021). https://doi.org/10.1007/s12015-020-10010-z</w:t>
      </w:r>
    </w:p>
  </w:endnote>
  <w:endnote w:id="212">
    <w:p w14:paraId="1A079A92"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Karuppan MKM, Devadoss D, Nair M, Chand HS, Lakshmana MK. SARS-CoV-2 Infection in the Central and Peripheral Nervous System-Associated Morbidities and Their Potential Mechanism. Mol Neurobiol. 2021;58(6):2465-2480. doi:10.1007/s12035-020-02245-1</w:t>
      </w:r>
    </w:p>
  </w:endnote>
  <w:endnote w:id="213">
    <w:p w14:paraId="30C1A550"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Singh B, Gornet M, Sims H, Kisanga E, Knight Z, Segars J. Severe Acute Respiratory Syndrome Coronavirus 2 (SARS-CoV-2) and its effect on gametogenesis and early pregnancy. Am J Reprod Immunol. 2020;84(5):e13351. doi:10.1111/aji.13351</w:t>
      </w:r>
    </w:p>
  </w:endnote>
  <w:endnote w:id="214">
    <w:p w14:paraId="0FEFB27A"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Shant Der Sarkissian, Justin L. Grobe, Lihui Yuan, Dhruv R. Narielwala, Glenn A. Walter, Michael J. Katovich, Mohan K. Raizada. Cardiac Overexpression of Angiotensin Converting Enzyme 2 Protects the Heart From Ischemia-Induced Pathophysiology. Hypertension. 2008;51:712-718.</w:t>
      </w:r>
    </w:p>
  </w:endnote>
  <w:endnote w:id="215">
    <w:p w14:paraId="799E9F93" w14:textId="77777777" w:rsidR="00BB25DC" w:rsidRPr="00FC3CE8" w:rsidRDefault="00BB25DC" w:rsidP="00BB25D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Buzhdygan, T. P., DeOre, B. J., Baldwin-Leclair, A., et al. (2020). The SARS-CoV-2 spike protein alters barrier function in 2D static and 3D microfluidic in-vitro models of the human blood-brain barrier. Neurobiology of disease, 146, 105131. https://doi.org/10.1016/j.nbd.2020.105131</w:t>
      </w:r>
    </w:p>
  </w:endnote>
  <w:endnote w:id="216">
    <w:p w14:paraId="33D64770"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Thakur B, Dubey P, Benitez J, et al. A systematic review and meta-analysis of geographic differences in comorbidities and associated severity and mortality among individuals with COVID-19. Sci Rep. 2021;11(1):8562. Published 2021 Apr 20. doi:10.1038/s41598-021-88130-w</w:t>
      </w:r>
    </w:p>
  </w:endnote>
  <w:endnote w:id="217">
    <w:p w14:paraId="3E7F74B8"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Izcovich A, Ragusa MA, Tortosa F, et al. Prognostic factors for severity and mortality in patients infected with COVID-19: A systematic review [published correction appears in PLoS One. 2022 May 26;17(5):e0269291]. PLoS One. 2020;15(11):e0241955. Published 2020 Nov 17. doi:10.1371/journal.pone.0241955</w:t>
      </w:r>
    </w:p>
  </w:endnote>
  <w:endnote w:id="218">
    <w:p w14:paraId="3AAD994D"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Thakur B, Dubey P, Benitez J, et al. A systematic review and meta-analysis of geographic differences in comorbidities and associated severity and mortality among individuals with COVID-19. Sci Rep. 2021;11(1):8562. Published 2021 Apr 20. doi:10.1038/s41598-021-88130-w</w:t>
      </w:r>
    </w:p>
  </w:endnote>
  <w:endnote w:id="219">
    <w:p w14:paraId="30DEEC60"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Parohan M, Yaghoubi S, Seraji A, Javanbakht MH, Sarraf P, Djalali M. Risk factors for mortality in patients with Coronavirus disease 2019 (COVID-19) infection: a systematic review and meta-analysis of observational studies. Aging Male. 2020;23(5):1416-1424.</w:t>
      </w:r>
    </w:p>
  </w:endnote>
  <w:endnote w:id="220">
    <w:p w14:paraId="731EEAB3"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Mahamat-Saleh Y, Fiolet T, Rebeaud ME, et al. Diabetes, hypertension, body mass index, smoking and COVID-19-related mortality: a systematic review and meta-analysis of observational studies. BMJ Open. 2021;11(10):e052777. Published 2021 Oct 25. doi:10.1136/bmjopen-2021-052777</w:t>
      </w:r>
    </w:p>
  </w:endnote>
  <w:endnote w:id="221">
    <w:p w14:paraId="041ECE57"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Mahamat-Saleh Y, Fiolet T, Rebeaud ME, et al. Diabetes, hypertension, body mass index, smoking and COVID-19-related mortality: a systematic review and meta-analysis of observational studies. BMJ Open. 2021;11(10):e052777. Published 2021 Oct 25. doi:10.1136/bmjopen-2021-052777</w:t>
      </w:r>
    </w:p>
  </w:endnote>
  <w:endnote w:id="222">
    <w:p w14:paraId="2CDE9614"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Dessie ZG, Zewotir T. Mortality-related risk factors of COVID-19: a systematic review and meta-analysis of 42 studies and 423,117 patients. BMC Infect Dis. 2021;21(1):855. Published 2021 Aug 21. doi:10.1186/s12879-021-06536-3</w:t>
      </w:r>
    </w:p>
  </w:endnote>
  <w:endnote w:id="223">
    <w:p w14:paraId="72305920"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Gallo Marin B, Aghagoli G, Lavine K, et al. Predictors of COVID-19 severity: A literature review. Rev Med Virol. 2021;31(1):1-10. doi:10.1002/rmv.2146</w:t>
      </w:r>
    </w:p>
  </w:endnote>
  <w:endnote w:id="224">
    <w:p w14:paraId="43D814FD"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Dessie ZG, Zewotir T. Mortality-related risk factors of COVID-19: a systematic review and meta-analysis of 42 studies and 423,117 patients. BMC Infect Dis. 2021;21(1):855. Published 2021 Aug 21. doi:10.1186/s12879-021-06536-3</w:t>
      </w:r>
    </w:p>
  </w:endnote>
  <w:endnote w:id="225">
    <w:p w14:paraId="53AA0B32"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Parohan M, Yaghoubi S, Seraji A, Javanbakht MH, Sarraf P, Djalali M. Risk factors for mortality in patients with Coronavirus disease 2019 (COVID-19) infection: a systematic review and meta-analysis of observational studies. Aging Male. 2020;23(5):1416-1424.</w:t>
      </w:r>
    </w:p>
  </w:endnote>
  <w:endnote w:id="226">
    <w:p w14:paraId="3D7C5C79" w14:textId="77777777" w:rsidR="00BB25DC" w:rsidRPr="003E5BE6" w:rsidRDefault="00BB25DC"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Izcovich A, Ragusa MA, Tortosa F, et al. Prognostic factors for severity and mortality in patients infected with COVID-19: A systematic review [published correction appears in PLoS One. 2022 May 26;17(5):e0269291]. PLoS One. 2020;15(11):e0241955. Published 2020 Nov 17. doi:10.1371/journal.pone.0241955</w:t>
      </w:r>
    </w:p>
  </w:endnote>
  <w:endnote w:id="227">
    <w:p w14:paraId="0B4BA63F"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Colunga Biancatelli RML, Solopov PA, Gregory B, Khodour Y, Catravas JD. HSP90 Inhibitors Modulate SARS-CoV-2 Spike Protein Subunit 1-Induced Human Pulmonary Microvascular Endothelial Activation and Barrier Dysfunction. Front Physiol. 2022;13:812199. Published 2022 Mar 21. doi:10.3389/fphys.2022.812199</w:t>
      </w:r>
    </w:p>
  </w:endnote>
  <w:endnote w:id="228">
    <w:p w14:paraId="7035876A"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Kumar N, Zuo Y, Yalavarthi S, et al. SARS-CoV-2 Spike Protein S1-Mediated Endothelial Injury and Pro-Inflammatory State Is Amplified by Dihydrotestosterone and Prevented by Mineralocorticoid Antagonism. Viruses. 2021;13(11):2209. Published 2021 Nov 3. doi:10.3390/v13112209</w:t>
      </w:r>
    </w:p>
  </w:endnote>
  <w:endnote w:id="229">
    <w:p w14:paraId="5098E71E"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Raghavan S, Kenchappa DB, Leo MD. SARS-CoV-2 Spike Protein Induces Degradation of Junctional Proteins That Maintain Endothelial Barrier Integrity. Front Cardiovasc Med. 2021;8:687783. Published 2021 Jun 11. doi:10.3389/fcvm.2021.687783</w:t>
      </w:r>
    </w:p>
  </w:endnote>
  <w:endnote w:id="230">
    <w:p w14:paraId="14E73C3F"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Khaddaj-Mallat R, Aldib N, Bernard M, et al. SARS-CoV-2 deregulates the vascular and immune functions of brain pericytes via Spike protein. Neurobiol Dis. 2021;161:105561. doi:10.1016/j.nbd.2021.105561</w:t>
      </w:r>
    </w:p>
  </w:endnote>
  <w:endnote w:id="231">
    <w:p w14:paraId="0620BD32" w14:textId="77777777" w:rsidR="00100048" w:rsidRPr="00FC3CE8" w:rsidRDefault="00100048" w:rsidP="0010004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Buzhdygan, T. P., DeOre, B. J., Baldwin-Leclair, A., et al. (2020). The SARS-CoV-2 spike protein alters barrier function in 2D static and 3D microfluidic in-vitro models of the human blood-brain barrier. Neurobiology of disease, 146, 105131. https://doi.org/10.1016/j.nbd.2020.105131</w:t>
      </w:r>
    </w:p>
  </w:endnote>
  <w:endnote w:id="232">
    <w:p w14:paraId="05FF0845"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Khaddaj-Mallat R, Aldib N, Bernard M, et al. SARS-CoV-2 deregulates the vascular and immune functions of brain pericytes via Spike protein. Neurobiol Dis. 2021;161:105561. doi:10.1016/j.nbd.2021.105561</w:t>
      </w:r>
    </w:p>
  </w:endnote>
  <w:endnote w:id="233">
    <w:p w14:paraId="23ECE834"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Kaneko N, Satta S, Komuro Y, et al. Flow-Mediated Susceptibility and Molecular Response of Cerebral Endothelia to SARS-CoV-2 Infection. Stroke. 2021;52(1):260-270. doi:10.1161/STROKEAHA.120.032764</w:t>
      </w:r>
    </w:p>
  </w:endnote>
  <w:endnote w:id="234">
    <w:p w14:paraId="5294E204"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Lei Y, Zhang J, Schiavon CR, et al. SARS-CoV-2 Spike Protein Impairs Endothelial Function via Downregulation of ACE 2. Circ Res. 2021;128(9):1323-1326. doi:10.1161/CIRCRESAHA.121.318902</w:t>
      </w:r>
    </w:p>
  </w:endnote>
  <w:endnote w:id="235">
    <w:p w14:paraId="34AF861A"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Karuppan MKM, Devadoss D, Nair M, Chand HS, Lakshmana MK. SARS-CoV-2 Infection in the Central and Peripheral Nervous System-Associated Morbidities and Their Potential Mechanism. Mol Neurobiol. 2021;58(6):2465-2480. doi:10.1007/s12035-020-02245-1</w:t>
      </w:r>
    </w:p>
  </w:endnote>
  <w:endnote w:id="236">
    <w:p w14:paraId="4CB85455"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Bhargavan B, Kanmogne GD. SARS-CoV-2 Spike Proteins and Cell-Cell Communication Inhibits TFPI and Induces Thrombogenic Factors in Human Lung Microvascular Endothelial Cells and Neutrophils: Implications for COVID-19 Coagulopathy Pathogenesis. Int J Mol Sci. 2022;23(18):10436. Published 2022 Sep 9. doi:10.3390/ijms231810436</w:t>
      </w:r>
    </w:p>
  </w:endnote>
  <w:endnote w:id="237">
    <w:p w14:paraId="56882641"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Yu J, Yuan X, Chen H, Chaturvedi S, Braunstein EM, Brodsky RA. Direct activation of the alternative complement pathway by SARS-CoV-2 spike proteins is blocked by factor D inhibition. Blood. 2020;136(18):2080-2089. doi:10.1182/blood.2020008248</w:t>
      </w:r>
    </w:p>
  </w:endnote>
  <w:endnote w:id="238">
    <w:p w14:paraId="4030829A"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Kuba, K., Imai, Y., Rao, S. et al. A crucial role of angiotensin converting enzyme 2 (ACE2) in SARS coronavirus–induced lung injury. Nat Med 11, 875–879 (2005). https://doi.org/10.1038/nm1267</w:t>
      </w:r>
    </w:p>
  </w:endnote>
  <w:endnote w:id="239">
    <w:p w14:paraId="200F1282"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Rossouw TM, Anderson R, Manga P, Feldman C. Emerging Role of Platelet-Endothelium Interactions in the Pathogenesis of Severe SARS-CoV-2 Infection-Associated Myocardial Injury. Front Immunol. 2022;13:776861. Published 2022 Feb 4. doi:10.3389/fimmu.2022.776861</w:t>
      </w:r>
    </w:p>
  </w:endnote>
  <w:endnote w:id="240">
    <w:p w14:paraId="7D45C06B"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Raghavan S, Kenchappa DB, Leo MD. SARS-CoV-2 Spike Protein Induces Degradation of Junctional Proteins That Maintain Endothelial Barrier Integrity. Front Cardiovasc Med. 2021;8:687783. Published 2021 Jun 11. doi:10.3389/fcvm.2021.687783</w:t>
      </w:r>
    </w:p>
  </w:endnote>
  <w:endnote w:id="241">
    <w:p w14:paraId="77F3B5BD"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Alipoor SD, Mirsaeidi M. SARS-CoV-2 cell entry beyond the ACE2 receptor. Mol Biol Rep. 2022;49(11):10715-10727. doi:10.1007/s11033-022-07700-x</w:t>
      </w:r>
    </w:p>
  </w:endnote>
  <w:endnote w:id="242">
    <w:p w14:paraId="5B901104"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Avolio E, Carrabba M, Milligan R, et al. The SARS-CoV-2 Spike protein disrupts human cardiac pericytes function through CD147 receptor-mediated signalling: a potential non-infective mechanism of COVID-19 microvascular disease. Clin Sci (Lond). 2021;135(24):2667-2689.</w:t>
      </w:r>
    </w:p>
  </w:endnote>
  <w:endnote w:id="243">
    <w:p w14:paraId="40E99BF2"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Colunga Biancatelli RML, Solopov PA, Gregory B, Khodour Y, Catravas JD. HSP90 Inhibitors Modulate SARS-CoV-2 Spike Protein Subunit 1-Induced Human Pulmonary Microvascular Endothelial Activation and Barrier Dysfunction. Front Physiol. 2022;13:812199. Published 2022 Mar 21. doi:10.3389/fphys.2022.812199</w:t>
      </w:r>
    </w:p>
  </w:endnote>
  <w:endnote w:id="244">
    <w:p w14:paraId="5D10766B"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Kumar N, Zuo Y, Yalavarthi S, et al. SARS-CoV-2 Spike Protein S1-Mediated Endothelial Injury and Pro-Inflammatory State Is Amplified by Dihydrotestosterone and Prevented by Mineralocorticoid Antagonism. Viruses. 2021;13(11):2209. Published 2021 Nov 3. doi:10.3390/v13112209</w:t>
      </w:r>
    </w:p>
  </w:endnote>
  <w:endnote w:id="245">
    <w:p w14:paraId="5B9BC91A" w14:textId="77777777" w:rsidR="00BD51D7" w:rsidRPr="00860AFD" w:rsidRDefault="00BD51D7" w:rsidP="00BD51D7">
      <w:pPr>
        <w:pStyle w:val="EndnoteText"/>
        <w:ind w:left="270" w:hanging="270"/>
        <w:jc w:val="left"/>
        <w:rPr>
          <w:rStyle w:val="EndnoteReference"/>
          <w:rFonts w:cs="Times New Roman"/>
          <w:sz w:val="20"/>
          <w:szCs w:val="20"/>
          <w:vertAlign w:val="baseline"/>
        </w:rPr>
      </w:pPr>
      <w:r w:rsidRPr="00860AFD">
        <w:rPr>
          <w:rStyle w:val="EndnoteReference"/>
          <w:rFonts w:cs="Times New Roman"/>
          <w:sz w:val="20"/>
          <w:szCs w:val="20"/>
          <w:vertAlign w:val="baseline"/>
        </w:rPr>
        <w:endnoteRef/>
      </w:r>
      <w:r w:rsidRPr="00860AFD">
        <w:rPr>
          <w:rStyle w:val="EndnoteReference"/>
          <w:rFonts w:cs="Times New Roman"/>
          <w:sz w:val="20"/>
          <w:szCs w:val="20"/>
          <w:vertAlign w:val="baseline"/>
        </w:rPr>
        <w:t xml:space="preserve"> Suzuki, Y. J., Nikolaienko, S. I., Dibrova, V. A., et al., (2021). SARS-CoV-2 Spike Protein-Mediated Cell Signaling in Lung Vascular Cells. Vascular Pharmacology 137: 106823. https://doi.org/10.1016/j.vph.2020.106823</w:t>
      </w:r>
    </w:p>
  </w:endnote>
  <w:endnote w:id="246">
    <w:p w14:paraId="027EC94F" w14:textId="77777777" w:rsidR="00BD51D7" w:rsidRPr="003E5BE6" w:rsidRDefault="00BD51D7"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Zeng FM, Li YW, Deng ZH, et al. SARS-CoV-2 spike spurs intestinal inflammation via VEGF production in enterocytes. EMBO Mol Med. 2022;14(5):e14844. doi:10.15252/emmm.202114844</w:t>
      </w:r>
    </w:p>
  </w:endnote>
  <w:endnote w:id="247">
    <w:p w14:paraId="3E9A0EF2"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Meckes DG Jr, Raab-Traub N. Microvesicles and viral infection. J Virol. 2011 Dec;85(24):12844-54. doi: 10.1128/JVI.05853-11. Epub 2011 Oct 5. PMID: 21976651; PMCID: PMC3233125.</w:t>
      </w:r>
    </w:p>
  </w:endnote>
  <w:endnote w:id="248">
    <w:p w14:paraId="373C1E40"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De Toro J, Herschlik L, Waldner C, Mongini C. Emerging roles of exosomes in normal and pathological conditions: new insights for diagnosis and therapeutic applications. Front Immunol. 2015 May 4;6:203. doi: 10.3389/fimmu.2015.00203. PMID: 25999947; PMCID: PMC4418172.</w:t>
      </w:r>
    </w:p>
  </w:endnote>
  <w:endnote w:id="249">
    <w:p w14:paraId="186149E8"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Bukong, T. N., Momen-Heravi, F., Kodys, K., Bala, S., &amp; Szabo, G. (2014). Exosomes from hepatitis C infected patients transmit HCV infection and contain replication competent viral RNA in complex with Ago2-miR122-HSP90. PLoS pathogens, 10(10), e1004424. https://doi.org/10.1371/journal.ppat.1004424</w:t>
      </w:r>
    </w:p>
  </w:endnote>
  <w:endnote w:id="250">
    <w:p w14:paraId="675CF5C9"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Fevrier B, Vilette D, Archer F, et al., Cells release prions in association with exosomes. Proc Natl Acad Sci U S A. 2004 Jun 29;101(26):9683-8. doi: 10.1073/pnas.0308413101. Epub 2004 Jun 21. PMID: 15210972; PMCID: PMC470735.</w:t>
      </w:r>
    </w:p>
  </w:endnote>
  <w:endnote w:id="251">
    <w:p w14:paraId="744E1C2C"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Hartmann, A., Muth, C., Dabrowski, O., Krasemann, S., &amp; Glatzel, M. (2017). Exosomes and the Prion Protein: More than One Truth. Frontiers in neuroscience, 11, 194. https://doi.org/10.3389/fnins.2017.00194</w:t>
      </w:r>
    </w:p>
  </w:endnote>
  <w:endnote w:id="252">
    <w:p w14:paraId="739BC35C"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P. Owens, N. Mackman, C. Weber, S. Mause, Microparticles in Hemostasis and Thrombosis, May 2011 Circulation Research. 2011;108:1284–1297 https://doi.org/10.1161/CIRCRESAHA.110.233056</w:t>
      </w:r>
    </w:p>
  </w:endnote>
  <w:endnote w:id="253">
    <w:p w14:paraId="39A29888"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Delabranche X, Berger A, Boisramé-Helms J, Meziani F. Microparticles and infectious diseases. Med Mal Infect. 2012 Aug;42(8):335-43. doi: 10.1016/j.medmal.2012.05.011. Epub 2012 Jul 4. PMID: 22766273.</w:t>
      </w:r>
    </w:p>
  </w:endnote>
  <w:endnote w:id="254">
    <w:p w14:paraId="2DC279D7"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Nikdoust F, Pazoki M, Mohammadtaghizadeh M, et al., Exosomes: Potential Player in Endothelial Dysfunction in Cardiovascular Disease. Cardiovasc Toxicol. 2022;22(3):225-235. doi:10.1007/s12012-021-09700-y</w:t>
      </w:r>
    </w:p>
  </w:endnote>
  <w:endnote w:id="255">
    <w:p w14:paraId="18C8FE2E"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Aharon A, Brenner B. Microparticles, thrombosis and cancer. Best Pract Res Clin Haematol. 2009 Mar;22(1):61-9. doi: 10.1016/j.beha.2008.11.002. PMID: 19285273.</w:t>
      </w:r>
    </w:p>
  </w:endnote>
  <w:endnote w:id="256">
    <w:p w14:paraId="71CBF2B7" w14:textId="3804444D"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Barberis E, Vanella VV, Falasca M, et al., Circulating Exosomes Are Strongly Involved in SARS-CoV-2 Infection. Front Mol Biosci. 2021 Feb 22;8:632290. doi: 10.3389/fmolb.2021.632290.</w:t>
      </w:r>
    </w:p>
  </w:endnote>
  <w:endnote w:id="257">
    <w:p w14:paraId="382B45AD" w14:textId="77777777" w:rsidR="00D95EEF" w:rsidRPr="00FC3CE8" w:rsidRDefault="00D95EEF" w:rsidP="00D95EE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Bansal S, Perincheri S, Fleming T, et al., Cutting Edge: Circulating Exosomes with COVID Spike Protein Are Induced by Comirnaty (Pfizer-BioNTech) Vaccination prior to Development of Antibodies: A Novel Mechanism for Immune Activation by mRNA Vaccines. J Immunol. 2021 Nov 15;207(10):2405-2410. doi: 10.4049/jimmunol.2100637. Epub 2021 Oct 15. PMID: 34654691.</w:t>
      </w:r>
    </w:p>
  </w:endnote>
  <w:endnote w:id="258">
    <w:p w14:paraId="32047FA1" w14:textId="4262DF38" w:rsidR="0008027E" w:rsidRPr="0008027E" w:rsidRDefault="0008027E" w:rsidP="0008027E">
      <w:pPr>
        <w:pStyle w:val="EndnoteText"/>
        <w:ind w:left="270" w:hanging="270"/>
        <w:jc w:val="left"/>
        <w:rPr>
          <w:rStyle w:val="EndnoteReference"/>
          <w:rFonts w:cs="Times New Roman"/>
          <w:sz w:val="20"/>
          <w:szCs w:val="20"/>
          <w:vertAlign w:val="baseline"/>
        </w:rPr>
      </w:pPr>
      <w:r w:rsidRPr="0008027E">
        <w:rPr>
          <w:rStyle w:val="EndnoteReference"/>
          <w:rFonts w:cs="Times New Roman"/>
          <w:sz w:val="20"/>
          <w:szCs w:val="20"/>
          <w:vertAlign w:val="baseline"/>
        </w:rPr>
        <w:endnoteRef/>
      </w:r>
      <w:r w:rsidRPr="0008027E">
        <w:rPr>
          <w:rStyle w:val="EndnoteReference"/>
          <w:rFonts w:cs="Times New Roman"/>
          <w:sz w:val="20"/>
          <w:szCs w:val="20"/>
          <w:vertAlign w:val="baseline"/>
        </w:rPr>
        <w:t xml:space="preserve"> Sandhya Bansal, Timothy Fleming, Thalachallour Mohanakumar, Response to Comment on “Cutting Edge: Circulating Exosomes with COVID Spike Protein Are Induced by BNT162b2 (Pfizer-BioNTech) Vaccination prior to Development of Antibodies: A Novel Mechanism for Immune Activation by mRNA Vaccines”, The Journal of Immunology April 15, 2022, 208 (8) 1833-1834; DOI: 10.4049/jimmunol.2101067</w:t>
      </w:r>
    </w:p>
  </w:endnote>
  <w:endnote w:id="259">
    <w:p w14:paraId="46FF820A"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Ismail II, Salama S. A systematic review of cases of CNS demyelination following COVID-19 vaccination. J Neuroimmunol. 2022;362:577765. doi:10.1016/j.jneuroim.2021.577765</w:t>
      </w:r>
    </w:p>
  </w:endnote>
  <w:endnote w:id="260">
    <w:p w14:paraId="532C828A"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Camacho-Domínguez L, Rodríguez Y, Polo F, et al. COVID-19 vaccine and autoimmunity. A new case of autoimmune hepatitis and review of the literature. J Transl Autoimmun. 2022;5:100140. doi:10.1016/j.jtauto.2022.100140</w:t>
      </w:r>
    </w:p>
  </w:endnote>
  <w:endnote w:id="261">
    <w:p w14:paraId="6D98B7DB"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Rela M, Jothimani D, Vij M, Rajakumar A, Rammohan A. Auto-immune hepatitis following COVID vaccination. J Autoimmun. 2021;123:102688. doi:10.1016/j.jaut.2021.102688</w:t>
      </w:r>
    </w:p>
  </w:endnote>
  <w:endnote w:id="262">
    <w:p w14:paraId="16D23097"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Camacho-Domínguez L, Rodríguez Y, Polo F, et al. COVID-19 vaccine and autoimmunity. A new case of autoimmune hepatitis and review of the literature. J Transl Autoimmun. 2022;5:100140. doi:10.1016/j.jtauto.2022.100140</w:t>
      </w:r>
    </w:p>
  </w:endnote>
  <w:endnote w:id="263">
    <w:p w14:paraId="189ED737"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Chow KW, Pham NV, Ibrahim BM, Hong K, Saab S. Autoimmune Hepatitis-Like Syndrome Following COVID-19 Vaccination: A Systematic Review of the Literature. Dig Dis Sci. 2022;67(9):4574-4580. doi:10.1007/s10620-022-07504-w</w:t>
      </w:r>
    </w:p>
  </w:endnote>
  <w:endnote w:id="264">
    <w:p w14:paraId="20B321F6"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Elalamy I, Gerotziafas G, Alamowitch S, et al. SARS-CoV-2 Vaccine and Thrombosis: An Expert Consensus on Vaccine-Induced Immune Thrombotic Thrombocytopenia. Thromb Haemost. 2021;121(8):982-991. doi:10.1055/a-1499-0119</w:t>
      </w:r>
    </w:p>
  </w:endnote>
  <w:endnote w:id="265">
    <w:p w14:paraId="132AB110"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Mingot-Castellano ME, Butta N, Canaro M, et al. COVID-19 Vaccines and Autoimmune Hematologic Disorders. Vaccines (Basel). 2022;10(6):961. Published 2022 Jun 16. doi:10.3390/vaccines10060961</w:t>
      </w:r>
    </w:p>
  </w:endnote>
  <w:endnote w:id="266">
    <w:p w14:paraId="67D76C5B"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Nasuelli NA, De Marchi F, Cecchin M, et al. A case of acute demyelinating polyradiculoneuropathy with bilateral facial palsy after ChAdOx1 nCoV-19 vaccine. Neurol Sci. 2021;42(11):4747-4749. doi:10.1007/s10072-021-05467-w</w:t>
      </w:r>
    </w:p>
  </w:endnote>
  <w:endnote w:id="267">
    <w:p w14:paraId="4E64CC14"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Ismail II, Salama S. A systematic review of cases of CNS demyelination following COVID-19 vaccination. J Neuroimmunol. 2022;362:577765. doi:10.1016/j.jneuroim.2021.577765</w:t>
      </w:r>
    </w:p>
  </w:endnote>
  <w:endnote w:id="268">
    <w:p w14:paraId="0BF6001F"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Samim MM, Dhar D, Goyal S, et al. AI-CoV Study: Autoimmune Encephalitis Associated With COVID-19 and Its Vaccines-A Systematic Review. J Clin Neurol. 2022;18(6):692-710. doi:10.3988/jcn.2022.18.6.692</w:t>
      </w:r>
    </w:p>
  </w:endnote>
  <w:endnote w:id="269">
    <w:p w14:paraId="776F6B77"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Chen Y, Xu Z, Wang P, et al. New-onset autoimmune phenomena post-COVID-19 vaccination. Immunology. 2022;165(4):386-401. doi:10.1111/imm.13443</w:t>
      </w:r>
    </w:p>
  </w:endnote>
  <w:endnote w:id="270">
    <w:p w14:paraId="678B2AEF"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Rojas M, Restrepo-Jiménez P, Monsalve DM, et al. Molecular mimicry and autoimmunity. J Autoimmun. 2018;95:100-123. doi:10.1016/j.jaut.2018.10.012</w:t>
      </w:r>
    </w:p>
  </w:endnote>
  <w:endnote w:id="271">
    <w:p w14:paraId="60FAF1FB"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Camacho-Domínguez L, Rodríguez Y, Polo F, et al. COVID-19 vaccine and autoimmunity. A new case of autoimmune hepatitis and review of the literature. J Transl Autoimmun. 2022;5:100140. doi:10.1016/j.jtauto.2022.100140</w:t>
      </w:r>
    </w:p>
  </w:endnote>
  <w:endnote w:id="272">
    <w:p w14:paraId="16221E40"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Chen Y, Xu Z, Wang P, et al. New-onset autoimmune phenomena post-COVID-19 vaccination. Immunology. 2022;165(4):386-401. doi:10.1111/imm.13443</w:t>
      </w:r>
    </w:p>
  </w:endnote>
  <w:endnote w:id="273">
    <w:p w14:paraId="75AC4312" w14:textId="52FF8AEB" w:rsidR="00673B1E" w:rsidRPr="003E5BE6" w:rsidRDefault="00673B1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An H, Eun M, Yi J, Park J. CRESSP: a comprehensive pipeline for prediction of immunopathogenic SARS-CoV-2 epitopes using structural properties of proteins. Brief Bioinform. 2022;23(2):bbac056. doi:10.1093/bib/bbac056</w:t>
      </w:r>
    </w:p>
  </w:endnote>
  <w:endnote w:id="274">
    <w:p w14:paraId="35EF3E97" w14:textId="77777777" w:rsidR="00D367D9" w:rsidRPr="004D090B" w:rsidRDefault="00D367D9" w:rsidP="00D367D9">
      <w:pPr>
        <w:pStyle w:val="EndnoteText"/>
        <w:ind w:left="270" w:hanging="270"/>
        <w:jc w:val="left"/>
        <w:rPr>
          <w:rStyle w:val="EndnoteReference"/>
          <w:rFonts w:cs="Times New Roman"/>
          <w:sz w:val="20"/>
          <w:szCs w:val="20"/>
          <w:vertAlign w:val="baseline"/>
        </w:rPr>
      </w:pPr>
      <w:r w:rsidRPr="004D090B">
        <w:rPr>
          <w:rStyle w:val="EndnoteReference"/>
          <w:rFonts w:cs="Times New Roman"/>
          <w:sz w:val="20"/>
          <w:szCs w:val="20"/>
          <w:vertAlign w:val="baseline"/>
        </w:rPr>
        <w:endnoteRef/>
      </w:r>
      <w:r w:rsidRPr="004D090B">
        <w:rPr>
          <w:rStyle w:val="EndnoteReference"/>
          <w:rFonts w:cs="Times New Roman"/>
          <w:sz w:val="20"/>
          <w:szCs w:val="20"/>
          <w:vertAlign w:val="baseline"/>
        </w:rPr>
        <w:t xml:space="preserve"> A. Vojdani, &amp; D. Kharrazian. (2020). Potential Antigenic Cross-Reactivity Between SARS-CoV-2 and Human Tissue with a Possible Link to an Increase in Autoimmune Diseases. Clinical Immunology, 217: 108480. https://doi.org/10.1016/j.clim.2020.108480.</w:t>
      </w:r>
    </w:p>
  </w:endnote>
  <w:endnote w:id="275">
    <w:p w14:paraId="3640E951" w14:textId="77777777" w:rsidR="00D367D9" w:rsidRPr="004D090B" w:rsidRDefault="00D367D9" w:rsidP="00D367D9">
      <w:pPr>
        <w:pStyle w:val="EndnoteText"/>
        <w:ind w:left="270" w:hanging="270"/>
        <w:jc w:val="left"/>
        <w:rPr>
          <w:rStyle w:val="EndnoteReference"/>
          <w:rFonts w:cs="Times New Roman"/>
          <w:sz w:val="20"/>
          <w:szCs w:val="20"/>
          <w:vertAlign w:val="baseline"/>
        </w:rPr>
      </w:pPr>
      <w:r w:rsidRPr="004D090B">
        <w:rPr>
          <w:rStyle w:val="EndnoteReference"/>
          <w:rFonts w:cs="Times New Roman"/>
          <w:sz w:val="20"/>
          <w:szCs w:val="20"/>
          <w:vertAlign w:val="baseline"/>
        </w:rPr>
        <w:endnoteRef/>
      </w:r>
      <w:r w:rsidRPr="004D090B">
        <w:rPr>
          <w:rStyle w:val="EndnoteReference"/>
          <w:rFonts w:cs="Times New Roman"/>
          <w:sz w:val="20"/>
          <w:szCs w:val="20"/>
          <w:vertAlign w:val="baseline"/>
        </w:rPr>
        <w:t xml:space="preserve"> A. Vojdani, E. Vojdani, and D. Kharrazian. (2021). Reaction of Human Monoclonal Antibodies to SARS-CoV-2 Proteins with Tissue Antigens: Implications for Autoimmune Diseases. Frontiers in Immunology 11: 3679. https://doi.org/10.3389/fimmu.2020.617089.</w:t>
      </w:r>
    </w:p>
  </w:endnote>
  <w:endnote w:id="276">
    <w:p w14:paraId="7343A6AF" w14:textId="77777777" w:rsidR="00D367D9" w:rsidRPr="004D090B" w:rsidRDefault="00D367D9" w:rsidP="00D367D9">
      <w:pPr>
        <w:pStyle w:val="EndnoteText"/>
        <w:ind w:left="270" w:hanging="270"/>
        <w:jc w:val="left"/>
        <w:rPr>
          <w:rStyle w:val="EndnoteReference"/>
          <w:rFonts w:cs="Times New Roman"/>
          <w:sz w:val="20"/>
          <w:szCs w:val="20"/>
          <w:vertAlign w:val="baseline"/>
        </w:rPr>
      </w:pPr>
      <w:r w:rsidRPr="004D090B">
        <w:rPr>
          <w:rStyle w:val="EndnoteReference"/>
          <w:rFonts w:cs="Times New Roman"/>
          <w:sz w:val="20"/>
          <w:szCs w:val="20"/>
          <w:vertAlign w:val="baseline"/>
        </w:rPr>
        <w:endnoteRef/>
      </w:r>
      <w:r w:rsidRPr="004D090B">
        <w:rPr>
          <w:rStyle w:val="EndnoteReference"/>
          <w:rFonts w:cs="Times New Roman"/>
          <w:sz w:val="20"/>
          <w:szCs w:val="20"/>
          <w:vertAlign w:val="baseline"/>
        </w:rPr>
        <w:t xml:space="preserve"> Buonsenso, D., Riitano, F., &amp; Valentini, P. (2020). Pediatric Inflammatory Multisystem Syndrome Temporally Related with SARS-CoV-2: Immunological Similarities with Acute Rheumatic Fever and Toxic Shock Syndrome. Frontiers in Pediatrics 8: 574. https://doi.org/10.3389/fped.2020.00574.</w:t>
      </w:r>
    </w:p>
  </w:endnote>
  <w:endnote w:id="277">
    <w:p w14:paraId="055E74C0" w14:textId="77777777" w:rsidR="00D367D9" w:rsidRPr="004D090B" w:rsidRDefault="00D367D9" w:rsidP="00D367D9">
      <w:pPr>
        <w:pStyle w:val="EndnoteText"/>
        <w:ind w:left="270" w:hanging="270"/>
        <w:jc w:val="left"/>
        <w:rPr>
          <w:rStyle w:val="EndnoteReference"/>
          <w:rFonts w:cs="Times New Roman"/>
          <w:sz w:val="20"/>
          <w:szCs w:val="20"/>
          <w:vertAlign w:val="baseline"/>
        </w:rPr>
      </w:pPr>
      <w:r w:rsidRPr="004D090B">
        <w:rPr>
          <w:rStyle w:val="EndnoteReference"/>
          <w:rFonts w:cs="Times New Roman"/>
          <w:sz w:val="20"/>
          <w:szCs w:val="20"/>
          <w:vertAlign w:val="baseline"/>
        </w:rPr>
        <w:endnoteRef/>
      </w:r>
      <w:r w:rsidRPr="004D090B">
        <w:rPr>
          <w:rStyle w:val="EndnoteReference"/>
          <w:rFonts w:cs="Times New Roman"/>
          <w:sz w:val="20"/>
          <w:szCs w:val="20"/>
          <w:vertAlign w:val="baseline"/>
        </w:rPr>
        <w:t xml:space="preserve"> Ehrenfeld M, Tincani A, Andreoli L, et al. Covid-19 and autoimmunity. Autoimmun Rev. 2020;19(8):102597. doi:10.1016/j.autrev.2020.102597</w:t>
      </w:r>
    </w:p>
  </w:endnote>
  <w:endnote w:id="278">
    <w:p w14:paraId="13B18FE4"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Kanduc D, Shoenfeld Y. Molecular mimicry between SARS-CoV-2 spike glycoprotein and mammalian proteomes: implications for the vaccine. Immunol Res. 2020;68(5):310-313. doi:10.1007/s12026-020-09152-6</w:t>
      </w:r>
    </w:p>
  </w:endnote>
  <w:endnote w:id="279">
    <w:p w14:paraId="1DE9E2C4"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Lucchese G, Flöel A. SARS-CoV-2 and Guillain-Barré syndrome: molecular mimicry with human heat shock proteins as potential pathogenic mechanism. Cell Stress Chaperones. 2020;25(5):731-735. doi:10.1007/s12192-020-01145-6</w:t>
      </w:r>
    </w:p>
  </w:endnote>
  <w:endnote w:id="280">
    <w:p w14:paraId="30AD30E0" w14:textId="77777777" w:rsidR="00D367D9" w:rsidRPr="003E5BE6" w:rsidRDefault="00D367D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Teijaro JR, Farber DL. COVID-19 vaccines: modes of immune activation and future challenges. Nat Rev Immunol. 2021;21(4):195-197. doi:10.1038/s41577-021-00526-x</w:t>
      </w:r>
    </w:p>
  </w:endnote>
  <w:endnote w:id="281">
    <w:p w14:paraId="7F38D9A3" w14:textId="77777777" w:rsidR="00D367D9" w:rsidRPr="004D090B" w:rsidRDefault="00D367D9" w:rsidP="00D367D9">
      <w:pPr>
        <w:pStyle w:val="EndnoteText"/>
        <w:ind w:left="270" w:hanging="270"/>
        <w:jc w:val="left"/>
        <w:rPr>
          <w:rStyle w:val="EndnoteReference"/>
          <w:rFonts w:cs="Times New Roman"/>
          <w:sz w:val="20"/>
          <w:szCs w:val="20"/>
          <w:vertAlign w:val="baseline"/>
        </w:rPr>
      </w:pPr>
      <w:r w:rsidRPr="004D090B">
        <w:rPr>
          <w:rStyle w:val="EndnoteReference"/>
          <w:rFonts w:cs="Times New Roman"/>
          <w:sz w:val="20"/>
          <w:szCs w:val="20"/>
          <w:vertAlign w:val="baseline"/>
        </w:rPr>
        <w:endnoteRef/>
      </w:r>
      <w:r w:rsidRPr="004D090B">
        <w:rPr>
          <w:rStyle w:val="EndnoteReference"/>
          <w:rFonts w:cs="Times New Roman"/>
          <w:sz w:val="20"/>
          <w:szCs w:val="20"/>
          <w:vertAlign w:val="baseline"/>
        </w:rPr>
        <w:t xml:space="preserve"> S. Ndeupen, Z. Qin, S. Jacobsen, et al., The mRNA-LNP platform's lipid nanoparticle component used in preclinical vaccine studies is highly inflammatory, iScience, Volume 24, Issue 12, 2021, https://doi.org/10.1016/j.isci.2021.103479</w:t>
      </w:r>
    </w:p>
  </w:endnote>
  <w:endnote w:id="282">
    <w:p w14:paraId="1A8C087C" w14:textId="535096F8" w:rsidR="00673B1E" w:rsidRPr="003E5BE6" w:rsidRDefault="00673B1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Augusto DG, Hollenbach JA. HLA variation and antigen presentation in COVID-19 and SARS-CoV-2 infection. Curr Opin Immunol. 2022;76:102178. doi:10.1016/j.coi.2022.102178</w:t>
      </w:r>
    </w:p>
  </w:endnote>
  <w:endnote w:id="283">
    <w:p w14:paraId="0BF85380" w14:textId="50652230" w:rsidR="00673B1E" w:rsidRPr="003E5BE6" w:rsidRDefault="00673B1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Sahin U, Muik A, Vogler I, et al. BNT162b2 vaccine induces neutralizing antibodies and poly-specific T cells in humans. Nature. 2021;595(7868):572-577. doi:10.1038/s41586-021-03653-6</w:t>
      </w:r>
    </w:p>
  </w:endnote>
  <w:endnote w:id="284">
    <w:p w14:paraId="7E185839" w14:textId="751323B1" w:rsidR="00673B1E" w:rsidRPr="003E5BE6" w:rsidRDefault="00673B1E"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Wosen JE, Mukhopadhyay D, Macaubas C, Mellins ED. Epithelial MHC Class II Expression and Its Role in Antigen Presentation in the Gastrointestinal and Respiratory Tracts. Front Immunol. 2018;9:2144. Published 2018 Sep 25. doi:10.3389/fimmu.2018.02144</w:t>
      </w:r>
    </w:p>
  </w:endnote>
  <w:endnote w:id="285">
    <w:p w14:paraId="55D543CE" w14:textId="77777777" w:rsidR="00C274BC" w:rsidRPr="00FC3CE8" w:rsidRDefault="00C274BC" w:rsidP="00C274B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Boettler T, Csernalabics B, Salié H, et al. SARS-CoV-2 vaccination can elicit a CD8 T-cell dominant hepatitis [published online ahead of print, 2022 Apr 21]. J Hepatol. 2022;S0168-8278(22)00234-3. doi:10.1016/j.jhep.2022.03.040</w:t>
      </w:r>
    </w:p>
  </w:endnote>
  <w:endnote w:id="286">
    <w:p w14:paraId="139E9BC9" w14:textId="77777777" w:rsidR="00C23E7D" w:rsidRPr="00FC3CE8" w:rsidRDefault="00C23E7D" w:rsidP="00C23E7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Pr>
          <w:rStyle w:val="EndnoteReference"/>
          <w:rFonts w:cs="Times New Roman"/>
          <w:sz w:val="20"/>
          <w:szCs w:val="20"/>
          <w:vertAlign w:val="baseline"/>
        </w:rPr>
        <w:t xml:space="preserve">FOI disclosed: </w:t>
      </w:r>
      <w:r w:rsidRPr="0018133A">
        <w:rPr>
          <w:rStyle w:val="EndnoteReference"/>
          <w:rFonts w:cs="Times New Roman"/>
          <w:sz w:val="20"/>
          <w:szCs w:val="20"/>
          <w:vertAlign w:val="baseline"/>
        </w:rPr>
        <w:t>BNT162b2</w:t>
      </w:r>
      <w:r>
        <w:rPr>
          <w:rStyle w:val="EndnoteReference"/>
          <w:rFonts w:cs="Times New Roman"/>
          <w:sz w:val="20"/>
          <w:szCs w:val="20"/>
          <w:vertAlign w:val="baseline"/>
        </w:rPr>
        <w:t xml:space="preserve">, </w:t>
      </w:r>
      <w:r w:rsidRPr="0018133A">
        <w:rPr>
          <w:rStyle w:val="EndnoteReference"/>
          <w:rFonts w:cs="Times New Roman"/>
          <w:sz w:val="20"/>
          <w:szCs w:val="20"/>
          <w:vertAlign w:val="baseline"/>
        </w:rPr>
        <w:t>5.3.6 Cumulative Analysis of Post-authorization Adverse Event Reports</w:t>
      </w:r>
      <w:r>
        <w:rPr>
          <w:rStyle w:val="EndnoteReference"/>
          <w:rFonts w:cs="Times New Roman"/>
          <w:sz w:val="20"/>
          <w:szCs w:val="20"/>
          <w:vertAlign w:val="baseline"/>
        </w:rPr>
        <w:t xml:space="preserve">, </w:t>
      </w:r>
      <w:r w:rsidRPr="003F5A75">
        <w:rPr>
          <w:rStyle w:val="EndnoteReference"/>
          <w:rFonts w:cs="Times New Roman"/>
          <w:sz w:val="20"/>
          <w:szCs w:val="20"/>
          <w:vertAlign w:val="baseline"/>
        </w:rPr>
        <w:t xml:space="preserve">to 28/02/2021, </w:t>
      </w:r>
      <w:r w:rsidRPr="00FC3CE8">
        <w:rPr>
          <w:rStyle w:val="EndnoteReference"/>
          <w:rFonts w:cs="Times New Roman"/>
          <w:sz w:val="20"/>
          <w:szCs w:val="20"/>
          <w:vertAlign w:val="baseline"/>
        </w:rPr>
        <w:t>https://phmpt.org/wp-content/uploads/2022/04/reissue_5.3.6-postmarketing-experience.pdf</w:t>
      </w:r>
    </w:p>
  </w:endnote>
  <w:endnote w:id="287">
    <w:p w14:paraId="602E1EDA"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Seneff, S., &amp; Nigh, G. (2021). Worse Than the Disease? Reviewing Some Possible Unintended Consequences of the mRNA Vaccines Against COVID-19. International Journal of Vaccine Theory, Practice, and Research, 2(1), 38–79. https://www.ijvtpr.com/index.php/IJVTPR/article/view/23</w:t>
      </w:r>
    </w:p>
  </w:endnote>
  <w:endnote w:id="288">
    <w:p w14:paraId="6462723A"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King OD, Gitler AD, Shorter J. The tip of the iceberg: RNA-binding proteins with prion-like domains in neurodegenerative disease. Brain Res. 2012;1462:61-80. doi:10.1016/j.brainres.2012.01.016</w:t>
      </w:r>
    </w:p>
  </w:endnote>
  <w:endnote w:id="289">
    <w:p w14:paraId="2FC4FD87"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3E5BE6">
        <w:rPr>
          <w:rStyle w:val="EndnoteReference"/>
          <w:rFonts w:cs="Times New Roman"/>
          <w:sz w:val="20"/>
          <w:szCs w:val="20"/>
          <w:vertAlign w:val="baseline"/>
        </w:rPr>
        <w:t>T</w:t>
      </w:r>
      <w:r w:rsidRPr="00FC3CE8">
        <w:rPr>
          <w:rStyle w:val="EndnoteReference"/>
          <w:rFonts w:cs="Times New Roman"/>
          <w:sz w:val="20"/>
          <w:szCs w:val="20"/>
          <w:vertAlign w:val="baseline"/>
        </w:rPr>
        <w:t>avassoly, O., Safavi, F., and Tavassoly, I. (2020) Heparin-binding peptides as novel therapies to stop SARS-CoV-2 cellular entry and infection. Mol. Pharmacol. 98, 612−619</w:t>
      </w:r>
    </w:p>
  </w:endnote>
  <w:endnote w:id="290">
    <w:p w14:paraId="333EF172"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 Mycroft-West, D. Su, S. Elli, et al., The 2019 coronavirus (SARS-CoV-2) surface protein (Spike) S1 Receptor Binding Domain undergoes conformational change upon heparin binding, April 2020, https://doi.org/10.1101/2020.02.29.971093 (bioRxiv preprint)</w:t>
      </w:r>
    </w:p>
  </w:endnote>
  <w:endnote w:id="291">
    <w:p w14:paraId="1F8967D7" w14:textId="77777777" w:rsidR="0018133A" w:rsidRPr="00FC3CE8" w:rsidRDefault="0018133A" w:rsidP="0018133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Tetz, G.; Tetz, V. Prion-like Domains in Spike Protein of SARS-CoV-2 Differ across Its Variants and Enable Changes in Affinity to ACE2. Microorganisms 2022, 10, 280. https://doi.org/10.3390/microorganisms10020280</w:t>
      </w:r>
    </w:p>
  </w:endnote>
  <w:endnote w:id="292">
    <w:p w14:paraId="4113F27A" w14:textId="77777777" w:rsidR="0018133A" w:rsidRPr="00FC3CE8" w:rsidRDefault="0018133A" w:rsidP="0018133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Idrees D, Kumar V. SARS-CoV-2 spike protein interactions with amyloidogenic proteins: Potential clues to Neurodegeneration. Biochemical and Biophysical Re-search Com-munications. 2021; 554: 94-98. https://www.doi.org/10.1016/j.bbrc.2021.03.100.</w:t>
      </w:r>
    </w:p>
  </w:endnote>
  <w:endnote w:id="293">
    <w:p w14:paraId="354A02F2" w14:textId="77777777" w:rsidR="0018133A" w:rsidRPr="00FC3CE8" w:rsidRDefault="0018133A" w:rsidP="0018133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Tavassoly O, Safavi F, Tavassoly I. Seeding Brain Protein Aggregation by SARS-CoV-2 as a Possible Long-Term Complication of COVID-19 Infection. ACS Chem Neurosci. 2020;11(22):3704-3706. doi:10.1021/acschemneuro.0c00676</w:t>
      </w:r>
    </w:p>
  </w:endnote>
  <w:endnote w:id="294">
    <w:p w14:paraId="5FDBDAF3"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Seneff, S., &amp; Nigh, G. (2021). Worse Than the Disease? Reviewing Some Possible Unintended Consequences of the mRNA Vaccines Against COVID-19. International Journal of Vaccine Theory, Practice, and Research, 2(1), 38–79. https://www.ijvtpr.com/index.php/IJVTPR/article/view/23</w:t>
      </w:r>
    </w:p>
  </w:endnote>
  <w:endnote w:id="295">
    <w:p w14:paraId="106B94C4"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Decock, M, Stanga, S., Octave, J.-N., Dewachter, I., Smith, S. O., Constantinescu, S. N., and Kienlen-Campard, P. (2016). Glycines from the APP GXXXG/GXXXA Trans-membrane Motifs Promote Formation of Pathogenic A Oligomers in Cells. Frontiers in Aging Neuroscience 8: 107. https://doi.org/10.3389/fnagi.2016.00107.</w:t>
      </w:r>
    </w:p>
  </w:endnote>
  <w:endnote w:id="296">
    <w:p w14:paraId="0A36D9AE"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Park JW, Lagniton PNP, Liu Y, Xu RH. mRNA vaccines for COVID-19: what, why and how. Int J Biol Sci. 2021 Apr 10;17(6):1446-1460. doi: 10.7150/ijbs.59233. PMID: 33907508; PMCID: PMC8071766.</w:t>
      </w:r>
    </w:p>
  </w:endnote>
  <w:endnote w:id="297">
    <w:p w14:paraId="77736B10" w14:textId="77777777" w:rsidR="008C5936" w:rsidRPr="00FC3CE8" w:rsidRDefault="008C5936" w:rsidP="008C593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Pfizer-BioNTech COVID-19 Vaccine. VRBPAC Briefing Document: https://www.fda.gov/media/144246/download</w:t>
      </w:r>
    </w:p>
  </w:endnote>
  <w:endnote w:id="298">
    <w:p w14:paraId="217E2CD3" w14:textId="77777777" w:rsidR="008C5936" w:rsidRPr="00FC3CE8" w:rsidRDefault="008C5936" w:rsidP="008C593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Roundtree IA, Evans ME, Pan T, He C. Dynamic RNA Modifications in Gene Expression Regulation. Cell. 2017 Jun 15;169(7):1187-1200. doi: 10.1016/j.cell.2017.05.045. PMID: 28622506; PMCID: PMC5657247</w:t>
      </w:r>
    </w:p>
  </w:endnote>
  <w:endnote w:id="299">
    <w:p w14:paraId="24341D1F"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Classen JB. COVID-19 RNA Based Vaccines and the Risk of Prion Disease. Microbiol Infect Dis. 2021; 5(1): 1-3.</w:t>
      </w:r>
    </w:p>
  </w:endnote>
  <w:endnote w:id="300">
    <w:p w14:paraId="7E4DE52E"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King OD, Gitler AD, Shorter J. The tip of the iceberg: RNA-binding proteins with prion-like domains in neurodegenerative disease. Brain Res. 2012;1462:61-80. doi:10.1016/j.brainres.2012.01.016</w:t>
      </w:r>
    </w:p>
  </w:endnote>
  <w:endnote w:id="301">
    <w:p w14:paraId="6E4D5A3D"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King OD, Gitler AD, Shorter J. The tip of the iceberg: RNA-binding proteins with prion-like domains in neurodegenerative disease. Brain Res. 2012;1462:61-80. doi:10.1016/j.brainres.2012.01.016</w:t>
      </w:r>
    </w:p>
  </w:endnote>
  <w:endnote w:id="302">
    <w:p w14:paraId="288BB59F"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Brian S Appleby, MD, Daniel D Rhoads, MD, Karin Mente, MD, MS, Mark L Cohen, MD, A Practical Primer on Prion Pathology, Journal of Neuropathology &amp; Experimental Neurology, Volume 77, Issue 5, May 2018, Pages 346–352, https://doi.org/10.1093/jnen/nly019</w:t>
      </w:r>
    </w:p>
  </w:endnote>
  <w:endnote w:id="303">
    <w:p w14:paraId="12C35820"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Clavaguera F, Bolmont T, Crowther RA, et al. Transmission and spreading of tauopathy in transgenic mouse brain. Nat Cell Biol. 2009;11(7):909-913. doi:10.1038/ncb1901</w:t>
      </w:r>
    </w:p>
  </w:endnote>
  <w:endnote w:id="304">
    <w:p w14:paraId="6B18826A"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Meyer-Luehmann M, Coomaraswamy J, Bolmont T, et al. Exogenous induction of cerebral beta-amyloidogenesis is governed by agent and host. Science. 2006;313(5794):1781-1784. doi:10.1126/science.1131864</w:t>
      </w:r>
    </w:p>
  </w:endnote>
  <w:endnote w:id="305">
    <w:p w14:paraId="264FFE97"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Eisele YS, Obermüller U, Heilbronner G, et al. Peripherally applied Abeta-containing inoculates induce cerebral beta-amyloidosis. Science. 2010;330(6006):980-982. doi:10.1126/science.1194516</w:t>
      </w:r>
    </w:p>
  </w:endnote>
  <w:endnote w:id="306">
    <w:p w14:paraId="65E6B7DA" w14:textId="77777777" w:rsidR="00D73962" w:rsidRPr="00FC3CE8" w:rsidRDefault="00D73962" w:rsidP="00D7396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Desplats P, Lee HJ, Bae EJ, et al. Inclusion formation and neuronal cell death through neuron-to-neuron transmission of alpha-synuclein [published correction appears in Proc Natl Acad Sci U S A. 2009 Oct 13;106(41):17606]. Proc Natl Acad Sci U S A. 2009;106(31):13010-13015. doi:10.1073/pnas.0903691106</w:t>
      </w:r>
    </w:p>
  </w:endnote>
  <w:endnote w:id="307">
    <w:p w14:paraId="08B8A3CF"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Crenshaw, B. J., Gu, L., Sims, B., &amp; Matthews, Q. L. (2018). Exosome Biogenesis and Biological Function in Response to Viral Infections. The open virology journal, 12, 134–148. https://doi.org/10.2174/1874357901812010134.</w:t>
      </w:r>
    </w:p>
  </w:endnote>
  <w:endnote w:id="308">
    <w:p w14:paraId="2E70ED0E"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Chahar, H. S., Bao, X., &amp; Casola, A. (2015). Exosomes and Their Role in the Life Cycle and Pathogenesis of RNA Viruses. Viruses, 7(6), 3204–3225. https://doi.org/10.3390/v7062770</w:t>
      </w:r>
    </w:p>
  </w:endnote>
  <w:endnote w:id="309">
    <w:p w14:paraId="3D42F60C"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Lucchetti D, Santini G, Perelli L, Ricciardi-Tenore C, Colella F, Mores N, Macis G, Bush A, Sgambato A, Montuschi P. Detection and characterisation of extracellular vesicles in exhaled breath condensate and sputum of COPD and severe asthma patients. Eur Respir J. 2021 Aug 5;58(2):2003024. doi: 10.1183/13993003.03024-2020. PMID: 33795323.</w:t>
      </w:r>
    </w:p>
  </w:endnote>
  <w:endnote w:id="310">
    <w:p w14:paraId="4CE5FA88"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Boukouris, S., &amp; Mathivanan, S. (2015). Exosomes in bodily fluids are a highly stable resource of disease biomarkers. Proteomics. Clinical applications, 9(3-4), 358–367. https://doi.org/10.1002/prca.201400114.</w:t>
      </w:r>
    </w:p>
  </w:endnote>
  <w:endnote w:id="311">
    <w:p w14:paraId="2DC91AE2"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Simpson RJ, Lim JW, Moritz RL, Mathivanan S. Exosomes: proteomic insights and diagnostic potential. Expert Rev Proteomics. 2009 Jun;6(3):267-83. doi: 10.1586/epr.09.17. PMID: 19489699.</w:t>
      </w:r>
    </w:p>
  </w:endnote>
  <w:endnote w:id="312">
    <w:p w14:paraId="17192406" w14:textId="77777777" w:rsidR="00376F5A" w:rsidRPr="00FC3CE8" w:rsidRDefault="00376F5A" w:rsidP="00376F5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Phase 1/2/3 placebo-controlled, randomized, observer-blind dose-finding study to evaluate the safety, tolerability, immunogenicity, and efficacy of SARS-CoV-2 RNA vaccine candidates against Covid-19 in healthy individuals. PF-07302048 (BNT162 RNA-Based COVID-19 Vaccines), Protocol C4591001 https://media.tghn.org/medialibrary/2020/11/C4591001_Clinical_Protocol_Nov2020_Pfizer_BioNTech.pdf</w:t>
      </w:r>
    </w:p>
  </w:endnote>
  <w:endnote w:id="313">
    <w:p w14:paraId="0F1D19D2" w14:textId="77777777" w:rsidR="00172E4F" w:rsidRPr="00C66667" w:rsidRDefault="00172E4F" w:rsidP="00172E4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J. M. Mendonça-Gomes, I. Charlie-Silva, A. T. B. Guimarães, et al., Shedding light on toxicity of SARS-CoV-2 peptides in aquatic biota: A study involving neotropical mosquito larvae (Diptera: Culicidae), Environmental Pollution, Volume 289, 2021, https://doi.org/10.1016/j.envpol.2021.117818.</w:t>
      </w:r>
    </w:p>
  </w:endnote>
  <w:endnote w:id="314">
    <w:p w14:paraId="6A7438AC" w14:textId="77777777" w:rsidR="00172E4F" w:rsidRPr="00C66667" w:rsidRDefault="00172E4F" w:rsidP="00172E4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Bianca H. Ventura Fernandes, Natália Martins Feitosa, et al., Toxicity of spike fragments SARS-CoV-2 S protein for zebrafish: A tool to study its hazardous for human health? Science of The Total Environment, Volume 813, 2022, https://doi.org/10.1016/j.scitotenv.2021.152345.</w:t>
      </w:r>
    </w:p>
  </w:endnote>
  <w:endnote w:id="315">
    <w:p w14:paraId="07AEFED9" w14:textId="77777777" w:rsidR="00172E4F" w:rsidRPr="00C66667" w:rsidRDefault="00172E4F" w:rsidP="00172E4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Charlie-Silva I, Araújo APC, Guimarães ATB, et al., Toxicological insights of Spike fragments SARS-CoV-2 by exposure environment: A threat to aquatic health? J Hazard Mater. 2021 Oct 5;419:126463. doi: 10.1016/j.jhazmat.2021.126463. Epub 2021 Jun 25. PMID: 34216962; PMCID: PMC8226002.</w:t>
      </w:r>
    </w:p>
  </w:endnote>
  <w:endnote w:id="316">
    <w:p w14:paraId="72170C19"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https://www.fda.gov/media/151733/download</w:t>
      </w:r>
    </w:p>
  </w:endnote>
  <w:endnote w:id="317">
    <w:p w14:paraId="79380B3F"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https://www.ema.europa.eu/en/documents/assessment-report/comirnaty-epar-public-assessment-report_en.pdf</w:t>
      </w:r>
    </w:p>
  </w:endnote>
  <w:endnote w:id="318">
    <w:p w14:paraId="76146CF0"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https://www.tga.gov.au/sites/default/files/foi-2389-06.pdf</w:t>
      </w:r>
    </w:p>
  </w:endnote>
  <w:endnote w:id="319">
    <w:p w14:paraId="4D27FDFB" w14:textId="77777777" w:rsidR="0056594E" w:rsidRPr="00FC3CE8" w:rsidRDefault="0056594E" w:rsidP="0056594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Li W, Greenough TC, Moore MJ, Vasilieva N, Somasundaran M, Sullivan JL, Farzan M, Choe H. Efficient replication of severe acute respiratory syndrome coronavirus in mouse cells is limited by murine angiotensin-converting enzyme 2. J Virol. 2004 Oct;78(20):11429-33. doi: 10.1128/JVI.78.20.11429-11433.2004. PMID: 15452268; PMCID: PMC521845.</w:t>
      </w:r>
    </w:p>
  </w:endnote>
  <w:endnote w:id="320">
    <w:p w14:paraId="12475563" w14:textId="77777777" w:rsidR="0056594E" w:rsidRPr="00FC3CE8" w:rsidRDefault="0056594E" w:rsidP="0056594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Li W, Wong SK, Li F, et al. Animal origins of the severe acute respiratory syndrome coronavirus: insight from ACE2-S-protein interactions. J Virol. 2006;80(9):4211-4219. doi:10.1128/JVI.80.9.4211-4219.2006</w:t>
      </w:r>
    </w:p>
  </w:endnote>
  <w:endnote w:id="321">
    <w:p w14:paraId="4B53AF55" w14:textId="77777777" w:rsidR="00066B2E" w:rsidRPr="00FC3CE8" w:rsidRDefault="00066B2E" w:rsidP="00066B2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McCray PB Jr, Pewe L, Wohlford-Lenane C, et al. Lethal infection of K18-hACE2 mice infected with severe acute respiratory syndrome coronavirus. J Virol. 2007;81(2):813-821. doi:10.1128/JVI.02012-06</w:t>
      </w:r>
    </w:p>
  </w:endnote>
  <w:endnote w:id="322">
    <w:p w14:paraId="647A3029" w14:textId="77777777" w:rsidR="00066B2E" w:rsidRPr="00FC3CE8" w:rsidRDefault="00066B2E" w:rsidP="00066B2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Sun SH, Chen Q, Gu HJ, et al. A Mouse Model of SARS-CoV-2 Infection and Pathogenesis. Cell Host Microbe. 2020;28(1):124-133.e4. doi:10.1016/j.chom.2020.05.020</w:t>
      </w:r>
    </w:p>
  </w:endnote>
  <w:endnote w:id="323">
    <w:p w14:paraId="3E967E65" w14:textId="77777777" w:rsidR="00066B2E" w:rsidRPr="00FC3CE8" w:rsidRDefault="00066B2E" w:rsidP="00066B2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 Y, Shang J, Graham R, Baric RS, Li F. Receptor Recognition by the Novel Coronavirus from Wuhan: an Analysis Based on Decade-Long Structural Studies of SARS Coronavirus. J Virol. 2020;94(7):e00127-20. Published 2020 Mar 17. doi:10.1128/JVI.00127-20</w:t>
      </w:r>
    </w:p>
  </w:endnote>
  <w:endnote w:id="324">
    <w:p w14:paraId="2E7BB8F1" w14:textId="77777777" w:rsidR="00066B2E" w:rsidRPr="00FC3CE8" w:rsidRDefault="00066B2E" w:rsidP="00066B2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Albrecht L, Bishop E, Jay B, Lafoux B, Minoves M, Passaes C. COVID-19 Research: Lessons from Non-Human Primate Models. Vaccines (Basel). 2021;9(8):886. Published 2021 Aug 10. doi:10.3390/vaccines9080886</w:t>
      </w:r>
    </w:p>
  </w:endnote>
  <w:endnote w:id="325">
    <w:p w14:paraId="7BB8CBB2" w14:textId="77777777" w:rsidR="0056594E" w:rsidRPr="00FC3CE8" w:rsidRDefault="0056594E" w:rsidP="0056594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Li C, Chen Y, Zhao Y, et al., Intravenous injection of COVID-19 mRNA vaccine can induce acute myopericarditis in mouse model. Clin Infect Dis. 2021 Aug 18:ciab707. doi: 10.1093/cid/ciab707. Epub ahead of print. Erratum in: Clin Infect Dis. 2021 Dec 16;73(12):2372-2373. PMID: 34406358; PMCID: PMC8436386.</w:t>
      </w:r>
    </w:p>
  </w:endnote>
  <w:endnote w:id="326">
    <w:p w14:paraId="3137DBF2" w14:textId="77777777" w:rsidR="0056594E" w:rsidRPr="00FC3CE8" w:rsidRDefault="0056594E" w:rsidP="0056594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Sedic, M. et al. (2018). Safety Evaluation of Lipid Nanoparticle-Formulated Modified mRNA in the Sprague-Dawley Rat and Cynomolgus Monkey. Veterinary pathology, 55(2), 341–354. https://doi.org/10.1177/0300985817738095</w:t>
      </w:r>
    </w:p>
  </w:endnote>
  <w:endnote w:id="327">
    <w:p w14:paraId="234A02C8" w14:textId="77777777" w:rsidR="00312C58" w:rsidRPr="00FC3CE8" w:rsidRDefault="00312C58" w:rsidP="00312C5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https://www.tga.gov.au/sites/default/files/foi-2389-06.pdf</w:t>
      </w:r>
    </w:p>
  </w:endnote>
  <w:endnote w:id="328">
    <w:p w14:paraId="0667BF1B" w14:textId="4E4A08F0" w:rsidR="00C51FB4" w:rsidRPr="00FC3CE8" w:rsidRDefault="00C51FB4" w:rsidP="00C51FB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00EC5238" w:rsidRPr="00FC3CE8">
        <w:rPr>
          <w:rStyle w:val="EndnoteReference"/>
          <w:rFonts w:cs="Times New Roman"/>
          <w:sz w:val="20"/>
          <w:szCs w:val="20"/>
          <w:vertAlign w:val="baseline"/>
        </w:rPr>
        <w:t>S. Ndeupen, Z. Qin, S. Jacobsen, et al., The mRNA-LNP platform's lipid nanoparticle component used in preclinical vaccine studies is highly inflammatory, iScience, Volume 24, Issue 12, 2021, https://doi.org/10.1016/j.isci.2021.103479</w:t>
      </w:r>
    </w:p>
  </w:endnote>
  <w:endnote w:id="329">
    <w:p w14:paraId="2384BBB7" w14:textId="77777777" w:rsidR="001F5407" w:rsidRPr="00FC3CE8" w:rsidRDefault="001F5407" w:rsidP="001F5407">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Lyons-Weiler, J. (2020). Pathogenic Priming Likely Contributes to Serious and Critical Illness and Mortality in COVID- 19 via Autoimmunity. Journal of Translational Autoimmunity 3: 100051. https://doi.org/10.1016/j.jtauto.2020.100051.</w:t>
      </w:r>
    </w:p>
  </w:endnote>
  <w:endnote w:id="330">
    <w:p w14:paraId="2D180DD8" w14:textId="77777777" w:rsidR="002414F7" w:rsidRPr="003E5BE6" w:rsidRDefault="002414F7" w:rsidP="002414F7">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 Sattar, J. Kabat, K. Jerome, et al., Nuclear translocation of spike mRNA and protein is a novel pathogenic feature of SARS-CoV-2, bioRxiv 2022.09.27.509633; doi: https://doi.org/10.1101/2022.09.27.509633</w:t>
      </w:r>
    </w:p>
  </w:endnote>
  <w:endnote w:id="331">
    <w:p w14:paraId="1284A500" w14:textId="77777777" w:rsidR="00C55C01" w:rsidRPr="00FC3CE8" w:rsidRDefault="00C55C01" w:rsidP="00C55C0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Aldén M, Olofsson Falla F, Yang D, Barghouth M, Luan C, Rasmussen M, De Marinis Y. Intracellular Reverse Transcription of Pfizer BioNTech COVID-19 mRNA Vaccine BNT162b2 In Vitro in Human Liver Cell Line. Current Issues in Molecular Biology. 2022; 44(3):1115-1126. https://doi.org/10.3390/cimb44030073</w:t>
      </w:r>
    </w:p>
  </w:endnote>
  <w:endnote w:id="332">
    <w:p w14:paraId="05BAB8EF" w14:textId="77777777" w:rsidR="00C55C01" w:rsidRPr="00FC3CE8" w:rsidRDefault="00C55C01" w:rsidP="00C55C0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Zhang L, Richards A, Barrasa MI, et al., Reverse-transcribed SARS-CoV-2 RNA can integrate into the genome of cultured human cells and can be expressed in patient-derived tissues. Proc Natl Acad Sci U S A. 2021 May 25;118(21):e2105968118. doi: 10.1073/pnas.2105968118. PMID: 33958444; PMCID: PMC8166107</w:t>
      </w:r>
    </w:p>
  </w:endnote>
  <w:endnote w:id="333">
    <w:p w14:paraId="26805175" w14:textId="77777777" w:rsidR="00C55C01" w:rsidRPr="00FC3CE8" w:rsidRDefault="00C55C01" w:rsidP="00C55C0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Seneff, S., &amp; Nigh, G. (2021). Worse Than the Disease? Reviewing Some Possible Unintended Consequences of the mRNA Vaccines Against COVID-19. International Journal of Vaccine Theory, Practice, and Research, 2(1), 38–79. https://www.ijvtpr.com/index.php/IJVTPR/article/view/23</w:t>
      </w:r>
    </w:p>
  </w:endnote>
  <w:endnote w:id="334">
    <w:p w14:paraId="36CC31CA" w14:textId="77777777" w:rsidR="00C55C01" w:rsidRPr="00FC3CE8" w:rsidRDefault="00C55C01" w:rsidP="00C55C01">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Pittoggi, C., Beraldi, R., Sciamanna, I., et al., (2006), Generation of biologically active retro-genes upon interaction of mouse spermatozoa with exogenous DNA. Mol. Reprod. Dev., 73: 1239-1246. https://doi.org/10.1002/mrd.20550</w:t>
      </w:r>
    </w:p>
  </w:endnote>
  <w:endnote w:id="335">
    <w:p w14:paraId="79DFC657" w14:textId="77777777" w:rsidR="0019232F" w:rsidRPr="00FC3CE8" w:rsidRDefault="0019232F" w:rsidP="0019232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 P. Polack, S. J. Thomas, N. Kitchin, et al., Safety and Efficacy of the Comirnaty mRNA Covid-19 Vaccine. December 31, 2020, N Engl J Med 2020; 383:2603-2615, DOI: 10.1056/NEJMoa2034577.</w:t>
      </w:r>
    </w:p>
  </w:endnote>
  <w:endnote w:id="336">
    <w:p w14:paraId="2B391DE6"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Peter Doshi: Pfizer and Moderna’s “95% effective” vaccines—we need more details and the raw data. https://blogs.bmj.com/bmj/2021/01/04/peter-doshi-pfizer-and-modernas-95-effective-vaccines-we-need-more-details-and-the-raw-data/</w:t>
      </w:r>
    </w:p>
  </w:endnote>
  <w:endnote w:id="337">
    <w:p w14:paraId="2CFB92AF" w14:textId="77777777" w:rsidR="004C316F" w:rsidRPr="00FC3CE8" w:rsidRDefault="004C316F" w:rsidP="004C316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https://www.fda.gov/media/144245/download</w:t>
      </w:r>
    </w:p>
  </w:endnote>
  <w:endnote w:id="338">
    <w:p w14:paraId="14AE566A" w14:textId="6C6A2048"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Emergency Use Authorization for Vaccines to Prevent COVID-19, Guidance for Industry October 2020. U.S. Department of Health and Human Services Food and Drug Administration Center for Biologics Evaluation and Research. https://www.fdanews.com/ext/resources/files/2020/10-06-20-EUAVaccinesPreventCOVID19.pdf?1602013725.</w:t>
      </w:r>
    </w:p>
  </w:endnote>
  <w:endnote w:id="339">
    <w:p w14:paraId="3504BD81" w14:textId="77777777" w:rsidR="00A77260" w:rsidRPr="00FC3CE8" w:rsidRDefault="00A77260" w:rsidP="00A77260">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 P. Polack, S. J. Thomas, N. Kitchin, et al., Safety and Efficacy of the Comirnaty mRNA Covid-19 Vaccine. December 31, 2020, N Engl J Med 2020; 383:2603-2615, DOI: 10.1056/NEJMoa2034577.</w:t>
      </w:r>
    </w:p>
  </w:endnote>
  <w:endnote w:id="340">
    <w:p w14:paraId="3351A21D"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https://healthimpactnews.com/wp-content/uploads/sites/2/2020/12/Wodarg_Yeadon_EMA_Petition_Pfizer_Trial_FINAL_01DEC2020_EN_unsigned_with_Exhibits.pdf</w:t>
      </w:r>
    </w:p>
  </w:endnote>
  <w:endnote w:id="341">
    <w:p w14:paraId="78B980F2"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Corman VM, Landt O, Kaiser M, et al. Detection of 2019 novel coronavirus (2019-nCoV) by real-time RT-PCR [published correction appears in Euro Surveill. 2020 Apr;25(14):] [published correction appears in Euro Surveill. 2020 Jul;25(30):] [published correction appears in Euro Surveill. 2021 Feb;26(5):]. Euro Surveill. 2020;25(3):2000045. doi:10.2807/1560-7917.ES.2020.25.3.2000045</w:t>
      </w:r>
    </w:p>
  </w:endnote>
  <w:endnote w:id="342">
    <w:p w14:paraId="0D9082EB" w14:textId="07DD5AA8" w:rsidR="00FD2CF3" w:rsidRPr="00FC3CE8" w:rsidRDefault="00FD2CF3" w:rsidP="00FD2CF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https://www.who.int/docs/default-source/coronaviruse/protocol-v2-1.pdf?sfvrsn=a9ef618c_2</w:t>
      </w:r>
    </w:p>
  </w:endnote>
  <w:endnote w:id="343">
    <w:p w14:paraId="6ABA0D9D" w14:textId="77777777" w:rsidR="00A557D8" w:rsidRPr="00FC3CE8" w:rsidRDefault="00A557D8" w:rsidP="00A557D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https://cormandrostenreview.com/retraction-request-letter-to-eurosurveillance-editorial-board/</w:t>
      </w:r>
    </w:p>
  </w:endnote>
  <w:endnote w:id="344">
    <w:p w14:paraId="33B180F8" w14:textId="77777777" w:rsidR="00A557D8" w:rsidRPr="00FC3CE8" w:rsidRDefault="00A557D8" w:rsidP="00A557D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https://cormandrostenreview.com/report/</w:t>
      </w:r>
    </w:p>
  </w:endnote>
  <w:endnote w:id="345">
    <w:p w14:paraId="43F7D096" w14:textId="77777777" w:rsidR="00CC5705" w:rsidRPr="00FC3CE8" w:rsidRDefault="00CC5705" w:rsidP="00CC570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Corman VM, Landt O, Kaiser M, et al. Detection of 2019 novel coronavirus (2019-nCoV) by real-time RT-PCR [published correction appears in Euro Surveill. 2020 Apr;25(14):] [published correction appears in Euro Surveill. 2020 Jul;25(30):] [published correction appears in Euro Surveill. 2021 Feb;26(5):]. Euro Surveill. 2020;25(3):2000045. doi:10.2807/1560-7917.ES.2020.25.3.2000045</w:t>
      </w:r>
    </w:p>
  </w:endnote>
  <w:endnote w:id="346">
    <w:p w14:paraId="1509D37A" w14:textId="77777777" w:rsidR="00CC5705" w:rsidRPr="00FC3CE8" w:rsidRDefault="00CC5705" w:rsidP="00CC570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https://cormandrostenreview.com/report/</w:t>
      </w:r>
    </w:p>
  </w:endnote>
  <w:endnote w:id="347">
    <w:p w14:paraId="1D2E98BD" w14:textId="77777777" w:rsidR="00DC25DE" w:rsidRPr="00FC3CE8" w:rsidRDefault="00DC25DE" w:rsidP="00DC25D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https://cormandrostenreview.com/report/</w:t>
      </w:r>
    </w:p>
  </w:endnote>
  <w:endnote w:id="348">
    <w:p w14:paraId="55B13929" w14:textId="77777777" w:rsidR="00FB146F" w:rsidRPr="00FC3CE8" w:rsidRDefault="00FB146F" w:rsidP="00FB146F">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 Jaafar, S. Aherfi, N. Wurtz, et al., Correlation Between 3790 Quantitative Polymerase Chain Reaction–Positives Samples and Positive Cell Cultures, Including 1941 Severe Acute Respiratory Syndrome Coronavirus 2 Isolates, Clinical Infectious Diseases, Volume 72, Issue 11, 1 June 2021, Page e921, https://doi.org/10.1093/cid/ciaa1491</w:t>
      </w:r>
    </w:p>
  </w:endnote>
  <w:endnote w:id="349">
    <w:p w14:paraId="54E19741" w14:textId="6A46558B" w:rsidR="001F4A46" w:rsidRPr="00FC3CE8" w:rsidRDefault="001F4A46" w:rsidP="00FC3CE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Jefferson, T., Spencer, E. A., Brassey, J., &amp; Heneghan, C. (2021). Viral Cultures for Coronavirus Disease 2019 Infectivity Assessment: A Systematic Review. Clinical infectious diseases: an official publication of the Infectious Diseases Society of America, 73(11), e3884–e3899. https://doi.org/10.1093/cid/ciaa1764</w:t>
      </w:r>
    </w:p>
  </w:endnote>
  <w:endnote w:id="350">
    <w:p w14:paraId="6C138527" w14:textId="77777777" w:rsidR="00DD4755" w:rsidRPr="00C66667" w:rsidRDefault="00DD4755" w:rsidP="00DD4755">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https://www.reuters.com/article/us-healthcare-coronavirus-who-idUSKBN2132S4</w:t>
      </w:r>
    </w:p>
  </w:endnote>
  <w:endnote w:id="351">
    <w:p w14:paraId="0C4F6D00" w14:textId="77777777" w:rsidR="0025621B" w:rsidRPr="00FC3CE8" w:rsidRDefault="0025621B" w:rsidP="0025621B">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https://www.who.int/news/item/20-01-2021-who-information-notice-for-ivd-users-2020-05.</w:t>
      </w:r>
    </w:p>
  </w:endnote>
  <w:endnote w:id="352">
    <w:p w14:paraId="19674277" w14:textId="597BEAB2" w:rsidR="00694816" w:rsidRPr="00FC3CE8" w:rsidRDefault="00694816" w:rsidP="00FC3CE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hyperlink r:id="rId1" w:history="1">
        <w:r w:rsidRPr="00FC3CE8">
          <w:rPr>
            <w:rStyle w:val="EndnoteReference"/>
            <w:rFonts w:cs="Times New Roman"/>
            <w:sz w:val="20"/>
            <w:szCs w:val="20"/>
            <w:vertAlign w:val="baseline"/>
          </w:rPr>
          <w:t>https://fyi.org.nz/request/16428-pcr-cycle-threshold-of-covid-cases</w:t>
        </w:r>
      </w:hyperlink>
      <w:r w:rsidRPr="00FC3CE8">
        <w:rPr>
          <w:rStyle w:val="EndnoteReference"/>
          <w:rFonts w:cs="Times New Roman"/>
          <w:sz w:val="20"/>
          <w:szCs w:val="20"/>
          <w:vertAlign w:val="baseline"/>
        </w:rPr>
        <w:t xml:space="preserve">, </w:t>
      </w:r>
      <w:hyperlink r:id="rId2" w:history="1">
        <w:r w:rsidRPr="00FC3CE8">
          <w:rPr>
            <w:rStyle w:val="EndnoteReference"/>
            <w:rFonts w:cs="Times New Roman"/>
            <w:sz w:val="20"/>
            <w:szCs w:val="20"/>
            <w:vertAlign w:val="baseline"/>
          </w:rPr>
          <w:t>https://fyi.org.nz/request/16430-pcr-cycle-threshold-facts</w:t>
        </w:r>
      </w:hyperlink>
      <w:r w:rsidRPr="00FC3CE8">
        <w:rPr>
          <w:rStyle w:val="EndnoteReference"/>
          <w:rFonts w:cs="Times New Roman"/>
          <w:sz w:val="20"/>
          <w:szCs w:val="20"/>
          <w:vertAlign w:val="baseline"/>
        </w:rPr>
        <w:t xml:space="preserve">, </w:t>
      </w:r>
      <w:r w:rsidR="0018105A" w:rsidRPr="00FC3CE8">
        <w:rPr>
          <w:rStyle w:val="EndnoteReference"/>
          <w:rFonts w:cs="Times New Roman"/>
          <w:sz w:val="20"/>
          <w:szCs w:val="20"/>
          <w:vertAlign w:val="baseline"/>
        </w:rPr>
        <w:t>BOTH referring to https://www.health.govt.nz/system/files/documents/information-release/h202100070_26_jan_2021_covid-19_cycle_threshold_value_for_pcr_testing_0.pdf</w:t>
      </w:r>
    </w:p>
  </w:endnote>
  <w:endnote w:id="353">
    <w:p w14:paraId="0E285B62" w14:textId="77777777" w:rsidR="00B50310" w:rsidRPr="00FC3CE8" w:rsidRDefault="00B50310" w:rsidP="00B50310">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https://fyi.org.nz/request/14250/response/54374/attach/html/7/OIA%20Response%20Andre%2012.02.21.pdf.html</w:t>
      </w:r>
    </w:p>
  </w:endnote>
  <w:endnote w:id="354">
    <w:p w14:paraId="4DD03FF9" w14:textId="5F6776EF" w:rsidR="008B4654" w:rsidRPr="00FC3CE8" w:rsidRDefault="008B4654" w:rsidP="00FC3CE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https://thespinoff.co.nz/society/03-12-2021/aucklands-almost-four-month-lockdown-in-numbers</w:t>
      </w:r>
    </w:p>
  </w:endnote>
  <w:endnote w:id="355">
    <w:p w14:paraId="0349BF67" w14:textId="5204B04F"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Classen B. US COVID-19 Vaccines Proven to Cause More Harm than Good Based on Pivotal Clinical Trial Data Analyzed</w:t>
      </w:r>
      <w:r w:rsidRPr="00FC3CE8">
        <w:rPr>
          <w:rStyle w:val="EndnoteReference"/>
          <w:rFonts w:cs="Times New Roman"/>
          <w:sz w:val="20"/>
          <w:szCs w:val="20"/>
          <w:vertAlign w:val="baseline"/>
        </w:rPr>
        <w:br/>
        <w:t>Using the Proper Scientific Endpoint, “All Cause Severe Morbidity”. Trends Int Med. 2021; 1(1): 1-6.</w:t>
      </w:r>
    </w:p>
  </w:endnote>
  <w:endnote w:id="356">
    <w:p w14:paraId="2788ADFA" w14:textId="77777777" w:rsidR="00EA331D" w:rsidRPr="00FC3CE8" w:rsidRDefault="00EA331D" w:rsidP="00EA33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Supplement to: Thomas SJ, Moreira ED Jr, Kitchin N, et al. Safety and efficacy of the Comirnaty mRNA Covid-19 vaccine through 6 months. N Engl J Med 2021;385:1761-73. DOI: 10.1056/NEJMoa2110345.</w:t>
      </w:r>
    </w:p>
  </w:endnote>
  <w:endnote w:id="357">
    <w:p w14:paraId="41872790" w14:textId="77777777" w:rsidR="00EA331D" w:rsidRPr="00FC3CE8" w:rsidRDefault="00EA331D" w:rsidP="00EA331D">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https://static1.squarespace.com/static/617d909092cd2314e37ebe67/t/61cd2981c928c169030d37d6/1640835524685/The-COVID-19-Inoculations-More-Harm-Than-Good-REV-Dec-16-2021.pdf</w:t>
      </w:r>
    </w:p>
  </w:endnote>
  <w:endnote w:id="358">
    <w:p w14:paraId="6733FA3E" w14:textId="77777777" w:rsidR="001F45A9" w:rsidRPr="00FC3CE8" w:rsidRDefault="001F45A9" w:rsidP="001F45A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R. N. Kostoff, D. Calina, D. Kanduc, et al., Why are we vaccinating children against COVID-19?, Toxicology Reports, Volume 8, 2021, https://doi.org/10.1016/j.toxrep.2021.08.010.</w:t>
      </w:r>
    </w:p>
  </w:endnote>
  <w:endnote w:id="359">
    <w:p w14:paraId="08EA006E" w14:textId="77777777" w:rsidR="00AA7E9E" w:rsidRPr="00FC3CE8" w:rsidRDefault="00AA7E9E" w:rsidP="00AA7E9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Cardozo, T. and Veazey, R. (2021), Informed consent disclosure to vaccine trial subjects of risk of COVID-19 vaccines worsening clinical disease. Int J Clin Pract, 75: e13795. https://doi.org/10.1111/ijcp.13795</w:t>
      </w:r>
    </w:p>
  </w:endnote>
  <w:endnote w:id="360">
    <w:p w14:paraId="0E520F2D" w14:textId="441912A3"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https://static1.squarespace.com/static/617d909092cd2314e37ebe67/t/61cd2981c928c169030d37d6/1640835524685/The-COVID-19-Inoculations-More-Harm-Than-Good-REV-Dec-16-2021.pdf</w:t>
      </w:r>
    </w:p>
  </w:endnote>
  <w:endnote w:id="361">
    <w:p w14:paraId="7C04E9C3" w14:textId="77777777" w:rsidR="00C42CC8" w:rsidRPr="00FC3CE8" w:rsidRDefault="00C42CC8" w:rsidP="00C42CC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https://healthimpactnews.com/wp-content/uploads/sites/2/2020/12/Wodarg_Yeadon_EMA_Petition_Pfizer_Trial_FINAL_01DEC2020_EN_unsigned_with_Exhibits.pdf</w:t>
      </w:r>
    </w:p>
  </w:endnote>
  <w:endnote w:id="362">
    <w:p w14:paraId="6330DA95" w14:textId="699566D0"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https://www.cdc.gov/nchs/nvss/vsrr/Covid_weekly/index.htm?fbclid=IwAR3-wrg3tTKK5-9tOHPGAHWFVO3DfslkJ0KsDEPQpWmPbKtp6EsoVV2Qs1Q#Comorbidities</w:t>
      </w:r>
    </w:p>
  </w:endnote>
  <w:endnote w:id="363">
    <w:p w14:paraId="4805BDFD" w14:textId="54B74B6F"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COVID-19 Deaths per capita by age in the United States (05/06/2021). Population-based on U.S. CDC Wonder Bridge-Race Population Estimate 2019. Data obtained from https://wonder.cdc.gov/bridged-race-v2019.html</w:t>
      </w:r>
    </w:p>
  </w:endnote>
  <w:endnote w:id="364">
    <w:p w14:paraId="1BCDCB42" w14:textId="77777777"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Pfizer Trial Demographics: https://labeling.pfizer.com/ShowLabeling.aspx?id=14471</w:t>
      </w:r>
    </w:p>
  </w:endnote>
  <w:endnote w:id="365">
    <w:p w14:paraId="40FB51F5" w14:textId="23F803B6" w:rsidR="00275223" w:rsidRPr="00FC3CE8" w:rsidRDefault="00275223" w:rsidP="00A30DB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F. P. Polack, S. J. Thomas, N. Kitchin, et al., Safety and Efficacy of the Comirnaty mRNA Covid-19 Vaccine. December 31, 2020, N Engl J Med 2020; 383:2603-2615, DOI: 10.1056/NEJMoa2034577.</w:t>
      </w:r>
    </w:p>
  </w:endnote>
  <w:endnote w:id="366">
    <w:p w14:paraId="19BFB08C" w14:textId="77777777" w:rsidR="00814ACA" w:rsidRPr="00FC3CE8" w:rsidRDefault="00814ACA" w:rsidP="00814AC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The origins of the Covid19 global pandemic, including the roles of the Chinese Communist Party and the World Health Organization. House Foreign Affairs Committee Minority Staff Report. 116th Congress. https://gop-foreignaffairs.house.gov/wp-content/uploads/2020/09/Final-Minority-Report-on-the-Origins-of-the-COVID-19-Global-Pandemic-Including-the-Roles-of-the-CCP-and-WHO-9.20.20-Coverpage.pdf</w:t>
      </w:r>
    </w:p>
  </w:endnote>
  <w:endnote w:id="367">
    <w:p w14:paraId="4899AE44" w14:textId="2E9C01D9" w:rsidR="00814ACA" w:rsidRPr="00FC3CE8" w:rsidRDefault="00814ACA" w:rsidP="00814AC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The origins of </w:t>
      </w:r>
      <w:r w:rsidR="00E7316E" w:rsidRPr="00157D75">
        <w:rPr>
          <w:rStyle w:val="EndnoteReference"/>
          <w:rFonts w:cs="Times New Roman"/>
          <w:sz w:val="20"/>
          <w:szCs w:val="20"/>
          <w:vertAlign w:val="baseline"/>
        </w:rPr>
        <w:t>COVID-19</w:t>
      </w:r>
      <w:r w:rsidRPr="00FC3CE8">
        <w:rPr>
          <w:rStyle w:val="EndnoteReference"/>
          <w:rFonts w:cs="Times New Roman"/>
          <w:sz w:val="20"/>
          <w:szCs w:val="20"/>
          <w:vertAlign w:val="baseline"/>
        </w:rPr>
        <w:t>: an investigation of the Wuhan Institute of Virology. House Foreign Affairs Committee Report Minority staff. August 2021. https://www.flemingmethod.com/_files/ugd/659775_41d26d62519a4153a85a34608558f5cc.pdf</w:t>
      </w:r>
    </w:p>
  </w:endnote>
  <w:endnote w:id="368">
    <w:p w14:paraId="4ABF3EAB" w14:textId="77777777" w:rsidR="00814ACA" w:rsidRPr="00FC3CE8" w:rsidRDefault="00814ACA" w:rsidP="00814AC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https://usrtk.org/biohazards/origin-of-sars-cov-2-gain-of-function-readings/</w:t>
      </w:r>
    </w:p>
  </w:endnote>
  <w:endnote w:id="369">
    <w:p w14:paraId="31B1B278"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https://www.niaid.nih.gov/diseases-conditions/coronavirus-bat-research</w:t>
      </w:r>
    </w:p>
  </w:endnote>
  <w:endnote w:id="370">
    <w:p w14:paraId="09187E76"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Boni, M.F., Lemey, P., Jiang, X. et al. Evolutionary origins of the SARS-CoV-2 sarbecovirus lineage responsible for the COVID-19 pandemic. Nat Microbiol 5, 1408–1417 (2020). https://doi.org/10.1038/s41564-020-0771-4</w:t>
      </w:r>
    </w:p>
  </w:endnote>
  <w:endnote w:id="371">
    <w:p w14:paraId="0BB838A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 C. Holmes, S. A. Goldstein, A. L. Rasmussen. The origins of SARS-CoV-2: A critical review. Cell 184, September 16, 2021, https://doi.org/10.1016/j.cell.2021.08.017</w:t>
      </w:r>
    </w:p>
  </w:endnote>
  <w:endnote w:id="372">
    <w:p w14:paraId="35632D73"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Lam TT, Jia N, Zhang YW, et al. Identifying SARS-CoV-2-related coronaviruses in Malayan pangolins. Nature. 2020;583(7815):282-285. doi:10.1038/s41586-020-2169-0</w:t>
      </w:r>
    </w:p>
  </w:endnote>
  <w:endnote w:id="373">
    <w:p w14:paraId="38D35E22"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Piplani, S., et. al. “In silico comparison of SARS-CoV-2 spike protein-ACE2 binding affinities across species and implications for virus origin.” Scientific Reports, 24 June 2021, 11(13063) https://www.nature.com/articles/s41598-021-92388-5</w:t>
      </w:r>
    </w:p>
  </w:endnote>
  <w:endnote w:id="374">
    <w:p w14:paraId="1FCF1186"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Joint WHO-China study: 14 January - 10 February 2021, https://www.who.int/publications/i/item/who-convened-global-study-of-origins-of-sars-cov-2-china-part</w:t>
      </w:r>
    </w:p>
  </w:endnote>
  <w:endnote w:id="375">
    <w:p w14:paraId="5F5EE813"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Wrobel AG, Benton DJ, Xu P, et al. SARS-CoV-2 and bat RaTG13 spike glycoprotein structures inform on virus evolution and furin-cleavage effects [published correction appears in Nat Struct Mol Biol. 2020 Oct;27(10):1001]. Nat Struct Mol Biol. 2020;27(8):763-767.</w:t>
      </w:r>
    </w:p>
  </w:endnote>
  <w:endnote w:id="376">
    <w:p w14:paraId="657B86AE" w14:textId="77777777" w:rsidR="00606294" w:rsidRPr="00FC3CE8" w:rsidRDefault="00606294" w:rsidP="0060629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Zhou, P., Yang, XL., Wang, XG. et al. A pneumonia outbreak associated with a new coronavirus of probable bat origin. Nature 579, 270–273 (2020). https://doi.org/10.1038/s41586-020-2012-7</w:t>
      </w:r>
    </w:p>
  </w:endnote>
  <w:endnote w:id="377">
    <w:p w14:paraId="56FA1A83"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Zhou, P., Yang, XL., Wang, XG. et al. Addendum: A pneumonia outbreak associated with a new coronavirus of probable bat origin. Nature 588, E6 (2020). https://doi.org/10.1038/s41586-020-2951-z</w:t>
      </w:r>
    </w:p>
  </w:endnote>
  <w:endnote w:id="378">
    <w:p w14:paraId="53D7E5DC"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Ge, XY., Wang, N., Zhang, W. et al. Coexistence of multiple coronaviruses in several bat colonies in an abandoned mineshaft. Virol. Sin. 31, 31–40 (2016). https://doi.org/10.1007/s12250-016-3713-9</w:t>
      </w:r>
    </w:p>
  </w:endnote>
  <w:endnote w:id="379">
    <w:p w14:paraId="1C9A13B2"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lin, X.; Chen, S. Major Concerns on the Identification of Bat Coronavirus Strain RaTG13 and Quality of Related Nature Paper. Preprints 2020, 2020060044 (doi: 10.20944/preprints202006.0044.v1).</w:t>
      </w:r>
    </w:p>
  </w:endnote>
  <w:endnote w:id="380">
    <w:p w14:paraId="5DF26748"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Menachery, V., Yount, B., Debbink, K. et al. A SARS-like cluster of circulating bat coronaviruses shows potential for human emergence. Nat Med 21, 1508–1513 (2015). https://doi.org/10.1038/nm.3985</w:t>
      </w:r>
    </w:p>
  </w:endnote>
  <w:endnote w:id="381">
    <w:p w14:paraId="37712A45"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Menachery VD, Yount BL Jr, Sims AC, et al. SARS-like WIV1-CoV poised for human emergence. Proc Natl Acad Sci U S A. 2016;113(11):3048-3053. doi:10.1073/pnas.1517719113</w:t>
      </w:r>
    </w:p>
  </w:endnote>
  <w:endnote w:id="382">
    <w:p w14:paraId="0B6F6F3D"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Wang N, Li SY, Yang XL, et al. Serological Evidence of Bat SARS-Related Coronavirus Infection in Humans, China. Virol Sin. 2018;33(1):104-107. doi:10.1007/s12250-018-0012-7</w:t>
      </w:r>
    </w:p>
  </w:endnote>
  <w:endnote w:id="383">
    <w:p w14:paraId="719F1122"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https://www.ws-virology.org/wp-content/uploads/2017/11/Zhengli-Shi.pdf</w:t>
      </w:r>
    </w:p>
  </w:endnote>
  <w:endnote w:id="384">
    <w:p w14:paraId="7E6145B3"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Ralph Baric list:  https://academictree.org/microbiology/publications.php?pid=345533</w:t>
      </w:r>
    </w:p>
  </w:endnote>
  <w:endnote w:id="385">
    <w:p w14:paraId="74BBEA12"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Yount, B. et al. Reverse genetics with a full-length infectious cDNA of severe acute respiratory syndrome coronavirus. Proc. Natl. Acad. Sci. USA 100, 12995–13000 (2003).</w:t>
      </w:r>
    </w:p>
  </w:endnote>
  <w:endnote w:id="386">
    <w:p w14:paraId="680FB317"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Menachery, Vineet, et. al. “A SARS-like cluster of circulating bat coronaviruses shows potential for human emergence.” Nat Med, 9 Nov. 2015, 21:1508–1513. https://doi.org/10.1038/nm.3985</w:t>
      </w:r>
    </w:p>
  </w:endnote>
  <w:endnote w:id="387">
    <w:p w14:paraId="3D56719E"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Menachery, Vineet, et al. “SARS-like WIV1-CoV poised for human emergence.” Proceedings of the National Academy of Sciences of the United States of America, 14 March 2016, 113(11): 3048-53. https://dx.doi.org/10.1073%2Fpnas.1517719113</w:t>
      </w:r>
    </w:p>
  </w:endnote>
  <w:endnote w:id="388">
    <w:p w14:paraId="38518255"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Peter Daszak list: https://scholar.google.com/citations?user=HBjU-38AAAAJ</w:t>
      </w:r>
    </w:p>
  </w:endnote>
  <w:endnote w:id="389">
    <w:p w14:paraId="2A01B8BE"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Li W, Shi Z, Yu M, et al. Bats are natural reservoirs of SARS-like coronaviruses. Science. 2005;310(5748):676-679. doi:10.1126/science.1118391</w:t>
      </w:r>
    </w:p>
  </w:endnote>
  <w:endnote w:id="390">
    <w:p w14:paraId="1F191DE7"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Wang L-F, Shi Z, Zhang S, Field H, Daszak P, Eaton BT. “Review of bats and SARS.” Emerg Infect Dis, Dec. 2006; 12(12): 1834-1840., http://dx.doi.org/10.3201/eid1212.060401</w:t>
      </w:r>
    </w:p>
  </w:endnote>
  <w:endnote w:id="391">
    <w:p w14:paraId="219CE855"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Cui J, et. al. “Evolutionary relationships between bat coronaviruses and their hosts.” Emerg Infect Dis., Oct. 2007; 13(10):1526-32. https://wwwnc.cdc.gov/eid/article/13/10/07-0448_article</w:t>
      </w:r>
    </w:p>
  </w:endnote>
  <w:endnote w:id="392">
    <w:p w14:paraId="1B89CE50"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Ge, Xing-Yi et al. “Isolation and characterization of a bat SARS-like coronavirus that uses the ACE2 receptor.” Nature, 30 Oct. 2013, 503(7477): 535-8. https://www.ncbi.nlm.nih.gov/pmc/articles/PMC5389864</w:t>
      </w:r>
    </w:p>
  </w:endnote>
  <w:endnote w:id="393">
    <w:p w14:paraId="10BC86D7"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Xing-Lou Yang, Ben Hu, Bo Wang, et al. Isolation and Characterization of a Novel Bat Coronavirus Closely Related to the Direct Progenitor of Severe Acute Respiratory Syndrome Coronavirus. Journal of Virology, 30 Dec. 2015, 90(6): 3253-6. https://dx.doi.org/10.1128%2FJVI.02582-15</w:t>
      </w:r>
    </w:p>
  </w:endnote>
  <w:endnote w:id="394">
    <w:p w14:paraId="2B8DAD4A"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Zeng L-P, Gao Y-T, Ge X-Y, e</w:t>
      </w:r>
      <w:r w:rsidRPr="003E5BE6">
        <w:rPr>
          <w:rStyle w:val="EndnoteReference"/>
          <w:rFonts w:cs="Times New Roman"/>
          <w:sz w:val="20"/>
          <w:szCs w:val="20"/>
          <w:vertAlign w:val="baseline"/>
        </w:rPr>
        <w:t>t al</w:t>
      </w:r>
      <w:r w:rsidRPr="00E15DC4">
        <w:rPr>
          <w:rStyle w:val="EndnoteReference"/>
          <w:rFonts w:cs="Times New Roman"/>
          <w:sz w:val="20"/>
          <w:szCs w:val="20"/>
          <w:vertAlign w:val="baseline"/>
        </w:rPr>
        <w:t>., 2016. Bat severe acute respiratory syndrome-like coronavirus WIV1 encodes an extra accessory protein, ORFX, involved in modulation of the host immune response. J Virol 90:6573–6582. doi:10.1128/JVI.03079-15.</w:t>
      </w:r>
    </w:p>
  </w:endnote>
  <w:endnote w:id="395">
    <w:p w14:paraId="753DB8C9" w14:textId="77777777" w:rsidR="008C2EA1" w:rsidRPr="00E15DC4" w:rsidRDefault="008C2EA1" w:rsidP="008C2E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Hu, Ben et al. “Discovery of a rich gene pool of bat SARS-related coronaviruses provides new insights into the origin of SARS coronavirus.” PLOS Pathogens, 30 Nov. 2017, 13(11). https://dx.doi.org/10.1371%2Fjournal.ppat.1006698</w:t>
      </w:r>
    </w:p>
  </w:endnote>
  <w:endnote w:id="396">
    <w:p w14:paraId="23973F0D" w14:textId="5E4FBC6F" w:rsidR="00993FBB" w:rsidRPr="00993FBB" w:rsidRDefault="00993FBB" w:rsidP="00993FBB">
      <w:pPr>
        <w:pStyle w:val="EndnoteText"/>
        <w:ind w:left="270" w:hanging="270"/>
        <w:jc w:val="left"/>
        <w:rPr>
          <w:rStyle w:val="EndnoteReference"/>
          <w:rFonts w:cs="Times New Roman"/>
          <w:sz w:val="20"/>
          <w:szCs w:val="20"/>
          <w:vertAlign w:val="baseline"/>
        </w:rPr>
      </w:pPr>
      <w:r w:rsidRPr="00993FBB">
        <w:rPr>
          <w:rStyle w:val="EndnoteReference"/>
          <w:rFonts w:cs="Times New Roman"/>
          <w:sz w:val="20"/>
          <w:szCs w:val="20"/>
          <w:vertAlign w:val="baseline"/>
        </w:rPr>
        <w:endnoteRef/>
      </w:r>
      <w:r w:rsidRPr="00993FBB">
        <w:rPr>
          <w:rStyle w:val="EndnoteReference"/>
          <w:rFonts w:cs="Times New Roman"/>
          <w:sz w:val="20"/>
          <w:szCs w:val="20"/>
          <w:vertAlign w:val="baseline"/>
        </w:rPr>
        <w:t xml:space="preserve"> https://reporter.nih.gov/search/B4pLYUlqdkCEaIGuOHlhWg/projects?org=UNIV%20OF%20NORTH%20CAROLINA%20CHAPEL%20HILL&amp;agencies=NIAID</w:t>
      </w:r>
    </w:p>
  </w:endnote>
  <w:endnote w:id="397">
    <w:p w14:paraId="4D0B264A"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Piplani, S., et. al. “In silico comparison of SARS-CoV-2 spike protein-ACE2 binding affinities across species and implications for virus origin.” Scientific Reports, 24 June 2021, 11(13063) https://www.nature.com/articles/s41598-021-92388-5</w:t>
      </w:r>
    </w:p>
  </w:endnote>
  <w:endnote w:id="398">
    <w:p w14:paraId="3FC8C863"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Piplani, S., et. al. Preprint of “In silico comparison of SARS-CoV-2 spike protein-ACE2 binding affinities across species and implications for virus origin.” ArXiv, 13 May 2020, https://arxiv.org/abs/2005.06199v1</w:t>
      </w:r>
    </w:p>
  </w:endnote>
  <w:endnote w:id="399">
    <w:p w14:paraId="14BC6033"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Andersen, Kristian G. Email to Anthony Fauci and Jeremy Farrar. 31 Jan. 2020. https://s3.documentcloud.org/documents/20793561/leopold-nih-foia-anthony-fauci-emails.pdf</w:t>
      </w:r>
    </w:p>
  </w:endnote>
  <w:endnote w:id="400">
    <w:p w14:paraId="19C33D07"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Andersen KG, Rambaut A, Lipkin WI, et al., The proximal origin of SARS-CoV-2. Nat Med. 2020;26(4):450-452. doi:10.1038/s41591-020-0820-9</w:t>
      </w:r>
    </w:p>
  </w:endnote>
  <w:endnote w:id="401">
    <w:p w14:paraId="7208E75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https://patents.google.com/patent/US6593111B2/en, https://patents.google.com/patent/US7279327B2</w:t>
      </w:r>
    </w:p>
  </w:endnote>
  <w:endnote w:id="402">
    <w:p w14:paraId="5AA0F955"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Baric R.S., Sims A.C. “Development of Mouse Hepatitis Virus and SARS-CoV Infectious cDNA Constructs.” Curr Top Microbiol Immunol, 2005; 287:229-52. https://doi.org/10.1007/3-540-26765-4_8</w:t>
      </w:r>
    </w:p>
  </w:endnote>
  <w:endnote w:id="403">
    <w:p w14:paraId="6C8A1934"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Leiping, Zeng. Reverse Genetic System of Bat SARS-like Coronaviruses and Function of ORFX. 2017. The University of Chinese Academy of Sciences, PhD dissertation. https://twitter.com/TheSeeker268/status/1392575597772107776?s=20</w:t>
      </w:r>
    </w:p>
  </w:endnote>
  <w:endnote w:id="404">
    <w:p w14:paraId="08F5CC3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Zeng L-P, Gao Y-T, Ge X-Y, e</w:t>
      </w:r>
      <w:r w:rsidRPr="003E5BE6">
        <w:rPr>
          <w:rStyle w:val="EndnoteReference"/>
          <w:rFonts w:cs="Times New Roman"/>
          <w:sz w:val="20"/>
          <w:szCs w:val="20"/>
          <w:vertAlign w:val="baseline"/>
        </w:rPr>
        <w:t>t al</w:t>
      </w:r>
      <w:r w:rsidRPr="00FC3CE8">
        <w:rPr>
          <w:rStyle w:val="EndnoteReference"/>
          <w:rFonts w:cs="Times New Roman"/>
          <w:sz w:val="20"/>
          <w:szCs w:val="20"/>
          <w:vertAlign w:val="baseline"/>
        </w:rPr>
        <w:t>., 2016. Bat severe acute respiratory syndrome-like coronavirus WIV1 encodes an extra accessory protein, ORFX, involved in modulation of the host immune response. J Virol 90:6573–6582. doi:10.1128/JVI.03079-15.</w:t>
      </w:r>
    </w:p>
  </w:endnote>
  <w:endnote w:id="405">
    <w:p w14:paraId="58A90CD0"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Menachery, V., Yount, B., Debbink, K. et al. A SARS-like cluster of circulating bat coronaviruses shows potential for human emergence. Nat Med 21, 1508–1513 (2015). https://doi.org/10.1038/nm.3985</w:t>
      </w:r>
    </w:p>
  </w:endnote>
  <w:endnote w:id="406">
    <w:p w14:paraId="685D5A6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US Patent number: US 7,223,390 B2. Insertion of furin protease cleavage sites in membrane proteases and uses thereof. https://patents.google.com/patent/US7223390B2/en</w:t>
      </w:r>
    </w:p>
  </w:endnote>
  <w:endnote w:id="407">
    <w:p w14:paraId="60632A1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4,000 Patents: Why the ‘Novel’ SARS-CoV-2 Virus Isn’t so Novel. https://childrenshealthdefense.org/defender/david-martin-patents-recombinant-coronavirus/</w:t>
      </w:r>
    </w:p>
  </w:endnote>
  <w:endnote w:id="408">
    <w:p w14:paraId="565278EF" w14:textId="67A3B893" w:rsidR="00972C3B" w:rsidRPr="00972C3B" w:rsidRDefault="00972C3B" w:rsidP="00972C3B">
      <w:pPr>
        <w:pStyle w:val="EndnoteText"/>
        <w:ind w:left="270" w:hanging="270"/>
        <w:jc w:val="left"/>
        <w:rPr>
          <w:rStyle w:val="EndnoteReference"/>
          <w:rFonts w:cs="Times New Roman"/>
          <w:sz w:val="20"/>
          <w:szCs w:val="20"/>
          <w:vertAlign w:val="baseline"/>
        </w:rPr>
      </w:pPr>
      <w:r w:rsidRPr="00972C3B">
        <w:rPr>
          <w:rStyle w:val="EndnoteReference"/>
          <w:rFonts w:cs="Times New Roman"/>
          <w:sz w:val="20"/>
          <w:szCs w:val="20"/>
          <w:vertAlign w:val="baseline"/>
        </w:rPr>
        <w:endnoteRef/>
      </w:r>
      <w:r w:rsidRPr="00972C3B">
        <w:rPr>
          <w:rStyle w:val="EndnoteReference"/>
          <w:rFonts w:cs="Times New Roman"/>
          <w:sz w:val="20"/>
          <w:szCs w:val="20"/>
          <w:vertAlign w:val="baseline"/>
        </w:rPr>
        <w:t xml:space="preserve"> V. Bruttel, A. Washburne, A. VanDongen, Endonuclease fingerprint indicates a synthetic origin of SARS-CoV-2, bioRxiv 2022.10.18.512756; doi: https://doi.org/10.1101/2022.10.18.512756</w:t>
      </w:r>
      <w:r w:rsidRPr="003F5A75">
        <w:rPr>
          <w:rStyle w:val="EndnoteReference"/>
          <w:rFonts w:cs="Times New Roman"/>
          <w:sz w:val="20"/>
          <w:szCs w:val="20"/>
          <w:vertAlign w:val="baseline"/>
        </w:rPr>
        <w:t>.</w:t>
      </w:r>
    </w:p>
  </w:endnote>
  <w:endnote w:id="409">
    <w:p w14:paraId="575399EA"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Tetz, G.; Tetz, V. Prion-like Domains in Spike Protein of SARS-CoV-2 Differ across Its Variants and Enable Changes in Affinity to ACE2. Microorganisms 2022, 10, 280. https://doi.org/10.3390/microorganisms10020280</w:t>
      </w:r>
    </w:p>
  </w:endnote>
  <w:endnote w:id="410">
    <w:p w14:paraId="3D4477C1"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Wrapp, Daniel et al. “Cryo-EM structure of the 2019-nCoV spike in the prefusion conformation.” Science, 13 March 2020, 367(6483):1260-1263. https://www.ncbi.nlm.nih.gov/pmc/articles/PMC7164637/</w:t>
      </w:r>
    </w:p>
  </w:endnote>
  <w:endnote w:id="411">
    <w:p w14:paraId="48DC3509" w14:textId="77777777" w:rsidR="00641F2C" w:rsidRPr="00FC3CE8" w:rsidRDefault="00641F2C" w:rsidP="00641F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 F. AbdelMassih, J. Ye, A. Kamel, et al., A multicenter consensus: A role of furin in the endothelial tropism in obese patients with COVID-19 infection, Obesity Medicine, Volume 19, 2020, https://doi.org/10.1016/j.obmed.2020.100281.</w:t>
      </w:r>
    </w:p>
  </w:endnote>
  <w:endnote w:id="412">
    <w:p w14:paraId="42EB6340" w14:textId="77777777" w:rsidR="00641F2C" w:rsidRPr="00FC3CE8" w:rsidRDefault="00641F2C" w:rsidP="00641F2C">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Xia S, Lan Q, Su S, et al. The role of furin cleavage site in SARS-CoV-2 spike protein-mediated membrane fusion in the presence or absence of trypsin. Signal Transduct Target Ther. 2020;5(1):92. Published 2020 Jun 12. doi:10.1038/s41392-020-0184-0</w:t>
      </w:r>
    </w:p>
  </w:endnote>
  <w:endnote w:id="413">
    <w:p w14:paraId="40D516A3" w14:textId="77777777" w:rsidR="00B91305" w:rsidRPr="00FC3CE8" w:rsidRDefault="00B91305" w:rsidP="00B9130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Johnson, B. A., Xie, X., Kalveram, B., et al., (2020). Furin Cleavage Site Is Key to SARS-CoV-2 Pathogenesis. bioRxiv : the preprint server for biology, 2020.08.26.268854. https://doi.org/10.1101/2020.08.26.268854</w:t>
      </w:r>
    </w:p>
  </w:endnote>
  <w:endnote w:id="414">
    <w:p w14:paraId="49D23F0F" w14:textId="77777777" w:rsidR="00B91305" w:rsidRPr="00FC3CE8" w:rsidRDefault="00B91305" w:rsidP="00B91305">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Johnson, B.A., et. al. “Loss of furin cleavage site attenuates SARS-CoV-2 pathogenesis.” Nature, 25 Jan. 2021, 591: 293-299. https://www.nature.com/articles/s41586-021-03237-4</w:t>
      </w:r>
    </w:p>
  </w:endnote>
  <w:endnote w:id="415">
    <w:p w14:paraId="2B0FC7EB" w14:textId="77777777" w:rsidR="00437FC9" w:rsidRPr="00FC3CE8" w:rsidRDefault="00437FC9" w:rsidP="00437FC9">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https://assets.ctfassets.net/syq3snmxclc9/4NFC6M83ewzKLf6DvAygb4/0cf477f75646e718afb332b7ac6c3cd1/defuse-proposal_watermark_Redacted.pdf</w:t>
      </w:r>
    </w:p>
  </w:endnote>
  <w:endnote w:id="416">
    <w:p w14:paraId="57037301"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https://drasticresearch.files.wordpress.com/2021/09/defuse-project-drastic-analysis-1.pdf</w:t>
      </w:r>
    </w:p>
  </w:endnote>
  <w:endnote w:id="417">
    <w:p w14:paraId="652291AB" w14:textId="77777777" w:rsidR="008D61DA" w:rsidRPr="00FC3CE8" w:rsidRDefault="008D61DA" w:rsidP="008D61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Coutard, B et al. “The spike glycoprotein of the new coronavirus 2019-nCoV contains a furin-like cleavage site absent in CoV of the same clade.” Antiviral Research, Feb. 2020, 176: 104742 https://www.ncbi.nlm.nih.gov/pmc/articles/PMC7114094/</w:t>
      </w:r>
    </w:p>
  </w:endnote>
  <w:endnote w:id="418">
    <w:p w14:paraId="7A3B392A" w14:textId="77777777" w:rsidR="008D61DA" w:rsidRPr="00FC3CE8" w:rsidRDefault="008D61DA" w:rsidP="008D61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Stout AE, Millet JK, Stanhope MJ, Whittaker GR. Furin cleavage sites in the spike proteins of bat and rodent coronaviruses: Implications for virus evolution and zoonotic transfer from rodent species. One Health. 2021 Dec;13:100282. doi: 10.1016/j.onehlt.2021.100282.</w:t>
      </w:r>
    </w:p>
  </w:endnote>
  <w:endnote w:id="419">
    <w:p w14:paraId="4D0CFD9D" w14:textId="77777777" w:rsidR="008D61DA" w:rsidRPr="00FC3CE8" w:rsidRDefault="008D61DA" w:rsidP="008D61D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Andersen KG, Rambaut A, Lipkin WI, et al., The proximal origin of SARS-CoV-2. Nat Med. 2020;26(4):450-452. doi:10.1038/s41591-020-0820-9</w:t>
      </w:r>
    </w:p>
  </w:endnote>
  <w:endnote w:id="420">
    <w:p w14:paraId="066A4588" w14:textId="77777777" w:rsidR="008D61DA" w:rsidRPr="003D5831" w:rsidRDefault="008D61DA" w:rsidP="008D61DA">
      <w:pPr>
        <w:pStyle w:val="EndnoteText"/>
        <w:ind w:left="270" w:hanging="270"/>
        <w:jc w:val="left"/>
        <w:rPr>
          <w:rStyle w:val="EndnoteReference"/>
          <w:rFonts w:cs="Times New Roman"/>
          <w:sz w:val="20"/>
          <w:szCs w:val="20"/>
          <w:vertAlign w:val="baseline"/>
        </w:rPr>
      </w:pPr>
      <w:r w:rsidRPr="003D5831">
        <w:rPr>
          <w:rStyle w:val="EndnoteReference"/>
          <w:rFonts w:cs="Times New Roman"/>
          <w:sz w:val="20"/>
          <w:szCs w:val="20"/>
          <w:vertAlign w:val="baseline"/>
        </w:rPr>
        <w:endnoteRef/>
      </w:r>
      <w:r w:rsidRPr="003D5831">
        <w:rPr>
          <w:rStyle w:val="EndnoteReference"/>
          <w:rFonts w:cs="Times New Roman"/>
          <w:sz w:val="20"/>
          <w:szCs w:val="20"/>
          <w:vertAlign w:val="baseline"/>
        </w:rPr>
        <w:t xml:space="preserve"> Walls AC, Park YJ, Tortorici MA, Wall A, McGuire AT, Veesler D. Structure, Function, and Antigenicity of the SARS-CoV-2 Spike Glycoprotein [published correction appears in Cell. 2020 Dec 10;183(6):1735]. Cell. 2020;181(2):281-292.e6. doi:10.1016/j.cell.2020.02.058</w:t>
      </w:r>
    </w:p>
  </w:endnote>
  <w:endnote w:id="421">
    <w:p w14:paraId="35FA2F8C" w14:textId="77777777" w:rsidR="008D61DA" w:rsidRPr="003D5831" w:rsidRDefault="008D61DA" w:rsidP="008D61DA">
      <w:pPr>
        <w:pStyle w:val="EndnoteText"/>
        <w:ind w:left="270" w:hanging="270"/>
        <w:jc w:val="left"/>
        <w:rPr>
          <w:rStyle w:val="EndnoteReference"/>
          <w:rFonts w:cs="Times New Roman"/>
          <w:sz w:val="20"/>
          <w:szCs w:val="20"/>
          <w:vertAlign w:val="baseline"/>
        </w:rPr>
      </w:pPr>
      <w:r w:rsidRPr="003D5831">
        <w:rPr>
          <w:rStyle w:val="EndnoteReference"/>
          <w:rFonts w:cs="Times New Roman"/>
          <w:sz w:val="20"/>
          <w:szCs w:val="20"/>
          <w:vertAlign w:val="baseline"/>
        </w:rPr>
        <w:endnoteRef/>
      </w:r>
      <w:r w:rsidRPr="003D5831">
        <w:rPr>
          <w:rStyle w:val="EndnoteReference"/>
          <w:rFonts w:cs="Times New Roman"/>
          <w:sz w:val="20"/>
          <w:szCs w:val="20"/>
          <w:vertAlign w:val="baseline"/>
        </w:rPr>
        <w:t xml:space="preserve"> Liu S, Selvaraj P, Lien CZ, et al. The PRRA insert at the S1/S2 site modulates cellular tropism of SARS-CoV-2 and ACE2 usage by the closely related Bat RaTG13 [published online ahead of print, 2021 Mar 8]. J Virol. 2021;95(11):e01751-20. doi:10.1128/JVI.01751-20</w:t>
      </w:r>
    </w:p>
  </w:endnote>
  <w:endnote w:id="422">
    <w:p w14:paraId="47F7D538" w14:textId="77777777" w:rsidR="008D61DA" w:rsidRPr="00466E30" w:rsidRDefault="008D61DA" w:rsidP="008D61DA">
      <w:pPr>
        <w:pStyle w:val="EndnoteText"/>
        <w:ind w:left="270" w:hanging="270"/>
        <w:jc w:val="left"/>
        <w:rPr>
          <w:rStyle w:val="EndnoteReference"/>
          <w:rFonts w:cs="Times New Roman"/>
          <w:sz w:val="20"/>
          <w:szCs w:val="20"/>
          <w:vertAlign w:val="baseline"/>
        </w:rPr>
      </w:pPr>
      <w:r w:rsidRPr="00466E30">
        <w:rPr>
          <w:rStyle w:val="EndnoteReference"/>
          <w:rFonts w:cs="Times New Roman"/>
          <w:sz w:val="20"/>
          <w:szCs w:val="20"/>
          <w:vertAlign w:val="baseline"/>
        </w:rPr>
        <w:endnoteRef/>
      </w:r>
      <w:r w:rsidRPr="00466E30">
        <w:rPr>
          <w:rStyle w:val="EndnoteReference"/>
          <w:rFonts w:cs="Times New Roman"/>
          <w:sz w:val="20"/>
          <w:szCs w:val="20"/>
          <w:vertAlign w:val="baseline"/>
        </w:rPr>
        <w:t xml:space="preserve"> Romeu, A.R.; Ollé, E. SARS-CoV-2 and the Secret of the Furin Site. Preprints 2021, 2021020264 (doi: 10.20944/preprints202102.0264.v1).</w:t>
      </w:r>
    </w:p>
  </w:endnote>
  <w:endnote w:id="423">
    <w:p w14:paraId="6C1761B3" w14:textId="77777777" w:rsidR="00904B28" w:rsidRPr="00FC3CE8" w:rsidRDefault="00904B28" w:rsidP="00904B28">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https://patents.google.com/patent/US9587003B2/en</w:t>
      </w:r>
    </w:p>
  </w:endnote>
  <w:endnote w:id="424">
    <w:p w14:paraId="1ED5DBF7" w14:textId="1F79E1C3" w:rsidR="00D5562F" w:rsidRPr="00D5562F" w:rsidRDefault="00D5562F" w:rsidP="00D5562F">
      <w:pPr>
        <w:pStyle w:val="EndnoteText"/>
        <w:ind w:left="270" w:hanging="270"/>
        <w:jc w:val="left"/>
        <w:rPr>
          <w:rStyle w:val="EndnoteReference"/>
          <w:rFonts w:cs="Times New Roman"/>
          <w:sz w:val="20"/>
          <w:szCs w:val="20"/>
          <w:vertAlign w:val="baseline"/>
        </w:rPr>
      </w:pPr>
      <w:r w:rsidRPr="00D5562F">
        <w:rPr>
          <w:rStyle w:val="EndnoteReference"/>
          <w:rFonts w:cs="Times New Roman"/>
          <w:sz w:val="20"/>
          <w:szCs w:val="20"/>
          <w:vertAlign w:val="baseline"/>
        </w:rPr>
        <w:endnoteRef/>
      </w:r>
      <w:r w:rsidRPr="00D5562F">
        <w:rPr>
          <w:rStyle w:val="EndnoteReference"/>
          <w:rFonts w:cs="Times New Roman"/>
          <w:sz w:val="20"/>
          <w:szCs w:val="20"/>
          <w:vertAlign w:val="baseline"/>
        </w:rPr>
        <w:t xml:space="preserve"> https://patents.google.com/patent/US9255129B2/en</w:t>
      </w:r>
      <w:r w:rsidRPr="003F5A75">
        <w:rPr>
          <w:rStyle w:val="EndnoteReference"/>
          <w:rFonts w:cs="Times New Roman"/>
          <w:sz w:val="20"/>
          <w:szCs w:val="20"/>
          <w:vertAlign w:val="baseline"/>
        </w:rPr>
        <w:t>,</w:t>
      </w:r>
      <w:r w:rsidRPr="00D5562F">
        <w:rPr>
          <w:rStyle w:val="EndnoteReference"/>
          <w:rFonts w:cs="Times New Roman"/>
          <w:sz w:val="20"/>
          <w:szCs w:val="20"/>
          <w:vertAlign w:val="baseline"/>
        </w:rPr>
        <w:t xml:space="preserve"> </w:t>
      </w:r>
      <w:r w:rsidRPr="003F5A75">
        <w:rPr>
          <w:rStyle w:val="EndnoteReference"/>
          <w:rFonts w:cs="Times New Roman"/>
          <w:sz w:val="20"/>
          <w:szCs w:val="20"/>
          <w:vertAlign w:val="baseline"/>
        </w:rPr>
        <w:t xml:space="preserve">https://patents.google.com/patent/US9149506B2/en, </w:t>
      </w:r>
      <w:r w:rsidRPr="00D5562F">
        <w:rPr>
          <w:rStyle w:val="EndnoteReference"/>
          <w:rFonts w:cs="Times New Roman"/>
          <w:sz w:val="20"/>
          <w:szCs w:val="20"/>
          <w:vertAlign w:val="baseline"/>
        </w:rPr>
        <w:t xml:space="preserve"> https://patents.google.com/patent/US9216205B2/en</w:t>
      </w:r>
      <w:r w:rsidRPr="003F5A75">
        <w:rPr>
          <w:rStyle w:val="EndnoteReference"/>
          <w:rFonts w:cs="Times New Roman"/>
          <w:sz w:val="20"/>
          <w:szCs w:val="20"/>
          <w:vertAlign w:val="baseline"/>
        </w:rPr>
        <w:t>,</w:t>
      </w:r>
      <w:r w:rsidRPr="00D5562F">
        <w:rPr>
          <w:rStyle w:val="EndnoteReference"/>
          <w:rFonts w:cs="Times New Roman"/>
          <w:sz w:val="20"/>
          <w:szCs w:val="20"/>
          <w:vertAlign w:val="baseline"/>
        </w:rPr>
        <w:t xml:space="preserve"> https://patents.google.com/patent/US9301993B2/en</w:t>
      </w:r>
    </w:p>
  </w:endnote>
  <w:endnote w:id="425">
    <w:p w14:paraId="21A4D8A1" w14:textId="77777777" w:rsidR="008A53D2" w:rsidRPr="00FC3CE8" w:rsidRDefault="008A53D2" w:rsidP="008A53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Ambati BK, Varshney A, Lundstrom K, et al., (2022) MSH3 Homology and Potential Recombination Link to SARS-CoV-2 Furin Cleavage Site. Front. Virol. 2:834808. doi: 10.3389/fviro.2022.834808.</w:t>
      </w:r>
    </w:p>
  </w:endnote>
  <w:endnote w:id="426">
    <w:p w14:paraId="25656A35" w14:textId="77777777" w:rsidR="00894214" w:rsidRPr="00E84469" w:rsidRDefault="00894214" w:rsidP="00894214">
      <w:pPr>
        <w:pStyle w:val="EndnoteText"/>
        <w:ind w:left="270" w:hanging="270"/>
        <w:jc w:val="left"/>
        <w:rPr>
          <w:rStyle w:val="EndnoteReference"/>
          <w:rFonts w:cs="Times New Roman"/>
          <w:sz w:val="20"/>
          <w:szCs w:val="20"/>
          <w:vertAlign w:val="baseline"/>
        </w:rPr>
      </w:pPr>
      <w:r w:rsidRPr="00E84469">
        <w:rPr>
          <w:rStyle w:val="EndnoteReference"/>
          <w:rFonts w:cs="Times New Roman"/>
          <w:sz w:val="20"/>
          <w:szCs w:val="20"/>
          <w:vertAlign w:val="baseline"/>
        </w:rPr>
        <w:endnoteRef/>
      </w:r>
      <w:r w:rsidRPr="00E84469">
        <w:rPr>
          <w:rStyle w:val="EndnoteReference"/>
          <w:rFonts w:cs="Times New Roman"/>
          <w:sz w:val="20"/>
          <w:szCs w:val="20"/>
          <w:vertAlign w:val="baseline"/>
        </w:rPr>
        <w:t xml:space="preserve"> </w:t>
      </w:r>
      <w:r w:rsidRPr="003F5A75">
        <w:rPr>
          <w:rStyle w:val="EndnoteReference"/>
          <w:rFonts w:cs="Times New Roman"/>
          <w:sz w:val="20"/>
          <w:szCs w:val="20"/>
          <w:vertAlign w:val="baseline"/>
        </w:rPr>
        <w:t xml:space="preserve">Moderna patented sequence listing: </w:t>
      </w:r>
      <w:r w:rsidRPr="00E84469">
        <w:rPr>
          <w:rStyle w:val="EndnoteReference"/>
          <w:rFonts w:cs="Times New Roman"/>
          <w:sz w:val="20"/>
          <w:szCs w:val="20"/>
          <w:vertAlign w:val="baseline"/>
        </w:rPr>
        <w:t>https://seqdata.uspto.gov/?pageRequest=docDetail&amp;DocID=US09587003B2, https://seqdata.uspto.gov/?pageRequest=viewSequence&amp;DocID=US09587003B2&amp;seqID=11652</w:t>
      </w:r>
    </w:p>
  </w:endnote>
  <w:endnote w:id="427">
    <w:p w14:paraId="744C62A7" w14:textId="259D4161" w:rsidR="00894214" w:rsidRPr="00894214" w:rsidRDefault="00894214" w:rsidP="00894214">
      <w:pPr>
        <w:pStyle w:val="EndnoteText"/>
        <w:ind w:left="270" w:hanging="270"/>
        <w:jc w:val="left"/>
        <w:rPr>
          <w:rStyle w:val="EndnoteReference"/>
          <w:rFonts w:cs="Times New Roman"/>
          <w:sz w:val="20"/>
          <w:szCs w:val="20"/>
          <w:vertAlign w:val="baseline"/>
        </w:rPr>
      </w:pPr>
      <w:r w:rsidRPr="00894214">
        <w:rPr>
          <w:rStyle w:val="EndnoteReference"/>
          <w:rFonts w:cs="Times New Roman"/>
          <w:sz w:val="20"/>
          <w:szCs w:val="20"/>
          <w:vertAlign w:val="baseline"/>
        </w:rPr>
        <w:endnoteRef/>
      </w:r>
      <w:r w:rsidRPr="00894214">
        <w:rPr>
          <w:rStyle w:val="EndnoteReference"/>
          <w:rFonts w:cs="Times New Roman"/>
          <w:sz w:val="20"/>
          <w:szCs w:val="20"/>
          <w:vertAlign w:val="baseline"/>
        </w:rPr>
        <w:t xml:space="preserve"> </w:t>
      </w:r>
      <w:r w:rsidR="008B5CAC" w:rsidRPr="008B5CAC">
        <w:rPr>
          <w:rStyle w:val="EndnoteReference"/>
          <w:rFonts w:cs="Times New Roman"/>
          <w:sz w:val="20"/>
          <w:szCs w:val="20"/>
          <w:vertAlign w:val="baseline"/>
        </w:rPr>
        <w:t>https://bugaco.com/calculators/dna_reverse_complement.php</w:t>
      </w:r>
    </w:p>
  </w:endnote>
  <w:endnote w:id="428">
    <w:p w14:paraId="40EF268A" w14:textId="77777777" w:rsidR="00EC36E0" w:rsidRPr="003E5BE6" w:rsidRDefault="00EC36E0" w:rsidP="00EC36E0">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w:t>
      </w:r>
      <w:r w:rsidRPr="003F5A75">
        <w:rPr>
          <w:rStyle w:val="EndnoteReference"/>
          <w:rFonts w:cs="Times New Roman"/>
          <w:sz w:val="20"/>
          <w:szCs w:val="20"/>
          <w:vertAlign w:val="baseline"/>
        </w:rPr>
        <w:t>Severe acute respiratory syndrome coronavirus 2 isolate Wuhan-Hu-1, complete genome: https://www.ncbi.nlm.nih.gov/nuccore/NC_045512</w:t>
      </w:r>
    </w:p>
  </w:endnote>
  <w:endnote w:id="429">
    <w:p w14:paraId="3877C4ED" w14:textId="7B10432F" w:rsidR="00E1399D" w:rsidRPr="003E5BE6" w:rsidRDefault="00E1399D"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 Sattar, J. Kabat, K. Jerome, et al., Nuclear translocation of spike mRNA and protein is a novel pathogenic feature of SARS-CoV-2, bioRxiv 2022.09.27.509633; https://doi.org/10.1101/2022.09.27.509633</w:t>
      </w:r>
    </w:p>
  </w:endnote>
  <w:endnote w:id="430">
    <w:p w14:paraId="0DFC0FF9"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Withdrawn: P. Pradhan, A. K. Pandey, A. Mishra, et al. Uncanny similarity of unique inserts in the 2019-nCoV spike protein to HIV-1 gp120 and Gag. doi: https://doi.org/10.1101/2020.01.30.927871. Get a copy: https://grandsolarminimum.com/wp-content/uploads/2020/03/2020.01.30.927871.full_.pdf</w:t>
      </w:r>
    </w:p>
  </w:endnote>
  <w:endnote w:id="431">
    <w:p w14:paraId="19FD880E"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Prashant Pradhan et al, Uncanny similarity of unique inserts in the 2019-nCoV spike protein to HIV-1</w:t>
      </w:r>
      <w:r w:rsidRPr="00FC3CE8">
        <w:rPr>
          <w:rStyle w:val="EndnoteReference"/>
          <w:rFonts w:cs="Times New Roman"/>
          <w:sz w:val="20"/>
          <w:szCs w:val="20"/>
          <w:vertAlign w:val="baseline"/>
        </w:rPr>
        <w:br/>
        <w:t>gp120 and Gag,https://www.biorxiv.org/content/10.1101/2020.01.30.927871v1</w:t>
      </w:r>
    </w:p>
  </w:endnote>
  <w:endnote w:id="432">
    <w:p w14:paraId="2E5952F2"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Perez, J. C. Montagnier, L. (2020). Covid-19, SARS, and bat coronaviruses genomes peculiar homologous RNA sequences. International Journal of Research –Granthaalayah, 8(7), 217-263. https://doi.org/10.29121/granthaalayah.v8.i7.2020.678</w:t>
      </w:r>
    </w:p>
  </w:endnote>
  <w:endnote w:id="433">
    <w:p w14:paraId="33CFE58B"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Jean-Claude PEREZ. (2020). Wuhan Covid-19 Synthetic Origins and Evolution. International Journal of Research - Granthaalayah, 8(2), 285–324. https://doi.org/10.5281/zenodo.3724003</w:t>
      </w:r>
    </w:p>
  </w:endnote>
  <w:endnote w:id="434">
    <w:p w14:paraId="1B47DC72" w14:textId="77777777" w:rsidR="001D3B54" w:rsidRPr="00FC3CE8" w:rsidRDefault="001D3B54" w:rsidP="001D3B5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Shen, XR., Geng, R., Li, Q. et al. ACE2-independent infection of T lymphocytes by SARS-CoV-2. Sig Transduct Target Ther 7, 83 (2022). https://doi.org/10.1038/s41392-022-00919-x</w:t>
      </w:r>
    </w:p>
  </w:endnote>
  <w:endnote w:id="435">
    <w:p w14:paraId="1B9FD18F" w14:textId="77777777" w:rsidR="001D3B54" w:rsidRPr="00FC3CE8" w:rsidRDefault="001D3B54" w:rsidP="001D3B5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Stein BS, Engleman EG. Mechanism of HIV-1 entry into CD4+ T cells. Adv Exp Med Biol. 1991;300:71-96. doi:10.1007/978-1-4684-5976-0_6</w:t>
      </w:r>
    </w:p>
  </w:endnote>
  <w:endnote w:id="436">
    <w:p w14:paraId="5D372341" w14:textId="77777777" w:rsidR="001D3B54" w:rsidRPr="00FC3CE8" w:rsidRDefault="001D3B54" w:rsidP="001D3B54">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Hioe CE, Tuen M, Vasiliver-Shamis G, et al. HIV envelope gp120 activates LFA-1 on CD4 T-lymphocytes and increases cell susceptibility to LFA-1-targeting leukotoxin (LtxA). PLoS One. 2011; 6(8):e23202. doi:10.1371/journal.pone.0023202</w:t>
      </w:r>
    </w:p>
  </w:endnote>
  <w:endnote w:id="437">
    <w:p w14:paraId="6C315A59" w14:textId="77777777" w:rsidR="00BA546A" w:rsidRPr="00FC3CE8" w:rsidRDefault="00BA546A" w:rsidP="00BA546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Wang D, Hu B, Hu C, et al. Clinical Characteristics of 138 Hospitalized Patients With 2019 Novel Coronavirus–Infected Pneumonia in Wuhan, China. JAMA. 2020; 323(11):1061–1069. doi:10.1001/jama.2020.1585</w:t>
      </w:r>
    </w:p>
  </w:endnote>
  <w:endnote w:id="438">
    <w:p w14:paraId="3C63E877" w14:textId="77777777" w:rsidR="00BA546A" w:rsidRPr="00FC3CE8" w:rsidRDefault="00BA546A" w:rsidP="00BA546A">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 Huang, Y. Wang, X. Li et al. Clinical features of patients infected with 2019 novel coronavirus in Wuhan, China. Lancet 395, 497–506 (2020).</w:t>
      </w:r>
    </w:p>
  </w:endnote>
  <w:endnote w:id="439">
    <w:p w14:paraId="6BCF3A3B"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Changshuo Weiab, Ke-Jia Shanab, Weiguang Wang, et al., Evidence for a mouse origin of the SARS-CoV-2 Omicron variant, Journal of Genetics and Genomics, Volume 48, Issue 12, 2021, https://doi.org/10.1016/j.jgg.2021.12.003.</w:t>
      </w:r>
    </w:p>
  </w:endnote>
  <w:endnote w:id="440">
    <w:p w14:paraId="07F9D81B"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McCray PB Jr, Pewe L, Wohlford-Lenane C, et al. Lethal infection of K18-hACE2 mice infected with severe acute respiratory syndrome coronavirus. J Virol. 2007;81(2):813-821. doi:10.1128/JVI.02012-06</w:t>
      </w:r>
    </w:p>
  </w:endnote>
  <w:endnote w:id="441">
    <w:p w14:paraId="16E4423A"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Sun SH, Chen Q, Gu HJ, et al. A Mouse Model of SARS-CoV-2 Infection and Pathogenesis. Cell Host Microbe. 2020;28(1):124-133.e4. doi:10.1016/j.chom.2020.05.020</w:t>
      </w:r>
    </w:p>
  </w:endnote>
  <w:endnote w:id="442">
    <w:p w14:paraId="4DCD6A4F"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Brian J. Willett, Joe Grove, Oscar A. MacLean, et al., The hyper-transmissible SARS-CoV-2 Omicron variant exhibits significant antigenic change, vaccine escape and a switch in cell entry mechanism, medRxiv January 2022, doi: https://doi.org/10.1101/2022.01.03.21268111.</w:t>
      </w:r>
    </w:p>
  </w:endnote>
  <w:endnote w:id="443">
    <w:p w14:paraId="11D9B619"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Zeng L-P, Gao Y-T, Ge X-Y, e</w:t>
      </w:r>
      <w:r w:rsidRPr="003E5BE6">
        <w:rPr>
          <w:rStyle w:val="EndnoteReference"/>
          <w:rFonts w:cs="Times New Roman"/>
          <w:sz w:val="20"/>
          <w:szCs w:val="20"/>
          <w:vertAlign w:val="baseline"/>
        </w:rPr>
        <w:t>t al</w:t>
      </w:r>
      <w:r w:rsidRPr="00FC3CE8">
        <w:rPr>
          <w:rStyle w:val="EndnoteReference"/>
          <w:rFonts w:cs="Times New Roman"/>
          <w:sz w:val="20"/>
          <w:szCs w:val="20"/>
          <w:vertAlign w:val="baseline"/>
        </w:rPr>
        <w:t>., 2016. Bat severe acute respiratory syndrome-like coronavirus WIV1 encodes an extra accessory protein, ORFX, involved in modulation of the host immune response. J Virol 90:6573–6582. doi:10.1128/JVI.03079-15.</w:t>
      </w:r>
    </w:p>
  </w:endnote>
  <w:endnote w:id="444">
    <w:p w14:paraId="682B8BD6"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Leiping, Zeng. Reverse Genetic System of Bat SARS-like Coronaviruses and Function of ORFX. 2017. The University of Chinese Academy of Sciences, PhD dissertation. English translation first made available by @TheSeeker268 on Twitter, https://twitter.com/TheSeeker268/status/1392575597772107776?s=20</w:t>
      </w:r>
    </w:p>
  </w:endnote>
  <w:endnote w:id="445">
    <w:p w14:paraId="69A077C4"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The origins of Covd19: an investigation of the Wuhan Institute of Virology. House Foreign Affairs Committee Report Minority staff. August 2021. https://www.flemingmethod.com/_files/ugd/659775_41d26d62519a4153a85a34608558f5cc.pdf</w:t>
      </w:r>
    </w:p>
  </w:endnote>
  <w:endnote w:id="446">
    <w:p w14:paraId="4C1F910A"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https://usrtk.org/biohazards/how-nih-funded-research-in-china-could-have-led-to-the-Covid-19-pandemic/</w:t>
      </w:r>
    </w:p>
  </w:endnote>
  <w:endnote w:id="447">
    <w:p w14:paraId="720C099E" w14:textId="77777777" w:rsidR="006D41D2" w:rsidRPr="00FC3CE8" w:rsidRDefault="006D41D2" w:rsidP="006D41D2">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Sirotkin, K., &amp; Sirotkin, D. (2020). Might SARS-CoV-2 Have Arisen via Serial Passage through an Animal Host or Cell Culture?: A potential explanation for much of the novel coronavirus' distinctive genome. BioEssays : news and reviews in molecular, cellular and developmental biology, 42(10), e2000091. https://doi.org/10.1002/bies.202000091</w:t>
      </w:r>
    </w:p>
  </w:endnote>
  <w:endnote w:id="448">
    <w:p w14:paraId="165934B3" w14:textId="77777777" w:rsidR="006C379E" w:rsidRPr="00FC3CE8" w:rsidRDefault="006C379E" w:rsidP="006C379E">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Charles Calisher, Dennis Carroll, Rita Colwell, Ronald B Corley, Peter Daszak et al., Statement in support of the scientists, public health professionals, and medical professionals of China combatting COVID-19, 07 March 2020. https://www.thelancet.com/journals/lancet/article/PIIS0140-6736%2820%2930418-9/fulltext.</w:t>
      </w:r>
    </w:p>
  </w:endnote>
  <w:endnote w:id="449">
    <w:p w14:paraId="7D5D9ACC"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Daszak, Peter. Email to Linda Saif, Hume Field, JM Hughe, Rita Colwell, Alison Andrew, Aleksei Chmura, Hongying Li, William B. Karesh, and Robert Kessler. 6 Feb. 2020. https://usrtk.org/wp-content/uploads/2020/11/The_Lancet_Emails_Daszak-2.6.20.pdf</w:t>
      </w:r>
    </w:p>
  </w:endnote>
  <w:endnote w:id="450">
    <w:p w14:paraId="0B088B22"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Daszak, Peter. Email to Rita Colwell. 8 Feb. 2020. https://usrtk.org/wp-content/uploads/2020/11/The_Lancet_Emails_Daszak-2.8.20.pdf</w:t>
      </w:r>
    </w:p>
  </w:endnote>
  <w:endnote w:id="451">
    <w:p w14:paraId="61CE571D"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https://usrtk.org/biohazards-blog/scientists-deliberations-on-sars-cov-2-origins/</w:t>
      </w:r>
    </w:p>
  </w:endnote>
  <w:endnote w:id="452">
    <w:p w14:paraId="43F0E37A"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Daszak, Peter. Email to Ralph Baric, Toni Baric, Alison Andre, and Aleksei Chmura. 6 Feb. 2020. https://usrtk.org/wp-content/uploads/2021/02/Baric_Daszak_email.pdf</w:t>
      </w:r>
    </w:p>
  </w:endnote>
  <w:endnote w:id="453">
    <w:p w14:paraId="0B53A766"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Editors of The Lancet. “Addendum: competing interests and the origins of SARS-CoV-2.” The Lancet, 26 June 2021, 397: 2449-50. https://www.thelancet.com/action/showPdf?pii=S0140-6736%2821%2901377-5</w:t>
      </w:r>
    </w:p>
  </w:endnote>
  <w:endnote w:id="454">
    <w:p w14:paraId="2349B2FF"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https://childrenshealthdefense.org/defender/26-of-27-scientists-Covid-lab-leak-ties-wuhan-lab/.</w:t>
      </w:r>
    </w:p>
  </w:endnote>
  <w:endnote w:id="455">
    <w:p w14:paraId="5D64AA4A"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Covid-19: Lancet investigation into origin of pandemic shuts down over bias risk</w:t>
      </w:r>
      <w:r w:rsidRPr="003E5BE6">
        <w:rPr>
          <w:rStyle w:val="EndnoteReference"/>
          <w:rFonts w:cs="Times New Roman"/>
          <w:sz w:val="20"/>
          <w:szCs w:val="20"/>
          <w:vertAlign w:val="baseline"/>
        </w:rPr>
        <w:t xml:space="preserve">, </w:t>
      </w:r>
      <w:r w:rsidRPr="00FC3CE8">
        <w:rPr>
          <w:rStyle w:val="EndnoteReference"/>
          <w:rFonts w:cs="Times New Roman"/>
          <w:sz w:val="20"/>
          <w:szCs w:val="20"/>
          <w:vertAlign w:val="baseline"/>
        </w:rPr>
        <w:t>BMJ 2021; 375 doi: https://doi.org/10.1136/bmj.n2414 (Published 01 October 2021)</w:t>
      </w:r>
    </w:p>
  </w:endnote>
  <w:endnote w:id="456">
    <w:p w14:paraId="79E5C7EC"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Daszak, Peter. Email to Linda Saif, Hume Field, JM Hughe, Rita Colwell, Alison Andrew, Aleksei Chmura, Hongying Li, William B. Karesh, and Robert Kessler. 6 Feb. 2020. https://usrtk.org/wp-content/uploads/2020/11/The_Lancet_Emails_Daszak-2.6.20.pdf</w:t>
      </w:r>
    </w:p>
  </w:endnote>
  <w:endnote w:id="457">
    <w:p w14:paraId="7F33B047" w14:textId="1FB66595"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w:t>
      </w:r>
      <w:r w:rsidRPr="003E5BE6">
        <w:rPr>
          <w:rStyle w:val="EndnoteReference"/>
          <w:rFonts w:cs="Times New Roman"/>
          <w:sz w:val="20"/>
          <w:szCs w:val="20"/>
          <w:vertAlign w:val="baseline"/>
        </w:rPr>
        <w:t xml:space="preserve">FOI NIH/NIAID emails: </w:t>
      </w:r>
      <w:r w:rsidRPr="00FC3CE8">
        <w:rPr>
          <w:rStyle w:val="EndnoteReference"/>
          <w:rFonts w:cs="Times New Roman"/>
          <w:sz w:val="20"/>
          <w:szCs w:val="20"/>
          <w:vertAlign w:val="baseline"/>
        </w:rPr>
        <w:t>https://s3.documentcloud.org/documents/20793561/leopold-nih-foia-anthony-fauci-emails.pdf</w:t>
      </w:r>
    </w:p>
  </w:endnote>
  <w:endnote w:id="458">
    <w:p w14:paraId="5309E20D" w14:textId="77777777" w:rsidR="00B44B5E" w:rsidRPr="00E15DC4" w:rsidRDefault="00B44B5E" w:rsidP="00B44B5E">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The origins of the Covid19 global pandemic, including the roles of the Chinese Communist Party and the World Health Organization. House Foreign Affairs Committee Minority Staff Report. 116th Congress. https://gop-foreignaffairs.house.gov/wp-content/uploads/2020/09/Final-Minority-Report-on-the-Origins-of-the-COVID-19-Global-Pandemic-Including-the-Roles-of-the-CCP-and-WHO-9.20.20-Coverpage.pdf</w:t>
      </w:r>
    </w:p>
  </w:endnote>
  <w:endnote w:id="459">
    <w:p w14:paraId="0286B11A" w14:textId="77777777" w:rsidR="00B44B5E" w:rsidRPr="00E15DC4" w:rsidRDefault="00B44B5E" w:rsidP="00B44B5E">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The origins of Covd19: an investigation of the Wuhan Institute of Virology. House Foreign Affairs Committee Report Minority staff. August 2021. https://www.flemingmethod.com/_files/ugd/659775_41d26d62519a4153a85a34608558f5cc.pdf</w:t>
      </w:r>
    </w:p>
  </w:endnote>
  <w:endnote w:id="460">
    <w:p w14:paraId="526DA8B4" w14:textId="77777777" w:rsidR="006C6FA1" w:rsidRPr="00E15DC4" w:rsidRDefault="006C6FA1" w:rsidP="006C6FA1">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B Bostickson G. Demaneuf</w:t>
      </w:r>
      <w:r w:rsidRPr="003E5BE6">
        <w:rPr>
          <w:rStyle w:val="EndnoteReference"/>
          <w:rFonts w:cs="Times New Roman"/>
          <w:sz w:val="20"/>
          <w:szCs w:val="20"/>
          <w:vertAlign w:val="baseline"/>
        </w:rPr>
        <w:t>,</w:t>
      </w:r>
      <w:r w:rsidRPr="00E15DC4">
        <w:rPr>
          <w:rStyle w:val="EndnoteReference"/>
          <w:rFonts w:cs="Times New Roman"/>
          <w:sz w:val="20"/>
          <w:szCs w:val="20"/>
          <w:vertAlign w:val="baseline"/>
        </w:rPr>
        <w:t xml:space="preserve"> An investigation into the WIV databases that were taken offline. Feb</w:t>
      </w:r>
      <w:r w:rsidRPr="003E5BE6">
        <w:rPr>
          <w:rStyle w:val="EndnoteReference"/>
          <w:rFonts w:cs="Times New Roman"/>
          <w:sz w:val="20"/>
          <w:szCs w:val="20"/>
          <w:vertAlign w:val="baseline"/>
        </w:rPr>
        <w:t>.</w:t>
      </w:r>
      <w:r w:rsidRPr="00E15DC4">
        <w:rPr>
          <w:rStyle w:val="EndnoteReference"/>
          <w:rFonts w:cs="Times New Roman"/>
          <w:sz w:val="20"/>
          <w:szCs w:val="20"/>
          <w:vertAlign w:val="baseline"/>
        </w:rPr>
        <w:t xml:space="preserve"> 2021. DOI:10.13140/RG.2.2.28029.08160.</w:t>
      </w:r>
      <w:r w:rsidRPr="003E5BE6">
        <w:rPr>
          <w:rStyle w:val="EndnoteReference"/>
          <w:rFonts w:cs="Times New Roman"/>
          <w:sz w:val="20"/>
          <w:szCs w:val="20"/>
          <w:vertAlign w:val="baseline"/>
        </w:rPr>
        <w:t xml:space="preserve"> https://www.researchgate.net/publication/349073738_An_investigation_into_the_WIV_databases_that_were_taken_offline</w:t>
      </w:r>
    </w:p>
  </w:endnote>
  <w:endnote w:id="461">
    <w:p w14:paraId="53A1D6C3"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https://www.insidethegames.biz/articles/1094347/world-military-games-illness-covid-19</w:t>
      </w:r>
    </w:p>
  </w:endnote>
  <w:endnote w:id="462">
    <w:p w14:paraId="02B8C97D"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https://www.taiwannews.com.tw/en/news/3932712</w:t>
      </w:r>
    </w:p>
  </w:endnote>
  <w:endnote w:id="463">
    <w:p w14:paraId="0616814D"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https://financialpost.com/diane-francis/diane-francis-canadian-forces-have-right-to-know-if-they-got-covid-at-the-2019-military-world-games-in-wuhan</w:t>
      </w:r>
    </w:p>
  </w:endnote>
  <w:endnote w:id="464">
    <w:p w14:paraId="286B25FE"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Amendola A, Bianchi S, Gori M, et al. Evidence of SARS-CoV-2 RNA in an Oropharyngeal Swab Specimen, Milan, Italy, Early December 2019. Emerging Infectious Diseases. 2021;27(2):648-650. doi:10.3201/eid2702.204632</w:t>
      </w:r>
    </w:p>
  </w:endnote>
  <w:endnote w:id="465">
    <w:p w14:paraId="319D4287"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Fongaro, Gislaine et al. The presence of SARS-CoV-2 RNA in human sewage in Santa Catarina, Brazil, November 2019. The Science of the Total Environment, 8 March 2021, 778: 146198. https://dx.doi.org/10.1016%2Fj.scitotenv.2021.146198</w:t>
      </w:r>
    </w:p>
  </w:endnote>
  <w:endnote w:id="466">
    <w:p w14:paraId="790E07A6"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Coronavirus May Have Arrived in Sweden in November: Public Health Agency. The Local, 5 May 2020,</w:t>
      </w:r>
    </w:p>
    <w:p w14:paraId="2A486241"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t>www.thelocal.se/20200505/the-coronavirus-may-have-arrived-in-sweden-in-november/</w:t>
      </w:r>
    </w:p>
  </w:endnote>
  <w:endnote w:id="467">
    <w:p w14:paraId="35EE2BE9"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A.Deslandesa, V.Bertia, Y.Tandjaoui-Lambotte, et al., SARS-CoV-2 was already spreading in France in late December 2019.” International Journal of Antimicrobial Agents, 3 May 2020, 55(6): 106006. https://dx.doi.org/10.1016%2Fj.ijantimicag.2020.106006</w:t>
      </w:r>
    </w:p>
  </w:endnote>
  <w:endnote w:id="468">
    <w:p w14:paraId="0D174A63" w14:textId="77777777" w:rsidR="00E01616" w:rsidRPr="00E15DC4" w:rsidRDefault="00E01616" w:rsidP="00E01616">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Nsoesie, Elaine Okanyene, Benjamin Rader, Yiyao L. Barnoon, Lauren Goodwin, and John S. Brownstein. Analysis of hospital traffic and search engine data in Wuhan China indicates early disease activity in the Fall of 2019 (2020)</w:t>
      </w:r>
    </w:p>
  </w:endnote>
  <w:endnote w:id="469">
    <w:p w14:paraId="518D690B"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Thacker P D. Covid-19: New WHO group to look into pandemic origins is dogged by alleged conflicts of interest, BMJ 2021; 375 :n2588 doi:10.1136/bmj.n2588</w:t>
      </w:r>
    </w:p>
  </w:endnote>
  <w:endnote w:id="470">
    <w:p w14:paraId="3903A3DD"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The covid-19 lab leak hypothesis: did the media fall victim to a misinformation campaign? BMJ 2021; 374 doi: https://doi.org/10.1136/bmj.n1656, https://www.bmj.com/content/374/bmj.n1656</w:t>
      </w:r>
    </w:p>
  </w:endnote>
  <w:endnote w:id="471">
    <w:p w14:paraId="5BB21918"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https://www.zerohedge.com/geopolitical/head-who-origin-probe-team-admits-communist-china-ordered-them-what-write-report</w:t>
      </w:r>
    </w:p>
  </w:endnote>
  <w:endnote w:id="472">
    <w:p w14:paraId="5A799651" w14:textId="77777777" w:rsidR="00E01616" w:rsidRPr="00FC3CE8" w:rsidRDefault="00E01616" w:rsidP="00E01616">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https://www.un.org/disarmament/biological-weapons/</w:t>
      </w:r>
    </w:p>
  </w:endnote>
  <w:endnote w:id="473">
    <w:p w14:paraId="78C77A98" w14:textId="77777777" w:rsidR="00931237" w:rsidRPr="007B32F0" w:rsidRDefault="00931237" w:rsidP="00931237">
      <w:pPr>
        <w:pStyle w:val="EndnoteText"/>
        <w:ind w:left="270" w:hanging="270"/>
        <w:jc w:val="left"/>
        <w:rPr>
          <w:rStyle w:val="EndnoteReference"/>
          <w:rFonts w:cs="Times New Roman"/>
          <w:sz w:val="20"/>
          <w:szCs w:val="20"/>
          <w:vertAlign w:val="baseline"/>
        </w:rPr>
      </w:pPr>
      <w:r w:rsidRPr="007B32F0">
        <w:rPr>
          <w:rStyle w:val="EndnoteReference"/>
          <w:rFonts w:cs="Times New Roman"/>
          <w:sz w:val="20"/>
          <w:szCs w:val="20"/>
          <w:vertAlign w:val="baseline"/>
        </w:rPr>
        <w:endnoteRef/>
      </w:r>
      <w:r w:rsidRPr="007B32F0">
        <w:rPr>
          <w:rStyle w:val="EndnoteReference"/>
          <w:rFonts w:cs="Times New Roman"/>
          <w:sz w:val="20"/>
          <w:szCs w:val="20"/>
          <w:vertAlign w:val="baseline"/>
        </w:rPr>
        <w:t xml:space="preserve"> https://www.vanityfair.com/news/2022/03/the-virus-hunting-nonprofit-at-the-center-of-the-lab-leak-controversy</w:t>
      </w:r>
    </w:p>
  </w:endnote>
  <w:endnote w:id="474">
    <w:p w14:paraId="04AAF699" w14:textId="77777777" w:rsidR="00931237" w:rsidRPr="00C66667" w:rsidRDefault="00931237" w:rsidP="00931237">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https://www.who.int/news/item/13-04-2020-public-statement-for-collaboration-on-Covid-19-vaccine-development</w:t>
      </w:r>
    </w:p>
  </w:endnote>
  <w:endnote w:id="475">
    <w:p w14:paraId="52BC8D02" w14:textId="77777777" w:rsidR="00C72F73" w:rsidRPr="00FC3CE8" w:rsidRDefault="00C72F73" w:rsidP="00C72F73">
      <w:pPr>
        <w:pStyle w:val="EndnoteText"/>
        <w:ind w:left="270" w:hanging="270"/>
        <w:jc w:val="left"/>
        <w:rPr>
          <w:rStyle w:val="EndnoteReference"/>
          <w:rFonts w:cs="Times New Roman"/>
          <w:sz w:val="20"/>
          <w:szCs w:val="20"/>
          <w:vertAlign w:val="baseline"/>
        </w:rPr>
      </w:pPr>
      <w:r w:rsidRPr="00FC3CE8">
        <w:rPr>
          <w:rStyle w:val="EndnoteReference"/>
          <w:rFonts w:cs="Times New Roman"/>
          <w:sz w:val="20"/>
          <w:szCs w:val="20"/>
          <w:vertAlign w:val="baseline"/>
        </w:rPr>
        <w:endnoteRef/>
      </w:r>
      <w:r w:rsidRPr="00FC3CE8">
        <w:rPr>
          <w:rStyle w:val="EndnoteReference"/>
          <w:rFonts w:cs="Times New Roman"/>
          <w:sz w:val="20"/>
          <w:szCs w:val="20"/>
          <w:vertAlign w:val="baseline"/>
        </w:rPr>
        <w:t xml:space="preserve"> https://www.vanityfair.com/news/2022/03/the-virus-hunting-nonprofit-at-the-center-of-the-lab-leak-controversy</w:t>
      </w:r>
    </w:p>
  </w:endnote>
  <w:endnote w:id="476">
    <w:p w14:paraId="63350B9C" w14:textId="77777777" w:rsidR="00E01616" w:rsidRPr="00CF6834" w:rsidRDefault="00E01616" w:rsidP="00E01616">
      <w:pPr>
        <w:pStyle w:val="EndnoteText"/>
        <w:ind w:left="270" w:hanging="270"/>
        <w:jc w:val="left"/>
        <w:rPr>
          <w:rStyle w:val="EndnoteReference"/>
          <w:rFonts w:cs="Times New Roman"/>
          <w:sz w:val="20"/>
          <w:szCs w:val="20"/>
          <w:vertAlign w:val="baseline"/>
        </w:rPr>
      </w:pPr>
      <w:r w:rsidRPr="00CF6834">
        <w:rPr>
          <w:rStyle w:val="EndnoteReference"/>
          <w:rFonts w:cs="Times New Roman"/>
          <w:sz w:val="20"/>
          <w:szCs w:val="20"/>
          <w:vertAlign w:val="baseline"/>
        </w:rPr>
        <w:endnoteRef/>
      </w:r>
      <w:r w:rsidRPr="00CF6834">
        <w:rPr>
          <w:rStyle w:val="EndnoteReference"/>
          <w:rFonts w:cs="Times New Roman"/>
          <w:sz w:val="20"/>
          <w:szCs w:val="20"/>
          <w:vertAlign w:val="baseline"/>
        </w:rPr>
        <w:t xml:space="preserve"> https://www.armytimes.com/news/your-army/2019/08/08/the-cdc-shut-down-an-army-lab-thats-working-on-an-ebola-vaccine/</w:t>
      </w:r>
    </w:p>
  </w:endnote>
  <w:endnote w:id="477">
    <w:p w14:paraId="5753BB4C"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https://msrdconsortium.org/wp-content/uploads/2019/02/DTRA-BAA.pdf</w:t>
      </w:r>
    </w:p>
  </w:endnote>
  <w:endnote w:id="478">
    <w:p w14:paraId="42453032"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https://www.usaspending.gov/federal_account/097-0134</w:t>
      </w:r>
    </w:p>
  </w:endnote>
  <w:endnote w:id="479">
    <w:p w14:paraId="7356C2FB"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https://sgp.fas.org/crs/nuke/R43143.pdf</w:t>
      </w:r>
    </w:p>
  </w:endnote>
  <w:endnote w:id="480">
    <w:p w14:paraId="628308B3"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https://media.defense.gov/2019/Aug/02/2002165966/-1/-1/0/CPC%20OUTREACH%20818.PDF</w:t>
      </w:r>
    </w:p>
  </w:endnote>
  <w:endnote w:id="481">
    <w:p w14:paraId="57F19C0F"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https://www.ncbi.nlm.nih.gov/books/NBK196149/</w:t>
      </w:r>
    </w:p>
  </w:endnote>
  <w:endnote w:id="482">
    <w:p w14:paraId="6AFCCDE7"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https://greatgameindia.com/obama-authorized-biolabs-ukraine/</w:t>
      </w:r>
    </w:p>
  </w:endnote>
  <w:endnote w:id="483">
    <w:p w14:paraId="7F740AAE"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https://www.state.gov/wp-content/uploads/2019/02/05-829-Ukraine-Weapons.pdf</w:t>
      </w:r>
    </w:p>
  </w:endnote>
  <w:endnote w:id="484">
    <w:p w14:paraId="21CAA77B"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https://2001-2009.state.gov/documents/organization/95251.pdf</w:t>
      </w:r>
    </w:p>
  </w:endnote>
  <w:endnote w:id="485">
    <w:p w14:paraId="7687CD4E"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https://media.defense.gov/2022/Mar/11/2002954612/-1/-1/0/FACT-SHEET-THE-DEPARTMENT-OF-DEFENSE%E2%80%99S-COOPERATIVE-THREAT-REDUCTION-PROGRAM-BIOLOGICAL-THREAT-REDUCTION-PROGRAM-ACTIVITIES-IN-UKRAINE.PDF</w:t>
      </w:r>
    </w:p>
  </w:endnote>
  <w:endnote w:id="486">
    <w:p w14:paraId="52DC2F4F"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w:t>
      </w:r>
      <w:r w:rsidRPr="003E5BE6">
        <w:rPr>
          <w:rStyle w:val="EndnoteReference"/>
          <w:rFonts w:cs="Times New Roman"/>
          <w:sz w:val="20"/>
          <w:szCs w:val="20"/>
          <w:vertAlign w:val="baseline"/>
        </w:rPr>
        <w:t>https://sputniknews.com/20210906/moscow-bothered-by-uncontrolled-unrestricted-expansion-of-us-military-biolab-network-near-russia-1083808703.html</w:t>
      </w:r>
    </w:p>
  </w:endnote>
  <w:endnote w:id="487">
    <w:p w14:paraId="640FBAD8"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https://www.kommersant.ru/doc/4762137, https://translate.yandex.com/translate?url=https%3A%2F%2Fwww.kommersant.ru%2Fdoc%2F4762137&amp;lang=ru-en</w:t>
      </w:r>
    </w:p>
  </w:endnote>
  <w:endnote w:id="488">
    <w:p w14:paraId="4A7FE5CE"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https://www.scribd.com/document/563217663/563184081-Ukraine-Embassy-Documents-on-Biological-Threat-Reduction-Program</w:t>
      </w:r>
    </w:p>
  </w:endnote>
  <w:endnote w:id="489">
    <w:p w14:paraId="279FFAE9"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https://www.bv.com/projects/btric-ukraine</w:t>
      </w:r>
    </w:p>
  </w:endnote>
  <w:endnote w:id="490">
    <w:p w14:paraId="3F6985C6"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https://govtribe.com/award/federal-contract-award/delivery-order-hdtra108d0007-0001</w:t>
      </w:r>
    </w:p>
  </w:endnote>
  <w:endnote w:id="491">
    <w:p w14:paraId="4E3DE18F"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https://govtribe.com/award/federal-contract-award/delivery-order-hdtra108d0007-0004</w:t>
      </w:r>
    </w:p>
  </w:endnote>
  <w:endnote w:id="492">
    <w:p w14:paraId="3703029E"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https://govtribe.com/award/federal-idv-award/indefinite-delivery-contract-hdtra108d0007</w:t>
      </w:r>
    </w:p>
  </w:endnote>
  <w:endnote w:id="493">
    <w:p w14:paraId="09882ECF"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https://dilyana.bg/the-pentagon-bio-weapons/</w:t>
      </w:r>
    </w:p>
  </w:endnote>
  <w:endnote w:id="494">
    <w:p w14:paraId="487872A5"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https://media.defense.gov/2022/Mar/11/2002954612/-1/-1/0/FACT-SHEET-THE-DEPARTMENT-OF-DEFENSE%E2%80%99S-COOPERATIVE-THREAT-REDUCTION-PROGRAM-BIOLOGICAL-THREAT-REDUCTION-PROGRAM-ACTIVITIES-IN-UKRAINE.PDF</w:t>
      </w:r>
    </w:p>
  </w:endnote>
  <w:endnote w:id="495">
    <w:p w14:paraId="4FD30DAA" w14:textId="77777777" w:rsidR="009C6E7E" w:rsidRPr="003E5BE6" w:rsidRDefault="009C6E7E" w:rsidP="009C6E7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https://sputniknews.com/20220310/us-funded-bio-labs-in-ukraine-conducted-research-into-bat-coronavirus-russian-mod-says-1093736082.html</w:t>
      </w:r>
    </w:p>
  </w:endnote>
  <w:endnote w:id="496">
    <w:p w14:paraId="3BF1B69A" w14:textId="77777777" w:rsidR="00C371D7" w:rsidRPr="00553E99" w:rsidRDefault="00C371D7" w:rsidP="00C371D7">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https://sputniknews.com/20220306/kiev-regime-sought-to-scrub-evidence-of-pentagon-backed-biowarfare-programme-russian-mod-reveals-1093637704.html</w:t>
      </w:r>
    </w:p>
  </w:endnote>
  <w:endnote w:id="497">
    <w:p w14:paraId="42F70232" w14:textId="77777777" w:rsidR="00C371D7" w:rsidRPr="00553E99" w:rsidRDefault="00C371D7" w:rsidP="00C371D7">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https://www.republicworld.com/world-news/russia-ukraine-crisis/us-researched-coronaviruses-did-experiments-like-unit-731-in-ukraine-biolabs-russian-mod-articleshow.html</w:t>
      </w:r>
    </w:p>
  </w:endnote>
  <w:endnote w:id="498">
    <w:p w14:paraId="191C003F" w14:textId="77777777" w:rsidR="00C371D7" w:rsidRPr="00553E99" w:rsidRDefault="00C371D7" w:rsidP="00C371D7">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https://ria.ru/20221025/zhaloba-1826784236.html</w:t>
      </w:r>
    </w:p>
  </w:endnote>
  <w:endnote w:id="499">
    <w:p w14:paraId="624240AF" w14:textId="77777777" w:rsidR="00C371D7" w:rsidRPr="00553E99" w:rsidRDefault="00C371D7" w:rsidP="00C371D7">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https://english.almayadeen.net/news/politics/russia-calls-for-security-council-meeting-on-us-biolabs</w:t>
      </w:r>
    </w:p>
  </w:endnote>
  <w:endnote w:id="500">
    <w:p w14:paraId="22B86493" w14:textId="77777777" w:rsidR="00C371D7" w:rsidRPr="00553E99" w:rsidRDefault="00C371D7" w:rsidP="00C371D7">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https://www.sott.net/article/473597-Moscow-urges-UN-probe-into-Ukrainian-biolabs</w:t>
      </w:r>
    </w:p>
  </w:endnote>
  <w:endnote w:id="501">
    <w:p w14:paraId="31F37E7A"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https://russiaun.ru/en/news/110322n_u</w:t>
      </w:r>
    </w:p>
  </w:endnote>
  <w:endnote w:id="502">
    <w:p w14:paraId="6547DD84"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https://sputniknews.com/20210906/moscow-bothered-by-uncontrolled-unrestricted-expansion-of-us-military-biolab-network-near-russia-1083808703.html</w:t>
      </w:r>
    </w:p>
  </w:endnote>
  <w:endnote w:id="503">
    <w:p w14:paraId="110A10EF"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http://web.archive.org/web/20180418052020/https:/dninews.com/article/deadly-virus-leaked-us-laboratory-donbass-dpr-army-and-intelligence</w:t>
      </w:r>
    </w:p>
  </w:endnote>
  <w:endnote w:id="504">
    <w:p w14:paraId="4A385D97"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https://sputniknews.com/20200427/ukraines-opposition-accuses-us-of-scrubbing-info-about-biolabs-activities-on-ukrainian-territory-1079113315.html</w:t>
      </w:r>
    </w:p>
  </w:endnote>
  <w:endnote w:id="505">
    <w:p w14:paraId="6F6B4F9B"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https://video.twimg.com/ext_tw_video/1501936299200036864/pu/vid/640x360/bw0de8zUaVDNgJs1.mp4?tag=12, https://threadreaderapp.com/thread/1501938140960804877.html</w:t>
      </w:r>
    </w:p>
  </w:endnote>
  <w:endnote w:id="506">
    <w:p w14:paraId="76C5D666" w14:textId="77777777" w:rsidR="00D24AA9" w:rsidRPr="00C371D7" w:rsidRDefault="00D24AA9" w:rsidP="00D24AA9">
      <w:pPr>
        <w:pStyle w:val="EndnoteText"/>
        <w:ind w:left="270" w:hanging="270"/>
        <w:jc w:val="left"/>
        <w:rPr>
          <w:rStyle w:val="EndnoteReference"/>
          <w:rFonts w:cs="Times New Roman"/>
          <w:sz w:val="20"/>
          <w:szCs w:val="20"/>
          <w:vertAlign w:val="baseline"/>
        </w:rPr>
      </w:pPr>
      <w:r w:rsidRPr="00C371D7">
        <w:rPr>
          <w:rStyle w:val="EndnoteReference"/>
          <w:rFonts w:cs="Times New Roman"/>
          <w:sz w:val="20"/>
          <w:szCs w:val="20"/>
          <w:vertAlign w:val="baseline"/>
        </w:rPr>
        <w:endnoteRef/>
      </w:r>
      <w:r w:rsidRPr="00C371D7">
        <w:rPr>
          <w:rStyle w:val="EndnoteReference"/>
          <w:rFonts w:cs="Times New Roman"/>
          <w:sz w:val="20"/>
          <w:szCs w:val="20"/>
          <w:vertAlign w:val="baseline"/>
        </w:rPr>
        <w:t xml:space="preserve"> Edith M. Lederer, Associated Press, 10/25/22, Russia seeks UN probe of claims on Ukraine biological labs, https://thehill.com/homenews/ap/ap-international/ap-russia-seeks-un-probe-of-claims-on-ukraine-biological-labs/</w:t>
      </w:r>
    </w:p>
  </w:endnote>
  <w:endnote w:id="507">
    <w:p w14:paraId="6CEDA6FA" w14:textId="77777777" w:rsidR="00D24AA9" w:rsidRPr="00553E99" w:rsidRDefault="00D24AA9" w:rsidP="00D24AA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https://russiaun.ru/en/news/110322n_u</w:t>
      </w:r>
      <w:r w:rsidRPr="003F5A75">
        <w:rPr>
          <w:rStyle w:val="EndnoteReference"/>
          <w:rFonts w:cs="Times New Roman"/>
          <w:sz w:val="20"/>
          <w:szCs w:val="20"/>
          <w:vertAlign w:val="baseline"/>
        </w:rPr>
        <w:t>, https://russiaun.ru/en/news/271022_nb</w:t>
      </w:r>
    </w:p>
  </w:endnote>
  <w:endnote w:id="508">
    <w:p w14:paraId="7AC3B142" w14:textId="77777777" w:rsidR="003472C9" w:rsidRPr="00553E99" w:rsidRDefault="003472C9" w:rsidP="003472C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https://www.usaspending.gov/keyword_search/ECOHEALTH</w:t>
      </w:r>
    </w:p>
  </w:endnote>
  <w:endnote w:id="509">
    <w:p w14:paraId="40743347" w14:textId="77777777" w:rsidR="003472C9" w:rsidRPr="00553E99" w:rsidRDefault="003472C9" w:rsidP="003472C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U.S. Government Gain-of-Function Deliberative Process and Research Funding Pause on Selected Gain-of-Function Research Involving Influenza, MERS, and SARS Viruses. 2014. http://www.phe.gov/s3/dualuse/Documents/gain-of-function.pdf</w:t>
      </w:r>
    </w:p>
  </w:endnote>
  <w:endnote w:id="510">
    <w:p w14:paraId="44DFFFD6" w14:textId="6FD8BECA" w:rsidR="003472C9" w:rsidRPr="00553E99" w:rsidRDefault="003472C9" w:rsidP="003472C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Secret Emails Reveal How NIH, EcoHealth Alliance Skirt</w:t>
      </w:r>
      <w:r w:rsidR="00170FFF" w:rsidRPr="006D5AAD">
        <w:rPr>
          <w:rStyle w:val="EndnoteReference"/>
          <w:vertAlign w:val="baseline"/>
        </w:rPr>
        <w:t>ed</w:t>
      </w:r>
      <w:r w:rsidRPr="00553E99">
        <w:rPr>
          <w:rStyle w:val="EndnoteReference"/>
          <w:rFonts w:cs="Times New Roman"/>
          <w:sz w:val="20"/>
          <w:szCs w:val="20"/>
          <w:vertAlign w:val="baseline"/>
        </w:rPr>
        <w:t xml:space="preserve"> Restrictions on Risky </w:t>
      </w:r>
      <w:r w:rsidR="00170FFF" w:rsidRPr="006D5AAD">
        <w:rPr>
          <w:rStyle w:val="EndnoteReference"/>
          <w:vertAlign w:val="baseline"/>
        </w:rPr>
        <w:t xml:space="preserve">GoF </w:t>
      </w:r>
      <w:r w:rsidR="00170FFF">
        <w:rPr>
          <w:rStyle w:val="EndnoteReference"/>
          <w:rFonts w:cs="Times New Roman"/>
          <w:sz w:val="20"/>
          <w:szCs w:val="20"/>
          <w:vertAlign w:val="baseline"/>
        </w:rPr>
        <w:t>R</w:t>
      </w:r>
      <w:r w:rsidR="00170FFF" w:rsidRPr="006D5AAD">
        <w:rPr>
          <w:rStyle w:val="EndnoteReference"/>
          <w:vertAlign w:val="baseline"/>
        </w:rPr>
        <w:t>esearch</w:t>
      </w:r>
      <w:r w:rsidRPr="00553E99">
        <w:rPr>
          <w:rStyle w:val="EndnoteReference"/>
          <w:rFonts w:cs="Times New Roman"/>
          <w:sz w:val="20"/>
          <w:szCs w:val="20"/>
          <w:vertAlign w:val="baseline"/>
        </w:rPr>
        <w:t>: https://childrenshealthdefense.org/defender/emails-fauci-nih-ecohealth-alliance-gain-of-function-research/</w:t>
      </w:r>
    </w:p>
  </w:endnote>
  <w:endnote w:id="511">
    <w:p w14:paraId="311A2E25" w14:textId="77777777" w:rsidR="004D64FE" w:rsidRPr="003E5BE6" w:rsidRDefault="004D64FE" w:rsidP="004D64FE">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https://thenationalpulse.com/2021/06/28/hunter-biden-invested-in-ecohealth-wuhan-partner/</w:t>
      </w:r>
    </w:p>
  </w:endnote>
  <w:endnote w:id="512">
    <w:p w14:paraId="5A675111"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https://ohi.vetmed.ucdavis.edu/programs-projects/predict-project</w:t>
      </w:r>
    </w:p>
  </w:endnote>
  <w:endnote w:id="513">
    <w:p w14:paraId="489DD5C9"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https://www.usaid.gov/news-information/fact-sheets/emerging-pandemic-threats-program</w:t>
      </w:r>
    </w:p>
  </w:endnote>
  <w:endnote w:id="514">
    <w:p w14:paraId="6A1F6D56"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https://www.globalviromeproject.org/leadership-team</w:t>
      </w:r>
    </w:p>
  </w:endnote>
  <w:endnote w:id="515">
    <w:p w14:paraId="52B27CF8"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http://www.ecohealthalliance.org/wp-content/uploads/2016/11/Yuan-et-al_virus-bats_viruses-2014.pdf</w:t>
      </w:r>
    </w:p>
  </w:endnote>
  <w:endnote w:id="516">
    <w:p w14:paraId="2471122F"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S. J. Anthony, C. K. Johnson, D. J. Greig, …, Nathan D. Wolfe, Peter Daszak, PREDICT Consortium, et al., Global patterns in coronavirus diversity, Virus Evolution, Volume 3, Issue 1, January 2017, vex012, https://doi.org/10.1093/ve/vex012</w:t>
      </w:r>
    </w:p>
  </w:endnote>
  <w:endnote w:id="517">
    <w:p w14:paraId="20D3519E"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Kumakamba C, Niama FR, Muyembe F, Mombouli J-V, Kingebeni PM, Nina RA, et al. (2021) Coronavirus surveillance in wildlife from two Congo basin countries detects RNA of multiple species circulating in bats and rodents. PLoS ONE 16(6): e0236971. https://doi.org/10.1371/journal.pone.0236971. https://www.ecohealthalliance.org/wp-content/uploads/2021/06/journal.pone_.0236971.pdf</w:t>
      </w:r>
    </w:p>
  </w:endnote>
  <w:endnote w:id="518">
    <w:p w14:paraId="65EEEB3E"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Monagin C, Paccha B, Liang N, Trufan S, Zhou H, Wu D, et al. (2018) Serologic and behavioral risk survey of workers with wildlife contact in China. PLoS ONE 13(4): e0194647. https://doi.org/10.1371/journal.pone.0194647</w:t>
      </w:r>
    </w:p>
  </w:endnote>
  <w:endnote w:id="519">
    <w:p w14:paraId="19C3A95B"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Anthony, S., Islam, A., Johnson, C. et al. Non-random patterns in viral diversity. Nat Commun 6, 8147 (2015). https://doi.org/10.1038/ncomms9147. https://www.ecohealthalliance.org/wp-content/uploads/2016/10/Anthony-Nonrandom-patterns-in-viral-diversity.pdf</w:t>
      </w:r>
    </w:p>
  </w:endnote>
  <w:endnote w:id="520">
    <w:p w14:paraId="0244B6E5"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Pernet, O., Schneider, B., Beaty, S. et al. Evidence for henipavirus spillover into human populations in Africa. Nat Commun 5, 5342 (2014). https://doi.org/10.1038/ncomms6342. https://www.ecohealthalliance.org/wp-content/uploads/2018/11/Evidence-for-henipavirus-spillover-into-human-populations-in-Africa.pdf</w:t>
      </w:r>
    </w:p>
  </w:endnote>
  <w:endnote w:id="521">
    <w:p w14:paraId="21291076"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Reed PE, Mulangu S, Cameron KN, Ondzie AU, Joly D, et al. (2014) A New Approach for Monitoring Ebolavirus in Wild Great Apes. PLoS Negl Trop Dis 8(9): e3143. doi:10.1371/journal.pntd.0003143. https://www.ecohealthalliance.org/wp-content/uploads/2016/11/Reed-et-al_Ebola_plos-2014.pdf</w:t>
      </w:r>
    </w:p>
  </w:endnote>
  <w:endnote w:id="522">
    <w:p w14:paraId="3F694B39"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Lee, M., Rostal, M. K., Hughes, T., Sitam, F., Lee, C., Japning, J....Daszak, P. (2015). Macacine Herpesvirus 1 in Long-Tailed Macaques, Malaysia, 2009–2011. Emerging Infectious Diseases, 21(7), 1107-1113. https://doi.org/10.3201/eid2107.140162. https://www.ecohealthalliance.org/wp-content/uploads/2016/10/Lee-etal_Macacine-Herpesvirus_2015.pdf</w:t>
      </w:r>
    </w:p>
  </w:endnote>
  <w:endnote w:id="523">
    <w:p w14:paraId="457797B5"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Epstein JH, Quan P-L, Briese T, Street C, Jabado O, et al. (2010) Identification of GBV-D, a Novel GB-like Flavivirus from Old World Frugivorous Bats (Pteropus giganteus) in Bangladesh. PLoS Pathog 6(7): e1000972. doi:10.1371/journal.ppat.1000972. https://www.ecohealthalliance.org/wp-content/uploads/2016/02/ID-of-a-novel-GB-like-flavivirus-from-bats-in-Bangladesh_Epstein-et-al-PLoS-Pathogens_Jul-2010.pdf</w:t>
      </w:r>
    </w:p>
  </w:endnote>
  <w:endnote w:id="524">
    <w:p w14:paraId="1803D7F8" w14:textId="77777777" w:rsidR="003472C9" w:rsidRPr="003E5BE6" w:rsidRDefault="003472C9" w:rsidP="003472C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https://thenationalpulse.com/2021/06/28/hunter-biden-invested-in-ecohealth-wuhan-partner/</w:t>
      </w:r>
    </w:p>
  </w:endnote>
  <w:endnote w:id="525">
    <w:p w14:paraId="091BBD7B"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https://thenationalpulse.com/2021/06/28/hunter-biden-invested-in-ecohealth-wuhan-partner/</w:t>
      </w:r>
    </w:p>
  </w:endnote>
  <w:endnote w:id="526">
    <w:p w14:paraId="0840C1CC"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https://www.usaspending.gov/award/CONT_AWD_HDTRA114C0104_9700_-NONE-_-NONE-</w:t>
      </w:r>
    </w:p>
  </w:endnote>
  <w:endnote w:id="527">
    <w:p w14:paraId="375765BC"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https://expose-news.com/2022/03/18/ukraine-biolabs-and-connections-btw-metabiota-and-ecohealth/</w:t>
      </w:r>
    </w:p>
  </w:endnote>
  <w:endnote w:id="528">
    <w:p w14:paraId="2EE6A0BC"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http://www.stcu.int/news/index.php?id=454</w:t>
      </w:r>
    </w:p>
  </w:endnote>
  <w:endnote w:id="529">
    <w:p w14:paraId="60B1120E"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https://www.marlinllc.com/_media/_data/MarlinNewsletter/hit-monthly-newsletter-june-2015.pdf</w:t>
      </w:r>
    </w:p>
  </w:endnote>
  <w:endnote w:id="530">
    <w:p w14:paraId="040E810D"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https://expose-news.com/2022/03/20/biolabs-who-are-metabiotas-investors/</w:t>
      </w:r>
    </w:p>
  </w:endnote>
  <w:endnote w:id="531">
    <w:p w14:paraId="3B797AA8"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https://www.pilotgrowth.com/google-ventures-backs-metabiota/</w:t>
      </w:r>
    </w:p>
  </w:endnote>
  <w:endnote w:id="532">
    <w:p w14:paraId="3E635BF1"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https://www.weforum.org/people/nathan-d-wolfe</w:t>
      </w:r>
    </w:p>
  </w:endnote>
  <w:endnote w:id="533">
    <w:p w14:paraId="4E4A43DA" w14:textId="77777777" w:rsidR="00E42007" w:rsidRPr="003E5BE6" w:rsidRDefault="00E42007" w:rsidP="00E42007">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https://bidenlaptopemails.com/</w:t>
      </w:r>
    </w:p>
  </w:endnote>
  <w:endnote w:id="534">
    <w:p w14:paraId="70745F84" w14:textId="77777777" w:rsidR="001C2E2B" w:rsidRPr="00E75053" w:rsidRDefault="001C2E2B" w:rsidP="001C2E2B">
      <w:pPr>
        <w:pStyle w:val="EndnoteText"/>
        <w:ind w:left="270" w:hanging="270"/>
        <w:jc w:val="left"/>
        <w:rPr>
          <w:rStyle w:val="EndnoteReference"/>
          <w:rFonts w:cs="Times New Roman"/>
          <w:sz w:val="20"/>
          <w:szCs w:val="20"/>
          <w:vertAlign w:val="baseline"/>
        </w:rPr>
      </w:pPr>
      <w:r w:rsidRPr="00E75053">
        <w:rPr>
          <w:rStyle w:val="EndnoteReference"/>
          <w:rFonts w:cs="Times New Roman"/>
          <w:sz w:val="20"/>
          <w:szCs w:val="20"/>
          <w:vertAlign w:val="baseline"/>
        </w:rPr>
        <w:endnoteRef/>
      </w:r>
      <w:r w:rsidRPr="00E75053">
        <w:rPr>
          <w:rStyle w:val="EndnoteReference"/>
          <w:rFonts w:cs="Times New Roman"/>
          <w:sz w:val="20"/>
          <w:szCs w:val="20"/>
          <w:vertAlign w:val="baseline"/>
        </w:rPr>
        <w:t xml:space="preserve"> https://bidenlaptopemails.com/biden-emails/email.php?id=20140408-072406_97901</w:t>
      </w:r>
    </w:p>
  </w:endnote>
  <w:endnote w:id="535">
    <w:p w14:paraId="3B813161" w14:textId="77777777" w:rsidR="001C2E2B" w:rsidRPr="003E5BE6" w:rsidRDefault="001C2E2B" w:rsidP="001C2E2B">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https://21stcenturywire.com/wp-content/uploads/2022/03/Emails-2-1.pdf</w:t>
      </w:r>
    </w:p>
  </w:endnote>
  <w:endnote w:id="536">
    <w:p w14:paraId="5CA95548" w14:textId="77777777" w:rsidR="00C078E6" w:rsidRPr="003E5BE6" w:rsidRDefault="00C078E6" w:rsidP="00C078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https://web.archive.org/web/20140315054332/http://www.rstp.com/people/</w:t>
      </w:r>
    </w:p>
  </w:endnote>
  <w:endnote w:id="537">
    <w:p w14:paraId="5DAD44EE" w14:textId="77777777" w:rsidR="00C078E6" w:rsidRPr="003E5BE6" w:rsidRDefault="00C078E6" w:rsidP="00C078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https://web.archive.org/web/20150514170722/http://www.rstp.com/people/</w:t>
      </w:r>
    </w:p>
  </w:endnote>
  <w:endnote w:id="538">
    <w:p w14:paraId="2F1CE7CD" w14:textId="77777777" w:rsidR="001C2E2B" w:rsidRPr="003E5BE6" w:rsidRDefault="001C2E2B" w:rsidP="001C2E2B">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https://www.foxbusiness.com/politics/hunter-biden-linked-startup-investment-individual-allegedly-tied-russian-organized-crime</w:t>
      </w:r>
    </w:p>
  </w:endnote>
  <w:endnote w:id="539">
    <w:p w14:paraId="4B5428FD" w14:textId="77777777" w:rsidR="00E75053" w:rsidRPr="00D73EE6" w:rsidRDefault="00E75053" w:rsidP="00E75053">
      <w:pPr>
        <w:pStyle w:val="EndnoteText"/>
        <w:ind w:left="270" w:hanging="270"/>
        <w:jc w:val="left"/>
        <w:rPr>
          <w:rStyle w:val="EndnoteReference"/>
          <w:rFonts w:cs="Times New Roman"/>
          <w:sz w:val="20"/>
          <w:szCs w:val="20"/>
          <w:vertAlign w:val="baseline"/>
        </w:rPr>
      </w:pPr>
      <w:r w:rsidRPr="00D73EE6">
        <w:rPr>
          <w:rStyle w:val="EndnoteReference"/>
          <w:rFonts w:cs="Times New Roman"/>
          <w:sz w:val="20"/>
          <w:szCs w:val="20"/>
          <w:vertAlign w:val="baseline"/>
        </w:rPr>
        <w:endnoteRef/>
      </w:r>
      <w:r w:rsidRPr="00D73EE6">
        <w:rPr>
          <w:rStyle w:val="EndnoteReference"/>
          <w:rFonts w:cs="Times New Roman"/>
          <w:sz w:val="20"/>
          <w:szCs w:val="20"/>
          <w:vertAlign w:val="baseline"/>
        </w:rPr>
        <w:t xml:space="preserve"> https://bidenlaptopemails.com/biden-emails/email.php?id=20140404-011459_26046</w:t>
      </w:r>
    </w:p>
  </w:endnote>
  <w:endnote w:id="540">
    <w:p w14:paraId="66920844"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https://www.hsgac.senate.gov/imo/media/doc/HSGAC_Finance_Report_FINAL.pdf</w:t>
      </w:r>
    </w:p>
  </w:endnote>
  <w:endnote w:id="541">
    <w:p w14:paraId="518A75C0"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https://www.weforum.org/people/nathan-d-wolfe</w:t>
      </w:r>
    </w:p>
  </w:endnote>
  <w:endnote w:id="542">
    <w:p w14:paraId="47D43259"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https://www.weforum.org/agenda/2021/06/technology-pioneers-2021-world-economic-forum/</w:t>
      </w:r>
    </w:p>
  </w:endnote>
  <w:endnote w:id="543">
    <w:p w14:paraId="329C53E1"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https://www.science.org/content/article/what-else-makes-darpa-tick</w:t>
      </w:r>
    </w:p>
  </w:endnote>
  <w:endnote w:id="544">
    <w:p w14:paraId="324AA685"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https://uh.edu/news-events/calendars/special-events/rockwell-lecture/wolfe-biography/</w:t>
      </w:r>
    </w:p>
  </w:endnote>
  <w:endnote w:id="545">
    <w:p w14:paraId="74E3169A"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https://googlepress.blogspot.com/2008/10/googleorg-battles-bugs-viruses_21.html</w:t>
      </w:r>
    </w:p>
  </w:endnote>
  <w:endnote w:id="546">
    <w:p w14:paraId="46E70D6D" w14:textId="77777777" w:rsidR="004C5C79" w:rsidRPr="003E5BE6" w:rsidRDefault="004C5C79" w:rsidP="004C5C79">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https://imed.isid.org/mark-smolinski/</w:t>
      </w:r>
    </w:p>
  </w:endnote>
  <w:endnote w:id="547">
    <w:p w14:paraId="28FAF5A0"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https://www.usaspending.gov/keyword_search/metabiota</w:t>
      </w:r>
    </w:p>
  </w:endnote>
  <w:endnote w:id="548">
    <w:p w14:paraId="3EADCB99"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https://metabiota.com/sites/default/files/services_overview/MB%20Office%20Capacity%20Statements%20-%20Cameroon%20and%20DRC%20.pdf</w:t>
      </w:r>
    </w:p>
  </w:endnote>
  <w:endnote w:id="549">
    <w:p w14:paraId="2C688992"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https://www.usaspending.gov/award/CONT_AWD_HDTRA112C0024_9700_-NONE-_-NONE-</w:t>
      </w:r>
    </w:p>
  </w:endnote>
  <w:endnote w:id="550">
    <w:p w14:paraId="4172697A"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https://www.documentcloud.org/documents/2752219-20140717-Report-on-Ebola-Response-by-Viral.html</w:t>
      </w:r>
    </w:p>
  </w:endnote>
  <w:endnote w:id="551">
    <w:p w14:paraId="5D453314"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https://www.cbsnews.com/news/american-company-metabiota-problems-during-ebola-outbreak/</w:t>
      </w:r>
    </w:p>
  </w:endnote>
  <w:endnote w:id="552">
    <w:p w14:paraId="42C5643A"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https://www.sott.net/article/473584-Did-West-Africas-ebola-outbreak-of-2014-have-a-lab-origin-And-the-critical-covid-connections</w:t>
      </w:r>
    </w:p>
  </w:endnote>
  <w:endnote w:id="553">
    <w:p w14:paraId="29A2D65F"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Investigation: U.S. company bungled Ebola response, 07/03/2016, https://archive.ph/FvczB</w:t>
      </w:r>
    </w:p>
  </w:endnote>
  <w:endnote w:id="554">
    <w:p w14:paraId="6706B10F" w14:textId="77777777" w:rsidR="004C5C79" w:rsidRPr="00553E99" w:rsidRDefault="004C5C79" w:rsidP="004C5C79">
      <w:pPr>
        <w:pStyle w:val="EndnoteText"/>
        <w:ind w:left="270" w:hanging="270"/>
        <w:jc w:val="left"/>
        <w:rPr>
          <w:rStyle w:val="EndnoteReference"/>
          <w:rFonts w:cs="Times New Roman"/>
          <w:sz w:val="20"/>
          <w:szCs w:val="20"/>
          <w:vertAlign w:val="baseline"/>
        </w:rPr>
      </w:pPr>
      <w:r w:rsidRPr="00553E99">
        <w:rPr>
          <w:rStyle w:val="EndnoteReference"/>
          <w:rFonts w:cs="Times New Roman"/>
          <w:sz w:val="20"/>
          <w:szCs w:val="20"/>
          <w:vertAlign w:val="baseline"/>
        </w:rPr>
        <w:endnoteRef/>
      </w:r>
      <w:r w:rsidRPr="00553E99">
        <w:rPr>
          <w:rStyle w:val="EndnoteReference"/>
          <w:rFonts w:cs="Times New Roman"/>
          <w:sz w:val="20"/>
          <w:szCs w:val="20"/>
          <w:vertAlign w:val="baseline"/>
        </w:rPr>
        <w:t xml:space="preserve"> https://www.independentsciencenews.org/health/did-west-africas-ebola-outbreak-of-2014-have-a-lab-origin/</w:t>
      </w:r>
    </w:p>
  </w:endnote>
  <w:endnote w:id="555">
    <w:p w14:paraId="0764878E"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https://apps.who.int/iris/rest/bitstreams/1031116/retrieve</w:t>
      </w:r>
    </w:p>
  </w:endnote>
  <w:endnote w:id="556">
    <w:p w14:paraId="36B10743"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The origins of the Covid19 global pandemic, including the roles of the Chinese Communist Party and the World Health Organization. House Foreign Affairs Committee Minority Staff Report. 116th Congress. https://gop-foreignaffairs.house.gov/wp-content/uploads/2020/09/Final-Minority-Report-on-the-Origins-of-the-COVID-19-Global-Pandemic-Including-the-Roles-of-the-CCP-and-WHO-9.20.20-Coverpage.pdf</w:t>
      </w:r>
    </w:p>
  </w:endnote>
  <w:endnote w:id="557">
    <w:p w14:paraId="4070636A"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https://www.who.int/news-room/articles-detail/key-considerations-for-repatriation-and-quarantine-of-travellers-in-relation-to-the-outbreak-of-novel-coronavirus-2019-ncov/</w:t>
      </w:r>
    </w:p>
  </w:endnote>
  <w:endnote w:id="558">
    <w:p w14:paraId="32A2BDB0"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Taiwan Central Epidemic Command Center. The facts regarding Taiwan’s email to alert WHO </w:t>
      </w:r>
      <w:r>
        <w:rPr>
          <w:rStyle w:val="EndnoteReference"/>
          <w:rFonts w:cs="Times New Roman"/>
          <w:sz w:val="20"/>
          <w:szCs w:val="20"/>
          <w:vertAlign w:val="baseline"/>
        </w:rPr>
        <w:t xml:space="preserve">about COVID-19, </w:t>
      </w:r>
      <w:r w:rsidRPr="00C66667">
        <w:rPr>
          <w:rStyle w:val="EndnoteReference"/>
          <w:rFonts w:cs="Times New Roman"/>
          <w:sz w:val="20"/>
          <w:szCs w:val="20"/>
          <w:vertAlign w:val="baseline"/>
        </w:rPr>
        <w:t>https://www.cdc.gov.tw/Category/ListContent/sOn2_m9QgxKqhZ7omgiz1A?uaid=PAD-lbwDHeN_bLa-viBOuw</w:t>
      </w:r>
    </w:p>
  </w:endnote>
  <w:endnote w:id="559">
    <w:p w14:paraId="2853DD29"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https://www.who.int/china/news/detail/22-01-2020-field-visit-wuhan-china-jan-2020</w:t>
      </w:r>
    </w:p>
  </w:endnote>
  <w:endnote w:id="560">
    <w:p w14:paraId="345827AA"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Schnirring, Lisa. “New Coronavirus Infects Health Workers, Spreads to Korea.” CIDRAP, 20 Jan. 2020, www.cidrap.umn.edu/news-perspective/2020/01/new-coronavirus-infects-health-workers-spreads-korea</w:t>
      </w:r>
    </w:p>
  </w:endnote>
  <w:endnote w:id="561">
    <w:p w14:paraId="34F68052"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Ma, Josephine. “China's First Confirmed Covid-19 Case Traced Back to November 17.” South China Morning Post, 13 Mar. 2020, www.scmp.com/news/china/society/article/3074991/coronavirus-chinas-first-confirmed-Covid-19-case-traced-back.</w:t>
      </w:r>
    </w:p>
  </w:endnote>
  <w:endnote w:id="562">
    <w:p w14:paraId="6FA5A247"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“China Didn’t Warn Public of Likely Pandemic For 6 Key Days.” AP NEWS, 15 Jan. 2020, https://apnews.com/68a9e1b91de4ffc166acd6012d82c2f9</w:t>
      </w:r>
    </w:p>
  </w:endnote>
  <w:endnote w:id="563">
    <w:p w14:paraId="404F6B7D"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Phan, Lan T., et al. “Importation and Human-to-Human Transmission of a Novel Coronavirus in Vietnam: NEJM.” New England Journal of Medicine, 27 Feb. 2020, www.nejm.org/doi/full/10.1056/NEJMc2001272</w:t>
      </w:r>
    </w:p>
  </w:endnote>
  <w:endnote w:id="564">
    <w:p w14:paraId="41DB7141"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Schnirring, Lisa. “New Coronavirus Infects Health Workers, Spreads to Korea.” CIDRAP, 20 Jan. 2020, www.cidrap.umn.edu/news-perspective/2020/01/new-coronavirus-infects-health-workers-spreads-korea</w:t>
      </w:r>
    </w:p>
  </w:endnote>
  <w:endnote w:id="565">
    <w:p w14:paraId="1A949219"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Pillinger, Mara. “Analysis | The WHO Held off on Declaring the Wuhan Coronavirus a Global Health Emergency. Here's Why.” The Washington Post, 26 Jan. 2020, www.washingtonpost.com/politics/2020/01/26/who-held-off-declaring-wuhan-coronavirus-global-health-emergency-heres-why/.</w:t>
      </w:r>
    </w:p>
  </w:endnote>
  <w:endnote w:id="566">
    <w:p w14:paraId="50B5877F"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https://www.euro.who.int/en/health-topics/communicable-diseases/influenza/data-and-statistics/pandemic-influenza/about-pandemic-phases,  https://www.who.int/influenza/resources/documents/pandemic_phase_descriptions_and_actions.pdf</w:t>
      </w:r>
    </w:p>
  </w:endnote>
  <w:endnote w:id="567">
    <w:p w14:paraId="5F1BF8BD"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https://www.who.int/director-general/speeches/detail/who-director-general-s-opening-remarks-at-the-media-briefing-on-Covid-19---11-march-2020</w:t>
      </w:r>
    </w:p>
  </w:endnote>
  <w:endnote w:id="568">
    <w:p w14:paraId="4F225030"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Pandemic Emergency Financing Facility: https://www.worldbank.org/en/topic/pandemics/brief/pandemic-emergency-financing-facility, https://thedocs.worldbank.org/en/doc/134541557247094502-0090022019/original/PEFOperationalBriefFeb2019.pdf, https://thedocs.worldbank.org/en/doc/842101571243529089-0090022019/original/PEFOperationsManualapproved10.15.18.pdf</w:t>
      </w:r>
    </w:p>
  </w:endnote>
  <w:endnote w:id="569">
    <w:p w14:paraId="726B1FFF"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https://www.centralbanking.com/central-banks/financial-stability/7535021/world-bank-pays-out-after-triggering-pandemic-bonds</w:t>
      </w:r>
    </w:p>
  </w:endnote>
  <w:endnote w:id="570">
    <w:p w14:paraId="12B75C52"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https://www.reuters.com/article/us-china-health-who-idINKBN1ZX1H3</w:t>
      </w:r>
    </w:p>
  </w:endnote>
  <w:endnote w:id="571">
    <w:p w14:paraId="1F5D71CF"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https://www.who.int/news-room/articles-detail/updated-who-recommendations-for-international-traffic-in-relation-to-Covid-19-outbreak</w:t>
      </w:r>
    </w:p>
  </w:endnote>
  <w:endnote w:id="572">
    <w:p w14:paraId="5EE3D8A1"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https://www.washingtontimes.com/news/2020/apr/14/donald-trump-cuts-who-funding-pending-review/?msclkid=f6a0e707cf3e11ecb2737c5ec4cebb2f</w:t>
      </w:r>
    </w:p>
  </w:endnote>
  <w:endnote w:id="573">
    <w:p w14:paraId="4EC4A59E" w14:textId="77777777" w:rsidR="00385ACF" w:rsidRPr="00E15DC4" w:rsidRDefault="00385ACF" w:rsidP="00385ACF">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w:t>
      </w:r>
      <w:r w:rsidRPr="006D5AAD">
        <w:rPr>
          <w:rStyle w:val="EndnoteReference"/>
          <w:rFonts w:cs="Times New Roman"/>
          <w:sz w:val="20"/>
          <w:szCs w:val="20"/>
          <w:vertAlign w:val="baseline"/>
        </w:rPr>
        <w:t>“</w:t>
      </w:r>
      <w:r w:rsidRPr="00E15DC4">
        <w:rPr>
          <w:rStyle w:val="EndnoteReference"/>
          <w:rFonts w:cs="Times New Roman"/>
          <w:sz w:val="20"/>
          <w:szCs w:val="20"/>
          <w:vertAlign w:val="baseline"/>
        </w:rPr>
        <w:t>Top 10 Documentaries On 2020 Election Fraud</w:t>
      </w:r>
      <w:r w:rsidRPr="006D5AAD">
        <w:rPr>
          <w:rStyle w:val="EndnoteReference"/>
          <w:rFonts w:cs="Times New Roman"/>
          <w:sz w:val="20"/>
          <w:szCs w:val="20"/>
          <w:vertAlign w:val="baseline"/>
        </w:rPr>
        <w:t>”</w:t>
      </w:r>
      <w:r w:rsidRPr="00E15DC4">
        <w:rPr>
          <w:rStyle w:val="EndnoteReference"/>
          <w:rFonts w:cs="Times New Roman"/>
          <w:sz w:val="20"/>
          <w:szCs w:val="20"/>
          <w:vertAlign w:val="baseline"/>
        </w:rPr>
        <w:t>, https://world-wire.com/top-10-documentaries-on-2020-election-fraud/</w:t>
      </w:r>
    </w:p>
  </w:endnote>
  <w:endnote w:id="574">
    <w:p w14:paraId="691280B4" w14:textId="77777777" w:rsidR="00385ACF" w:rsidRPr="00E15DC4" w:rsidRDefault="00385ACF" w:rsidP="00385ACF">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S</w:t>
      </w:r>
      <w:r w:rsidRPr="006D5AAD">
        <w:rPr>
          <w:rStyle w:val="EndnoteReference"/>
          <w:rFonts w:cs="Times New Roman"/>
          <w:sz w:val="20"/>
          <w:szCs w:val="20"/>
          <w:vertAlign w:val="baseline"/>
        </w:rPr>
        <w:t>.</w:t>
      </w:r>
      <w:r w:rsidRPr="00E15DC4">
        <w:rPr>
          <w:rStyle w:val="EndnoteReference"/>
          <w:rFonts w:cs="Times New Roman"/>
          <w:sz w:val="20"/>
          <w:szCs w:val="20"/>
          <w:vertAlign w:val="baseline"/>
        </w:rPr>
        <w:t xml:space="preserve"> Kern</w:t>
      </w:r>
      <w:r w:rsidRPr="006D5AAD">
        <w:rPr>
          <w:rStyle w:val="EndnoteReference"/>
          <w:rFonts w:cs="Times New Roman"/>
          <w:sz w:val="20"/>
          <w:szCs w:val="20"/>
          <w:vertAlign w:val="baseline"/>
        </w:rPr>
        <w:t>,</w:t>
      </w:r>
      <w:r w:rsidRPr="00E15DC4">
        <w:rPr>
          <w:rStyle w:val="EndnoteReference"/>
          <w:rFonts w:cs="Times New Roman"/>
          <w:sz w:val="20"/>
          <w:szCs w:val="20"/>
          <w:vertAlign w:val="baseline"/>
        </w:rPr>
        <w:t xml:space="preserve"> Was the US Election Stolen? 2020</w:t>
      </w:r>
      <w:r w:rsidRPr="006D5AAD">
        <w:rPr>
          <w:rStyle w:val="EndnoteReference"/>
          <w:rFonts w:cs="Times New Roman"/>
          <w:sz w:val="20"/>
          <w:szCs w:val="20"/>
          <w:vertAlign w:val="baseline"/>
        </w:rPr>
        <w:t>,</w:t>
      </w:r>
      <w:r w:rsidRPr="00E15DC4">
        <w:rPr>
          <w:rStyle w:val="EndnoteReference"/>
          <w:rFonts w:cs="Times New Roman"/>
          <w:sz w:val="20"/>
          <w:szCs w:val="20"/>
          <w:vertAlign w:val="baseline"/>
        </w:rPr>
        <w:t xml:space="preserve"> https://www.gatestoneinstitute.org/16770/stolen-election</w:t>
      </w:r>
    </w:p>
  </w:endnote>
  <w:endnote w:id="575">
    <w:p w14:paraId="05E05F39" w14:textId="77777777" w:rsidR="00385ACF" w:rsidRPr="00E15DC4" w:rsidRDefault="00385ACF" w:rsidP="00385ACF">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Roman Balmakov, The Epoch Times in “Facts Matter” </w:t>
      </w:r>
      <w:r w:rsidRPr="006D5AAD">
        <w:rPr>
          <w:rStyle w:val="EndnoteReference"/>
          <w:rFonts w:cs="Times New Roman"/>
          <w:sz w:val="20"/>
          <w:szCs w:val="20"/>
          <w:vertAlign w:val="baseline"/>
        </w:rPr>
        <w:t xml:space="preserve">videos </w:t>
      </w:r>
      <w:r w:rsidRPr="00E15DC4">
        <w:rPr>
          <w:rStyle w:val="EndnoteReference"/>
          <w:rFonts w:cs="Times New Roman"/>
          <w:sz w:val="20"/>
          <w:szCs w:val="20"/>
          <w:vertAlign w:val="baseline"/>
        </w:rPr>
        <w:t xml:space="preserve">details </w:t>
      </w:r>
      <w:r w:rsidRPr="006D5AAD">
        <w:rPr>
          <w:rStyle w:val="EndnoteReference"/>
          <w:rFonts w:cs="Times New Roman"/>
          <w:sz w:val="20"/>
          <w:szCs w:val="20"/>
          <w:vertAlign w:val="baseline"/>
        </w:rPr>
        <w:t xml:space="preserve">his investigation into </w:t>
      </w:r>
      <w:r w:rsidRPr="00E15DC4">
        <w:rPr>
          <w:rStyle w:val="EndnoteReference"/>
          <w:rFonts w:cs="Times New Roman"/>
          <w:sz w:val="20"/>
          <w:szCs w:val="20"/>
          <w:vertAlign w:val="baseline"/>
        </w:rPr>
        <w:t xml:space="preserve">an alleged </w:t>
      </w:r>
      <w:r w:rsidRPr="006D5AAD">
        <w:rPr>
          <w:rStyle w:val="EndnoteReference"/>
          <w:rFonts w:cs="Times New Roman"/>
          <w:sz w:val="20"/>
          <w:szCs w:val="20"/>
          <w:vertAlign w:val="baseline"/>
        </w:rPr>
        <w:t xml:space="preserve">technology-funding enabled </w:t>
      </w:r>
      <w:r w:rsidRPr="00E15DC4">
        <w:rPr>
          <w:rStyle w:val="EndnoteReference"/>
          <w:rFonts w:cs="Times New Roman"/>
          <w:sz w:val="20"/>
          <w:szCs w:val="20"/>
          <w:vertAlign w:val="baseline"/>
        </w:rPr>
        <w:t>US election theft (November 2020 to January 2021</w:t>
      </w:r>
      <w:r w:rsidRPr="006D5AAD">
        <w:rPr>
          <w:rStyle w:val="EndnoteReference"/>
          <w:rFonts w:cs="Times New Roman"/>
          <w:sz w:val="20"/>
          <w:szCs w:val="20"/>
          <w:vertAlign w:val="baseline"/>
        </w:rPr>
        <w:t xml:space="preserve">), </w:t>
      </w:r>
      <w:r w:rsidRPr="00E15DC4">
        <w:rPr>
          <w:rStyle w:val="EndnoteReference"/>
          <w:rFonts w:cs="Times New Roman"/>
          <w:sz w:val="20"/>
          <w:szCs w:val="20"/>
          <w:vertAlign w:val="baseline"/>
        </w:rPr>
        <w:t>https://www.theepochtimes.com/author-roman-balmakov</w:t>
      </w:r>
    </w:p>
  </w:endnote>
  <w:endnote w:id="576">
    <w:p w14:paraId="0BB1BB6B" w14:textId="77777777" w:rsidR="00385ACF" w:rsidRPr="00E15DC4" w:rsidRDefault="00385ACF" w:rsidP="00385ACF">
      <w:pPr>
        <w:pStyle w:val="EndnoteText"/>
        <w:ind w:left="270" w:hanging="270"/>
        <w:jc w:val="left"/>
        <w:rPr>
          <w:rStyle w:val="EndnoteReference"/>
          <w:rFonts w:cs="Times New Roman"/>
          <w:sz w:val="20"/>
          <w:szCs w:val="20"/>
          <w:vertAlign w:val="baseline"/>
        </w:rPr>
      </w:pPr>
      <w:r w:rsidRPr="00E15DC4">
        <w:rPr>
          <w:rStyle w:val="EndnoteReference"/>
          <w:rFonts w:cs="Times New Roman"/>
          <w:sz w:val="20"/>
          <w:szCs w:val="20"/>
          <w:vertAlign w:val="baseline"/>
        </w:rPr>
        <w:endnoteRef/>
      </w:r>
      <w:r w:rsidRPr="00E15DC4">
        <w:rPr>
          <w:rStyle w:val="EndnoteReference"/>
          <w:rFonts w:cs="Times New Roman"/>
          <w:sz w:val="20"/>
          <w:szCs w:val="20"/>
          <w:vertAlign w:val="baseline"/>
        </w:rPr>
        <w:t xml:space="preserve"> Thomas More Society’s Amistad Project, The Legitimacy and Effect of Private Funding In Federal and State Electoral Processes,  https://s3.documentcloud.org/documents/20428534/hava-and-non-profit-organization-report-final-w-attachments-and-preface-121420.pdf</w:t>
      </w:r>
    </w:p>
  </w:endnote>
  <w:endnote w:id="577">
    <w:p w14:paraId="65FA8ECC"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Shengjie Lai, Nick W Ruktanonchai, Liangcai Zhou,Effect of non-pharmaceutical interventions for containing the COVID-19 outbreak in China, March 13, 2020. medRxiv 2020.03.03.20029843; doi: https://doi.org/10.1101/2020.03.03.20029843</w:t>
      </w:r>
    </w:p>
  </w:endnote>
  <w:endnote w:id="578">
    <w:p w14:paraId="0F151332" w14:textId="77777777" w:rsidR="000D2E39" w:rsidRPr="00C66667" w:rsidRDefault="000D2E39" w:rsidP="000D2E39">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https://www.who.int/news-room/feature-stories/detail/who-advises-that-Ivermectin-only-be-used-to-treat-Covid-19-within-clinical-trials</w:t>
      </w:r>
    </w:p>
  </w:endnote>
  <w:endnote w:id="579">
    <w:p w14:paraId="05B3B240" w14:textId="18ED8F55" w:rsidR="000D2E39" w:rsidRPr="003E5BE6" w:rsidRDefault="000D2E39" w:rsidP="003E5BE6">
      <w:pPr>
        <w:pStyle w:val="EndnoteText"/>
        <w:ind w:left="270" w:hanging="270"/>
        <w:jc w:val="left"/>
        <w:rPr>
          <w:rStyle w:val="EndnoteReference"/>
          <w:rFonts w:cs="Times New Roman"/>
          <w:sz w:val="20"/>
          <w:szCs w:val="20"/>
          <w:vertAlign w:val="baseline"/>
        </w:rPr>
      </w:pPr>
      <w:r w:rsidRPr="003E5BE6">
        <w:rPr>
          <w:rStyle w:val="EndnoteReference"/>
          <w:rFonts w:cs="Times New Roman"/>
          <w:sz w:val="20"/>
          <w:szCs w:val="20"/>
          <w:vertAlign w:val="baseline"/>
        </w:rPr>
        <w:endnoteRef/>
      </w:r>
      <w:r w:rsidRPr="003E5BE6">
        <w:rPr>
          <w:rStyle w:val="EndnoteReference"/>
          <w:rFonts w:cs="Times New Roman"/>
          <w:sz w:val="20"/>
          <w:szCs w:val="20"/>
          <w:vertAlign w:val="baseline"/>
        </w:rPr>
        <w:t xml:space="preserve"> https://www.covid19treatmentguidelines.nih.gov/therapies/antiviral-therapy/ivermectin/</w:t>
      </w:r>
    </w:p>
  </w:endnote>
  <w:endnote w:id="580">
    <w:p w14:paraId="4A80EA77" w14:textId="77777777" w:rsidR="001E56F6" w:rsidRPr="00C66667" w:rsidRDefault="001E56F6" w:rsidP="001E56F6">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Bryant, A., Lawrie, T. A., Dowswell, T., et al., (2021). Ivermectin for Prevention and Treatment of COVID-19 Infection: A Systematic Review, Meta-analysis, and Trial Sequential Analysis to Inform Clinical Guidelines. American journal of therapeutics, 28(4), e434–e460. https://doi.org/10.1097/MJT.0000000000001402</w:t>
      </w:r>
    </w:p>
  </w:endnote>
  <w:endnote w:id="581">
    <w:p w14:paraId="02B2B3D3" w14:textId="77777777" w:rsidR="00D36BE2" w:rsidRPr="00C66667" w:rsidRDefault="00D36BE2" w:rsidP="00D36BE2">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Kory, P., Meduri, G. U., Varon, J., Iglesias, J., &amp; Marik, P. E. (2021). Review of the Emerging Evidence Demonstrating the Efficacy of Ivermectin in the Prophylaxis and Treatment of COVID-19. American journal of therapeutics, 28(3), e299–e318. https://doi.org/10.1097/MJT.0000000000001377</w:t>
      </w:r>
    </w:p>
  </w:endnote>
  <w:endnote w:id="582">
    <w:p w14:paraId="1CA94F17" w14:textId="77777777" w:rsidR="00D36BE2" w:rsidRPr="00C66667" w:rsidRDefault="00D36BE2" w:rsidP="00D36BE2">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Hellwig MD, Maia A. A COVID-19 prophylaxis? Lower incidence associated with prophylactic administration of Ivermectin. Int J Antimicrob Agents. 2021 Jan;57(1):106248. doi: 10.1016/j.ijantimicag.2020.106248. Epub 2020 Nov 28. PMID: 33259913; PMCID: PMC7698683.</w:t>
      </w:r>
    </w:p>
  </w:endnote>
  <w:endnote w:id="583">
    <w:p w14:paraId="773B68D3" w14:textId="77777777" w:rsidR="000D2E39" w:rsidRPr="00C66667" w:rsidRDefault="000D2E39" w:rsidP="000D2E39">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Behera P, Patro BK, Singh AK, et al., Role of Ivermectin in the prevention of SARS-CoV-2 infection among healthcare workers in India: A matched case-control study. PLoS One. 2021 Feb 16;16(2):e0247163. doi: 10.1371/journal.pone.0247163. PMID: 33592050; PMCID: PMC7886121.</w:t>
      </w:r>
    </w:p>
  </w:endnote>
  <w:endnote w:id="584">
    <w:p w14:paraId="3D314B95" w14:textId="77777777" w:rsidR="000D2E39" w:rsidRPr="00C66667" w:rsidRDefault="000D2E39" w:rsidP="000D2E39">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https://www.zerohedge.com/Covid-19/indias-Ivermectin-blackout-secret-revealed</w:t>
      </w:r>
    </w:p>
  </w:endnote>
  <w:endnote w:id="585">
    <w:p w14:paraId="272D6062" w14:textId="77777777" w:rsidR="000D2E39" w:rsidRPr="008B4BE6" w:rsidRDefault="000D2E39" w:rsidP="000D2E39">
      <w:pPr>
        <w:pStyle w:val="EndnoteText"/>
        <w:ind w:left="270" w:hanging="270"/>
        <w:jc w:val="left"/>
        <w:rPr>
          <w:rStyle w:val="EndnoteReference"/>
          <w:rFonts w:cs="Times New Roman"/>
          <w:sz w:val="20"/>
          <w:szCs w:val="20"/>
          <w:vertAlign w:val="baseline"/>
        </w:rPr>
      </w:pPr>
      <w:r w:rsidRPr="008B4BE6">
        <w:rPr>
          <w:rStyle w:val="EndnoteReference"/>
          <w:rFonts w:cs="Times New Roman"/>
          <w:sz w:val="20"/>
          <w:szCs w:val="20"/>
          <w:vertAlign w:val="baseline"/>
        </w:rPr>
        <w:endnoteRef/>
      </w:r>
      <w:r w:rsidRPr="008B4BE6">
        <w:rPr>
          <w:rStyle w:val="EndnoteReference"/>
          <w:rFonts w:cs="Times New Roman"/>
          <w:sz w:val="20"/>
          <w:szCs w:val="20"/>
          <w:vertAlign w:val="baseline"/>
        </w:rPr>
        <w:t xml:space="preserve"> The Miracle Not-Heard Around The World: The Success of Uttar Pradesh - Part 2, https://pierrekory.substack.com/p/the-miracle-not-heard-around-the-fe9</w:t>
      </w:r>
    </w:p>
  </w:endnote>
  <w:endnote w:id="586">
    <w:p w14:paraId="6F118347"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Lehrer, S., &amp; Rheinstein, P. H. (2020). Ivermectin Docks to the SARS-CoV-2 Spike Receptor-binding Domain Attached to ACE2. In vivo (Athens, Greece), 34(5), 3023–3026. https://doi.org/10.21873/invivo.12134</w:t>
      </w:r>
    </w:p>
  </w:endnote>
  <w:endnote w:id="587">
    <w:p w14:paraId="0DE6244C"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A. Francés-Monerris, C. García-Iriepa, I. Iriepa, et al. Microscopic interactions between Ivermectin and key human and viral proteins involved in SARS-CoV-2 infection. Phys. Chem. Chem. Phys., 2021,23, 22957-22971. https://doi.org/10.1039/D1CP02967C.</w:t>
      </w:r>
    </w:p>
  </w:endnote>
  <w:endnote w:id="588">
    <w:p w14:paraId="510B217E"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A. F. Eweas, Amr A. Alhossary, A. S. Abdel-Moneim. Molecular Docking Reveals Ivermectin and Remdesivir as Potential Repurposed Drugs Against SARS-CoV-2. Front. Microbiol., 25 January 2021 | https://doi.org/10.3389/fmicb.2020.592908.</w:t>
      </w:r>
    </w:p>
  </w:endnote>
  <w:endnote w:id="589">
    <w:p w14:paraId="3310CD38" w14:textId="77777777" w:rsidR="00467B2D" w:rsidRPr="00C66667" w:rsidRDefault="00467B2D" w:rsidP="00467B2D">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Mody, V., Ho, J., Wills, S. et al. Identification of 3-chymotrypsin like protease (3CLPro) inhibitors as potential anti-SARS-CoV-2 agents. Commun Biol 4, 93 (2021). https://doi.org/10.1038/s42003-020-01577-x</w:t>
      </w:r>
    </w:p>
  </w:endnote>
  <w:endnote w:id="590">
    <w:p w14:paraId="572B230D" w14:textId="77777777" w:rsidR="00ED160F" w:rsidRPr="00A83420" w:rsidRDefault="00ED160F" w:rsidP="00ED160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https://www.who.int/health-topics/international-health-regulations#tab=tab_1</w:t>
      </w:r>
    </w:p>
  </w:endnote>
  <w:endnote w:id="591">
    <w:p w14:paraId="2CEC9851" w14:textId="77777777" w:rsidR="00ED160F" w:rsidRPr="00A83420" w:rsidRDefault="00ED160F" w:rsidP="00ED160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https://apps.who.int/iris/rest/bitstreams/1031116/retrieve</w:t>
      </w:r>
    </w:p>
  </w:endnote>
  <w:endnote w:id="592">
    <w:p w14:paraId="0B9C392A" w14:textId="77777777" w:rsidR="00ED160F" w:rsidRPr="00A83420" w:rsidRDefault="00ED160F" w:rsidP="00ED160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https://healthpolicy-watch.news/wp-content/uploads/2022/02/C.L.2.2022-IHR-amendments-English.pdf</w:t>
      </w:r>
    </w:p>
  </w:endnote>
  <w:endnote w:id="593">
    <w:p w14:paraId="0349BCA7" w14:textId="77777777" w:rsidR="00ED160F" w:rsidRPr="00A83420" w:rsidRDefault="00ED160F" w:rsidP="00ED160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https://www.who.int/news/item/01-12-2021-world-health-assembly-agrees-to-launch-process-to-develop-historic-global-accord-on-pandemic-prevention-preparedness-and-response</w:t>
      </w:r>
    </w:p>
  </w:endnote>
  <w:endnote w:id="594">
    <w:p w14:paraId="3ED71594" w14:textId="77777777" w:rsidR="00ED160F" w:rsidRPr="00C66667" w:rsidRDefault="00ED160F" w:rsidP="00ED160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https://apps.who.int/gb/wgpr/pdf_files/wgpr5/A_WGPR5_2-en.pdf</w:t>
      </w:r>
    </w:p>
  </w:endnote>
  <w:endnote w:id="595">
    <w:p w14:paraId="5C63B079" w14:textId="77777777" w:rsidR="00ED160F" w:rsidRPr="00A83420" w:rsidRDefault="00ED160F" w:rsidP="00ED160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https://worldcouncilforhealth.org/news/2022/03/pandemic-treaty/45591/</w:t>
      </w:r>
    </w:p>
  </w:endnote>
  <w:endnote w:id="596">
    <w:p w14:paraId="3FF18AE4" w14:textId="77777777" w:rsidR="00C115FF" w:rsidRPr="00A83420" w:rsidRDefault="00C115FF" w:rsidP="00C115F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 xml:space="preserve"> https://healthpolicy-watch.news/wp-content/uploads/2022/02/C.L.2.2022-IHR-amendments-English.pdf</w:t>
      </w:r>
    </w:p>
  </w:endnote>
  <w:endnote w:id="597">
    <w:p w14:paraId="306A1E34" w14:textId="77777777" w:rsidR="00C115FF" w:rsidRPr="00A83420" w:rsidRDefault="00C115FF" w:rsidP="00C115FF">
      <w:pPr>
        <w:pStyle w:val="EndnoteText"/>
        <w:ind w:left="270" w:hanging="270"/>
        <w:jc w:val="left"/>
        <w:rPr>
          <w:rStyle w:val="EndnoteReference"/>
          <w:rFonts w:cs="Times New Roman"/>
          <w:sz w:val="20"/>
          <w:szCs w:val="20"/>
          <w:vertAlign w:val="baseline"/>
        </w:rPr>
      </w:pPr>
      <w:r w:rsidRPr="00A83420">
        <w:rPr>
          <w:rStyle w:val="EndnoteReference"/>
          <w:rFonts w:cs="Times New Roman"/>
          <w:sz w:val="20"/>
          <w:szCs w:val="20"/>
          <w:vertAlign w:val="baseline"/>
        </w:rPr>
        <w:endnoteRef/>
      </w:r>
      <w:r w:rsidRPr="00A83420">
        <w:rPr>
          <w:rStyle w:val="EndnoteReference"/>
          <w:rFonts w:cs="Times New Roman"/>
          <w:sz w:val="20"/>
          <w:szCs w:val="20"/>
          <w:vertAlign w:val="baseline"/>
        </w:rPr>
        <w:t>https://childrenshealthdefense.org/defender/pandemic-treaty-world-health-organization-cola/</w:t>
      </w:r>
    </w:p>
  </w:endnote>
  <w:endnote w:id="598">
    <w:p w14:paraId="72158568" w14:textId="77777777" w:rsidR="00C115FF" w:rsidRPr="00CC7638" w:rsidRDefault="00C115FF" w:rsidP="00C115FF">
      <w:pPr>
        <w:pStyle w:val="EndnoteText"/>
        <w:ind w:left="270" w:hanging="270"/>
        <w:jc w:val="left"/>
        <w:rPr>
          <w:rStyle w:val="EndnoteReference"/>
          <w:rFonts w:cs="Times New Roman"/>
          <w:sz w:val="20"/>
          <w:szCs w:val="20"/>
          <w:vertAlign w:val="baseline"/>
        </w:rPr>
      </w:pPr>
      <w:r w:rsidRPr="00CC7638">
        <w:rPr>
          <w:rStyle w:val="EndnoteReference"/>
          <w:rFonts w:cs="Times New Roman"/>
          <w:sz w:val="20"/>
          <w:szCs w:val="20"/>
          <w:vertAlign w:val="baseline"/>
        </w:rPr>
        <w:endnoteRef/>
      </w:r>
      <w:r w:rsidRPr="00CC7638">
        <w:rPr>
          <w:rStyle w:val="EndnoteReference"/>
          <w:rFonts w:cs="Times New Roman"/>
          <w:sz w:val="20"/>
          <w:szCs w:val="20"/>
          <w:vertAlign w:val="baseline"/>
        </w:rPr>
        <w:t xml:space="preserve"> https://stateofthenation.co/?p=116212</w:t>
      </w:r>
    </w:p>
  </w:endnote>
  <w:endnote w:id="599">
    <w:p w14:paraId="3BE6B61B" w14:textId="77777777" w:rsidR="00ED160F" w:rsidRPr="00C66667" w:rsidRDefault="00ED160F" w:rsidP="00ED160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https://www.outbreakobservatory.org/outbreakthursday-1/2/7/2019/revisiting-the-pheic-decision-in-the-drc</w:t>
      </w:r>
    </w:p>
  </w:endnote>
  <w:endnote w:id="600">
    <w:p w14:paraId="1CE501DA" w14:textId="77777777" w:rsidR="00ED160F" w:rsidRPr="00C66667" w:rsidRDefault="00ED160F" w:rsidP="00ED160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www.washingtonpost.com/politics/2020/01/26/who-held-off-declaring-wuhan-coronavirus-glo</w:t>
      </w:r>
      <w:r>
        <w:rPr>
          <w:rStyle w:val="EndnoteReference"/>
          <w:rFonts w:cs="Times New Roman"/>
          <w:sz w:val="20"/>
          <w:szCs w:val="20"/>
          <w:vertAlign w:val="baseline"/>
        </w:rPr>
        <w:t>bal-health-emergency-heres-why/</w:t>
      </w:r>
    </w:p>
  </w:endnote>
  <w:endnote w:id="601">
    <w:p w14:paraId="1884CC15" w14:textId="77777777" w:rsidR="00ED160F" w:rsidRPr="00C66667" w:rsidRDefault="00ED160F" w:rsidP="00ED160F">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https://www.genocidewatch.com/single-post/2017/07/24/an-open-letter-to-dr-tedros-adhanom-ghebreyesus-director-general-of-the-un-s-world-health</w:t>
      </w:r>
    </w:p>
  </w:endnote>
  <w:endnote w:id="602">
    <w:p w14:paraId="395A4BA4" w14:textId="77777777" w:rsidR="00B34EB0" w:rsidRPr="00C66667" w:rsidRDefault="00B34EB0" w:rsidP="00B34EB0">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https://moneybloodandconscience.com/communication/</w:t>
      </w:r>
    </w:p>
  </w:endnote>
  <w:endnote w:id="603">
    <w:p w14:paraId="5814B81B" w14:textId="77777777" w:rsidR="00B34EB0" w:rsidRPr="00C66667" w:rsidRDefault="00B34EB0" w:rsidP="00B34EB0">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https://www.dr-rath-foundation.org/2022/05/who-chief-accused-by-nobel-peace-prize-nominee-of-aiding-genocide-was-this-news-buried/</w:t>
      </w:r>
    </w:p>
  </w:endnote>
  <w:endnote w:id="604">
    <w:p w14:paraId="30F9CC33" w14:textId="77777777" w:rsidR="00B34EB0" w:rsidRPr="00C66667" w:rsidRDefault="00B34EB0" w:rsidP="00B34EB0">
      <w:pPr>
        <w:pStyle w:val="EndnoteText"/>
        <w:ind w:left="270" w:hanging="270"/>
        <w:jc w:val="left"/>
        <w:rPr>
          <w:rStyle w:val="EndnoteReference"/>
          <w:rFonts w:cs="Times New Roman"/>
          <w:sz w:val="20"/>
          <w:szCs w:val="20"/>
          <w:vertAlign w:val="baseline"/>
        </w:rPr>
      </w:pPr>
      <w:r w:rsidRPr="00C66667">
        <w:rPr>
          <w:rStyle w:val="EndnoteReference"/>
          <w:rFonts w:cs="Times New Roman"/>
          <w:sz w:val="20"/>
          <w:szCs w:val="20"/>
          <w:vertAlign w:val="baseline"/>
        </w:rPr>
        <w:endnoteRef/>
      </w:r>
      <w:r w:rsidRPr="00C66667">
        <w:rPr>
          <w:rStyle w:val="EndnoteReference"/>
          <w:rFonts w:cs="Times New Roman"/>
          <w:sz w:val="20"/>
          <w:szCs w:val="20"/>
          <w:vertAlign w:val="baseline"/>
        </w:rPr>
        <w:t xml:space="preserve"> </w:t>
      </w:r>
      <w:proofErr w:type="spellStart"/>
      <w:r w:rsidRPr="00C66667">
        <w:rPr>
          <w:rStyle w:val="EndnoteReference"/>
          <w:rFonts w:cs="Times New Roman"/>
          <w:sz w:val="20"/>
          <w:szCs w:val="20"/>
          <w:vertAlign w:val="baseline"/>
        </w:rPr>
        <w:t>Oller</w:t>
      </w:r>
      <w:proofErr w:type="spellEnd"/>
      <w:r w:rsidRPr="00C66667">
        <w:rPr>
          <w:rStyle w:val="EndnoteReference"/>
          <w:rFonts w:cs="Times New Roman"/>
          <w:sz w:val="20"/>
          <w:szCs w:val="20"/>
          <w:vertAlign w:val="baseline"/>
        </w:rPr>
        <w:t>, J. , Shaw, C. , Tomljenovic, L. , Karanja, S. , Ngare, W. , Clement, F. and Pillette, J. (2017) HCG Found in WHO Tetanus Vaccine in Kenya Raises Concern in the Developing World. Open Access Library Journal, 4, 1-32. doi: 10.4236/oalib.1103937.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51BBF" w14:textId="0142DA3C" w:rsidR="00275223" w:rsidRDefault="00275223" w:rsidP="00E613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2D72">
      <w:rPr>
        <w:rStyle w:val="PageNumber"/>
        <w:noProof/>
      </w:rPr>
      <w:t>32</w:t>
    </w:r>
    <w:r>
      <w:rPr>
        <w:rStyle w:val="PageNumber"/>
      </w:rPr>
      <w:fldChar w:fldCharType="end"/>
    </w:r>
  </w:p>
  <w:p w14:paraId="251367E2" w14:textId="77777777" w:rsidR="00275223" w:rsidRDefault="00275223" w:rsidP="00691F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655A4" w14:textId="77777777" w:rsidR="00275223" w:rsidRDefault="00275223" w:rsidP="008C335B">
    <w:pPr>
      <w:pStyle w:val="Footer"/>
      <w:framePr w:wrap="around" w:vAnchor="text" w:hAnchor="page" w:x="10801" w:y="12"/>
      <w:rPr>
        <w:rStyle w:val="PageNumber"/>
      </w:rPr>
    </w:pPr>
    <w:r>
      <w:rPr>
        <w:rStyle w:val="PageNumber"/>
      </w:rPr>
      <w:fldChar w:fldCharType="begin"/>
    </w:r>
    <w:r>
      <w:rPr>
        <w:rStyle w:val="PageNumber"/>
      </w:rPr>
      <w:instrText xml:space="preserve">PAGE  </w:instrText>
    </w:r>
    <w:r>
      <w:rPr>
        <w:rStyle w:val="PageNumber"/>
      </w:rPr>
      <w:fldChar w:fldCharType="separate"/>
    </w:r>
    <w:r w:rsidR="00055261">
      <w:rPr>
        <w:rStyle w:val="PageNumber"/>
        <w:noProof/>
      </w:rPr>
      <w:t>1</w:t>
    </w:r>
    <w:r>
      <w:rPr>
        <w:rStyle w:val="PageNumber"/>
      </w:rPr>
      <w:fldChar w:fldCharType="end"/>
    </w:r>
  </w:p>
  <w:p w14:paraId="74DACA2B" w14:textId="1F9FFAD2" w:rsidR="00275223" w:rsidRPr="00C91822" w:rsidRDefault="00F364B8" w:rsidP="005D7E66">
    <w:pPr>
      <w:pStyle w:val="Footer"/>
      <w:tabs>
        <w:tab w:val="clear" w:pos="8640"/>
        <w:tab w:val="right" w:pos="8370"/>
      </w:tabs>
      <w:jc w:val="center"/>
      <w:rPr>
        <w:sz w:val="16"/>
        <w:szCs w:val="16"/>
      </w:rPr>
    </w:pPr>
    <w:r w:rsidRPr="00B0251E">
      <w:rPr>
        <w:sz w:val="16"/>
        <w:szCs w:val="16"/>
      </w:rPr>
      <w:t xml:space="preserve">Copyright © Carlton B. Brown </w:t>
    </w:r>
    <w:r w:rsidR="000A7974">
      <w:rPr>
        <w:sz w:val="16"/>
        <w:szCs w:val="16"/>
      </w:rPr>
      <w:t>2022</w:t>
    </w:r>
    <w:r w:rsidR="005D7E66">
      <w:rPr>
        <w:sz w:val="16"/>
        <w:szCs w:val="16"/>
      </w:rPr>
      <w:t>. D</w:t>
    </w:r>
    <w:r w:rsidR="005D7E66" w:rsidRPr="00B0251E">
      <w:rPr>
        <w:sz w:val="16"/>
        <w:szCs w:val="16"/>
      </w:rPr>
      <w:t>ocumen</w:t>
    </w:r>
    <w:r w:rsidR="005D7E66">
      <w:rPr>
        <w:sz w:val="16"/>
        <w:szCs w:val="16"/>
      </w:rPr>
      <w:t xml:space="preserve">t </w:t>
    </w:r>
    <w:r w:rsidR="005D7E66" w:rsidRPr="00B0251E">
      <w:rPr>
        <w:sz w:val="16"/>
        <w:szCs w:val="16"/>
      </w:rPr>
      <w:t>pr</w:t>
    </w:r>
    <w:r w:rsidR="005D7E66">
      <w:rPr>
        <w:sz w:val="16"/>
        <w:szCs w:val="16"/>
      </w:rPr>
      <w:t>ovided under CC-BY-SA 4.0 rules.</w:t>
    </w:r>
    <w:r w:rsidR="000A7974">
      <w:rPr>
        <w:sz w:val="16"/>
        <w:szCs w:val="16"/>
      </w:rPr>
      <w:t xml:space="preserve"> </w:t>
    </w:r>
    <w:r w:rsidR="005D7E66" w:rsidRPr="005D7E66">
      <w:rPr>
        <w:sz w:val="16"/>
        <w:szCs w:val="16"/>
      </w:rPr>
      <w:t>https://grandsolarminimum.com/articles-emails-activism/</w:t>
    </w:r>
    <w:r w:rsidRPr="00B0251E">
      <w:rPr>
        <w:sz w:val="16"/>
        <w:szCs w:val="16"/>
      </w:rPr>
      <w:t xml:space="preserve">, </w:t>
    </w:r>
    <w:r w:rsidR="005D7E66" w:rsidRPr="005D7E66">
      <w:rPr>
        <w:sz w:val="16"/>
        <w:szCs w:val="16"/>
      </w:rPr>
      <w:t>https://www.linkedin.com/in/carlton-brown-13b66232/</w:t>
    </w:r>
    <w:r w:rsidR="005D7E66">
      <w:rPr>
        <w:sz w:val="16"/>
        <w:szCs w:val="16"/>
      </w:rPr>
      <w:t xml:space="preserve">, </w:t>
    </w:r>
    <w:r w:rsidR="005D7E66" w:rsidRPr="005D7E66">
      <w:rPr>
        <w:sz w:val="16"/>
        <w:szCs w:val="16"/>
      </w:rPr>
      <w:t>https://gettr.com/user/covid19_ade_vaed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F1555" w14:textId="77777777" w:rsidR="000974EF" w:rsidRDefault="000974EF" w:rsidP="00E9219E">
      <w:pPr>
        <w:spacing w:after="0" w:line="240" w:lineRule="auto"/>
      </w:pPr>
      <w:r>
        <w:separator/>
      </w:r>
    </w:p>
  </w:footnote>
  <w:footnote w:type="continuationSeparator" w:id="0">
    <w:p w14:paraId="01F463A8" w14:textId="77777777" w:rsidR="000974EF" w:rsidRDefault="000974EF" w:rsidP="00E921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B0138"/>
    <w:multiLevelType w:val="hybridMultilevel"/>
    <w:tmpl w:val="CFBAC2CC"/>
    <w:lvl w:ilvl="0" w:tplc="04090011">
      <w:start w:val="1"/>
      <w:numFmt w:val="decimal"/>
      <w:lvlText w:val="%1)"/>
      <w:lvlJc w:val="left"/>
      <w:pPr>
        <w:ind w:left="720" w:hanging="360"/>
      </w:pPr>
    </w:lvl>
    <w:lvl w:ilvl="1" w:tplc="AB020B0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64601"/>
    <w:multiLevelType w:val="hybridMultilevel"/>
    <w:tmpl w:val="BBFAF37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3F7F55"/>
    <w:multiLevelType w:val="hybridMultilevel"/>
    <w:tmpl w:val="735028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C5535E"/>
    <w:multiLevelType w:val="hybridMultilevel"/>
    <w:tmpl w:val="2A1E2C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D345D4"/>
    <w:multiLevelType w:val="multilevel"/>
    <w:tmpl w:val="0A88616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41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75662416"/>
    <w:multiLevelType w:val="hybridMultilevel"/>
    <w:tmpl w:val="6F6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7313956">
    <w:abstractNumId w:val="4"/>
  </w:num>
  <w:num w:numId="2" w16cid:durableId="2016835491">
    <w:abstractNumId w:val="5"/>
  </w:num>
  <w:num w:numId="3" w16cid:durableId="1155292946">
    <w:abstractNumId w:val="3"/>
  </w:num>
  <w:num w:numId="4" w16cid:durableId="203833478">
    <w:abstractNumId w:val="0"/>
  </w:num>
  <w:num w:numId="5" w16cid:durableId="1149325639">
    <w:abstractNumId w:val="4"/>
  </w:num>
  <w:num w:numId="6" w16cid:durableId="1397974482">
    <w:abstractNumId w:val="2"/>
  </w:num>
  <w:num w:numId="7" w16cid:durableId="1668706011">
    <w:abstractNumId w:val="1"/>
  </w:num>
  <w:num w:numId="8" w16cid:durableId="1295329591">
    <w:abstractNumId w:val="4"/>
  </w:num>
  <w:num w:numId="9" w16cid:durableId="665087121">
    <w:abstractNumId w:val="4"/>
  </w:num>
  <w:num w:numId="10" w16cid:durableId="275915010">
    <w:abstractNumId w:val="4"/>
  </w:num>
  <w:num w:numId="11" w16cid:durableId="1194072039">
    <w:abstractNumId w:val="4"/>
  </w:num>
  <w:num w:numId="12" w16cid:durableId="530610282">
    <w:abstractNumId w:val="4"/>
  </w:num>
  <w:num w:numId="13" w16cid:durableId="1141531559">
    <w:abstractNumId w:val="4"/>
  </w:num>
  <w:num w:numId="14" w16cid:durableId="1534146082">
    <w:abstractNumId w:val="4"/>
  </w:num>
  <w:num w:numId="15" w16cid:durableId="1703747525">
    <w:abstractNumId w:val="4"/>
  </w:num>
  <w:num w:numId="16" w16cid:durableId="1161891145">
    <w:abstractNumId w:val="4"/>
  </w:num>
  <w:num w:numId="17" w16cid:durableId="1628391706">
    <w:abstractNumId w:val="4"/>
  </w:num>
  <w:num w:numId="18" w16cid:durableId="42383997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AD"/>
    <w:rsid w:val="000004AB"/>
    <w:rsid w:val="00000831"/>
    <w:rsid w:val="0000101A"/>
    <w:rsid w:val="000019F0"/>
    <w:rsid w:val="0000217D"/>
    <w:rsid w:val="00002811"/>
    <w:rsid w:val="00002964"/>
    <w:rsid w:val="000029B4"/>
    <w:rsid w:val="00002BC9"/>
    <w:rsid w:val="00002F0F"/>
    <w:rsid w:val="00003021"/>
    <w:rsid w:val="00003098"/>
    <w:rsid w:val="0000309D"/>
    <w:rsid w:val="000038A2"/>
    <w:rsid w:val="00003F79"/>
    <w:rsid w:val="00003FFD"/>
    <w:rsid w:val="00004071"/>
    <w:rsid w:val="00004349"/>
    <w:rsid w:val="00004599"/>
    <w:rsid w:val="00004B44"/>
    <w:rsid w:val="00004DDD"/>
    <w:rsid w:val="000050F3"/>
    <w:rsid w:val="00005403"/>
    <w:rsid w:val="0000540B"/>
    <w:rsid w:val="0000567A"/>
    <w:rsid w:val="000058EC"/>
    <w:rsid w:val="00005FC3"/>
    <w:rsid w:val="00006382"/>
    <w:rsid w:val="000064F4"/>
    <w:rsid w:val="00006542"/>
    <w:rsid w:val="00006602"/>
    <w:rsid w:val="00006A63"/>
    <w:rsid w:val="00006A6D"/>
    <w:rsid w:val="0000749C"/>
    <w:rsid w:val="000079F6"/>
    <w:rsid w:val="00007B7D"/>
    <w:rsid w:val="000102EA"/>
    <w:rsid w:val="000103C3"/>
    <w:rsid w:val="0001098B"/>
    <w:rsid w:val="000110DC"/>
    <w:rsid w:val="00011651"/>
    <w:rsid w:val="00011954"/>
    <w:rsid w:val="00011C93"/>
    <w:rsid w:val="00011E72"/>
    <w:rsid w:val="00012387"/>
    <w:rsid w:val="00012392"/>
    <w:rsid w:val="00012B06"/>
    <w:rsid w:val="00012C45"/>
    <w:rsid w:val="00012FA2"/>
    <w:rsid w:val="00013044"/>
    <w:rsid w:val="000140E6"/>
    <w:rsid w:val="00014490"/>
    <w:rsid w:val="00014D48"/>
    <w:rsid w:val="00014F7E"/>
    <w:rsid w:val="0001531F"/>
    <w:rsid w:val="0001532A"/>
    <w:rsid w:val="000154FF"/>
    <w:rsid w:val="000156D5"/>
    <w:rsid w:val="00015831"/>
    <w:rsid w:val="000159D5"/>
    <w:rsid w:val="00015E26"/>
    <w:rsid w:val="00016401"/>
    <w:rsid w:val="000164CB"/>
    <w:rsid w:val="00016757"/>
    <w:rsid w:val="000168EE"/>
    <w:rsid w:val="00016D98"/>
    <w:rsid w:val="0001742E"/>
    <w:rsid w:val="00017C85"/>
    <w:rsid w:val="00020018"/>
    <w:rsid w:val="000200F6"/>
    <w:rsid w:val="00020634"/>
    <w:rsid w:val="000208DE"/>
    <w:rsid w:val="00020968"/>
    <w:rsid w:val="00020C93"/>
    <w:rsid w:val="000211B6"/>
    <w:rsid w:val="000211C2"/>
    <w:rsid w:val="000214A9"/>
    <w:rsid w:val="000217F5"/>
    <w:rsid w:val="00021823"/>
    <w:rsid w:val="00021835"/>
    <w:rsid w:val="00021E9D"/>
    <w:rsid w:val="00021FC8"/>
    <w:rsid w:val="0002225E"/>
    <w:rsid w:val="00022628"/>
    <w:rsid w:val="00022B11"/>
    <w:rsid w:val="000239CC"/>
    <w:rsid w:val="00023D0F"/>
    <w:rsid w:val="00024012"/>
    <w:rsid w:val="00024235"/>
    <w:rsid w:val="000242A5"/>
    <w:rsid w:val="000245AD"/>
    <w:rsid w:val="000245FC"/>
    <w:rsid w:val="00024705"/>
    <w:rsid w:val="00024AB9"/>
    <w:rsid w:val="00024BB2"/>
    <w:rsid w:val="00025077"/>
    <w:rsid w:val="0002538C"/>
    <w:rsid w:val="000255BC"/>
    <w:rsid w:val="00025722"/>
    <w:rsid w:val="00025865"/>
    <w:rsid w:val="00025C76"/>
    <w:rsid w:val="00026458"/>
    <w:rsid w:val="000267C7"/>
    <w:rsid w:val="00026B56"/>
    <w:rsid w:val="00026C69"/>
    <w:rsid w:val="00026C88"/>
    <w:rsid w:val="00026DF6"/>
    <w:rsid w:val="00026ED3"/>
    <w:rsid w:val="00026F76"/>
    <w:rsid w:val="000271BC"/>
    <w:rsid w:val="000274CD"/>
    <w:rsid w:val="00027A88"/>
    <w:rsid w:val="00027B76"/>
    <w:rsid w:val="000300D5"/>
    <w:rsid w:val="0003011A"/>
    <w:rsid w:val="0003012B"/>
    <w:rsid w:val="00030462"/>
    <w:rsid w:val="000305DA"/>
    <w:rsid w:val="00030727"/>
    <w:rsid w:val="00030CB4"/>
    <w:rsid w:val="000310A9"/>
    <w:rsid w:val="0003164F"/>
    <w:rsid w:val="00031EC1"/>
    <w:rsid w:val="00032368"/>
    <w:rsid w:val="000328C6"/>
    <w:rsid w:val="00032E6B"/>
    <w:rsid w:val="0003312F"/>
    <w:rsid w:val="000336B0"/>
    <w:rsid w:val="000336E2"/>
    <w:rsid w:val="000337C2"/>
    <w:rsid w:val="00033832"/>
    <w:rsid w:val="00033C05"/>
    <w:rsid w:val="00033DA3"/>
    <w:rsid w:val="00033EDF"/>
    <w:rsid w:val="00034050"/>
    <w:rsid w:val="000340A0"/>
    <w:rsid w:val="00034D72"/>
    <w:rsid w:val="00034FB4"/>
    <w:rsid w:val="00035513"/>
    <w:rsid w:val="00035803"/>
    <w:rsid w:val="00035E10"/>
    <w:rsid w:val="00035F08"/>
    <w:rsid w:val="000360A2"/>
    <w:rsid w:val="00036222"/>
    <w:rsid w:val="0003667A"/>
    <w:rsid w:val="000368C0"/>
    <w:rsid w:val="00036F43"/>
    <w:rsid w:val="00037168"/>
    <w:rsid w:val="00037703"/>
    <w:rsid w:val="000379EC"/>
    <w:rsid w:val="00037A2D"/>
    <w:rsid w:val="00037BDF"/>
    <w:rsid w:val="00037CD4"/>
    <w:rsid w:val="00037CE4"/>
    <w:rsid w:val="00037F1C"/>
    <w:rsid w:val="00040079"/>
    <w:rsid w:val="0004087B"/>
    <w:rsid w:val="00040932"/>
    <w:rsid w:val="00040A26"/>
    <w:rsid w:val="00040C3D"/>
    <w:rsid w:val="00040DDE"/>
    <w:rsid w:val="00041076"/>
    <w:rsid w:val="0004147B"/>
    <w:rsid w:val="000415C7"/>
    <w:rsid w:val="000416D7"/>
    <w:rsid w:val="0004171E"/>
    <w:rsid w:val="000417AF"/>
    <w:rsid w:val="000419BB"/>
    <w:rsid w:val="00041A07"/>
    <w:rsid w:val="00041C58"/>
    <w:rsid w:val="0004220A"/>
    <w:rsid w:val="000422E2"/>
    <w:rsid w:val="000425CE"/>
    <w:rsid w:val="000431EA"/>
    <w:rsid w:val="000432BD"/>
    <w:rsid w:val="00043449"/>
    <w:rsid w:val="0004382A"/>
    <w:rsid w:val="00043D7F"/>
    <w:rsid w:val="00043E8E"/>
    <w:rsid w:val="00043FEB"/>
    <w:rsid w:val="00044062"/>
    <w:rsid w:val="000440B9"/>
    <w:rsid w:val="000440CD"/>
    <w:rsid w:val="00044134"/>
    <w:rsid w:val="0004417E"/>
    <w:rsid w:val="000441D2"/>
    <w:rsid w:val="00044818"/>
    <w:rsid w:val="00044F35"/>
    <w:rsid w:val="00044F49"/>
    <w:rsid w:val="0004537C"/>
    <w:rsid w:val="00045398"/>
    <w:rsid w:val="00045494"/>
    <w:rsid w:val="00045F47"/>
    <w:rsid w:val="00045FBD"/>
    <w:rsid w:val="000460E9"/>
    <w:rsid w:val="0004610F"/>
    <w:rsid w:val="000464BD"/>
    <w:rsid w:val="0004651C"/>
    <w:rsid w:val="00046549"/>
    <w:rsid w:val="000467A6"/>
    <w:rsid w:val="00046824"/>
    <w:rsid w:val="0004686C"/>
    <w:rsid w:val="00046D4F"/>
    <w:rsid w:val="00046DB4"/>
    <w:rsid w:val="00046E6C"/>
    <w:rsid w:val="00046EF0"/>
    <w:rsid w:val="00047626"/>
    <w:rsid w:val="000477C4"/>
    <w:rsid w:val="000478BC"/>
    <w:rsid w:val="00047961"/>
    <w:rsid w:val="0004798E"/>
    <w:rsid w:val="00047B15"/>
    <w:rsid w:val="00047DD6"/>
    <w:rsid w:val="000502AE"/>
    <w:rsid w:val="00050875"/>
    <w:rsid w:val="00050AAA"/>
    <w:rsid w:val="00050CA0"/>
    <w:rsid w:val="00050DD2"/>
    <w:rsid w:val="00051418"/>
    <w:rsid w:val="000515C5"/>
    <w:rsid w:val="00051712"/>
    <w:rsid w:val="00051F54"/>
    <w:rsid w:val="0005229C"/>
    <w:rsid w:val="0005240A"/>
    <w:rsid w:val="00052D3F"/>
    <w:rsid w:val="00052D44"/>
    <w:rsid w:val="0005300F"/>
    <w:rsid w:val="000530CF"/>
    <w:rsid w:val="0005319B"/>
    <w:rsid w:val="00053216"/>
    <w:rsid w:val="00053487"/>
    <w:rsid w:val="00053577"/>
    <w:rsid w:val="00053A02"/>
    <w:rsid w:val="00053A0C"/>
    <w:rsid w:val="000540D4"/>
    <w:rsid w:val="0005435E"/>
    <w:rsid w:val="000547BD"/>
    <w:rsid w:val="00054A1D"/>
    <w:rsid w:val="00054A4E"/>
    <w:rsid w:val="00054AB9"/>
    <w:rsid w:val="00055191"/>
    <w:rsid w:val="00055261"/>
    <w:rsid w:val="00055325"/>
    <w:rsid w:val="00055734"/>
    <w:rsid w:val="00055942"/>
    <w:rsid w:val="00055ABB"/>
    <w:rsid w:val="00055B6A"/>
    <w:rsid w:val="00055F48"/>
    <w:rsid w:val="0005628B"/>
    <w:rsid w:val="000563B3"/>
    <w:rsid w:val="000565C1"/>
    <w:rsid w:val="0005701F"/>
    <w:rsid w:val="00057102"/>
    <w:rsid w:val="00057545"/>
    <w:rsid w:val="000575F4"/>
    <w:rsid w:val="00057680"/>
    <w:rsid w:val="00057AED"/>
    <w:rsid w:val="00057C5F"/>
    <w:rsid w:val="00057C94"/>
    <w:rsid w:val="00057E28"/>
    <w:rsid w:val="00057FF5"/>
    <w:rsid w:val="0006009F"/>
    <w:rsid w:val="000601C3"/>
    <w:rsid w:val="0006030C"/>
    <w:rsid w:val="00060315"/>
    <w:rsid w:val="00060983"/>
    <w:rsid w:val="00060A6B"/>
    <w:rsid w:val="00060D02"/>
    <w:rsid w:val="00060D0E"/>
    <w:rsid w:val="00060E35"/>
    <w:rsid w:val="00061093"/>
    <w:rsid w:val="0006164E"/>
    <w:rsid w:val="00061AE8"/>
    <w:rsid w:val="00061CF0"/>
    <w:rsid w:val="00062083"/>
    <w:rsid w:val="000620E2"/>
    <w:rsid w:val="000620F8"/>
    <w:rsid w:val="000621F2"/>
    <w:rsid w:val="00062A97"/>
    <w:rsid w:val="00062B64"/>
    <w:rsid w:val="00062F9C"/>
    <w:rsid w:val="00063134"/>
    <w:rsid w:val="000632B9"/>
    <w:rsid w:val="0006345C"/>
    <w:rsid w:val="0006364D"/>
    <w:rsid w:val="0006384C"/>
    <w:rsid w:val="00063AB3"/>
    <w:rsid w:val="00063AF0"/>
    <w:rsid w:val="00063E68"/>
    <w:rsid w:val="00063E7A"/>
    <w:rsid w:val="000640F1"/>
    <w:rsid w:val="00064316"/>
    <w:rsid w:val="000647C3"/>
    <w:rsid w:val="000648FA"/>
    <w:rsid w:val="00064AA0"/>
    <w:rsid w:val="000653C8"/>
    <w:rsid w:val="000656CC"/>
    <w:rsid w:val="00065ABA"/>
    <w:rsid w:val="00065B99"/>
    <w:rsid w:val="000663F8"/>
    <w:rsid w:val="0006649A"/>
    <w:rsid w:val="000666DD"/>
    <w:rsid w:val="000667E4"/>
    <w:rsid w:val="000668B9"/>
    <w:rsid w:val="00066ABE"/>
    <w:rsid w:val="00066B2E"/>
    <w:rsid w:val="00066FDB"/>
    <w:rsid w:val="00067199"/>
    <w:rsid w:val="000676CD"/>
    <w:rsid w:val="00067CC0"/>
    <w:rsid w:val="00067E30"/>
    <w:rsid w:val="0007013D"/>
    <w:rsid w:val="00070305"/>
    <w:rsid w:val="0007045F"/>
    <w:rsid w:val="0007077A"/>
    <w:rsid w:val="000707A0"/>
    <w:rsid w:val="00070CA0"/>
    <w:rsid w:val="00070F13"/>
    <w:rsid w:val="00070F9C"/>
    <w:rsid w:val="000711EC"/>
    <w:rsid w:val="0007142E"/>
    <w:rsid w:val="00071691"/>
    <w:rsid w:val="000719A0"/>
    <w:rsid w:val="00071EC5"/>
    <w:rsid w:val="00072244"/>
    <w:rsid w:val="0007253F"/>
    <w:rsid w:val="00073227"/>
    <w:rsid w:val="00073366"/>
    <w:rsid w:val="000734C1"/>
    <w:rsid w:val="00073546"/>
    <w:rsid w:val="00073635"/>
    <w:rsid w:val="0007364B"/>
    <w:rsid w:val="000739C8"/>
    <w:rsid w:val="000742AA"/>
    <w:rsid w:val="000745DD"/>
    <w:rsid w:val="000746B4"/>
    <w:rsid w:val="000746C0"/>
    <w:rsid w:val="000748B2"/>
    <w:rsid w:val="00074C84"/>
    <w:rsid w:val="00074EC0"/>
    <w:rsid w:val="00075171"/>
    <w:rsid w:val="000751D9"/>
    <w:rsid w:val="00075993"/>
    <w:rsid w:val="00075A7A"/>
    <w:rsid w:val="00076147"/>
    <w:rsid w:val="000764F6"/>
    <w:rsid w:val="00076A12"/>
    <w:rsid w:val="00076C43"/>
    <w:rsid w:val="00076FD4"/>
    <w:rsid w:val="00077106"/>
    <w:rsid w:val="00077368"/>
    <w:rsid w:val="0007788B"/>
    <w:rsid w:val="00077D2D"/>
    <w:rsid w:val="00077D40"/>
    <w:rsid w:val="00077F76"/>
    <w:rsid w:val="0008027E"/>
    <w:rsid w:val="00080363"/>
    <w:rsid w:val="00080447"/>
    <w:rsid w:val="00080538"/>
    <w:rsid w:val="00080699"/>
    <w:rsid w:val="00080E9E"/>
    <w:rsid w:val="0008192E"/>
    <w:rsid w:val="00081A0E"/>
    <w:rsid w:val="0008213C"/>
    <w:rsid w:val="000821AC"/>
    <w:rsid w:val="0008270A"/>
    <w:rsid w:val="000827A3"/>
    <w:rsid w:val="00082CE2"/>
    <w:rsid w:val="00083102"/>
    <w:rsid w:val="00083663"/>
    <w:rsid w:val="00083716"/>
    <w:rsid w:val="0008393C"/>
    <w:rsid w:val="00083A31"/>
    <w:rsid w:val="00083B08"/>
    <w:rsid w:val="00084010"/>
    <w:rsid w:val="00084035"/>
    <w:rsid w:val="000844E6"/>
    <w:rsid w:val="000846BF"/>
    <w:rsid w:val="0008532F"/>
    <w:rsid w:val="000854F7"/>
    <w:rsid w:val="00085519"/>
    <w:rsid w:val="000858FC"/>
    <w:rsid w:val="00085E88"/>
    <w:rsid w:val="00086118"/>
    <w:rsid w:val="00086332"/>
    <w:rsid w:val="0008676E"/>
    <w:rsid w:val="00086951"/>
    <w:rsid w:val="00086C40"/>
    <w:rsid w:val="00086CD0"/>
    <w:rsid w:val="000873BD"/>
    <w:rsid w:val="000876DB"/>
    <w:rsid w:val="00087B04"/>
    <w:rsid w:val="00087C47"/>
    <w:rsid w:val="00087EDF"/>
    <w:rsid w:val="00090F62"/>
    <w:rsid w:val="00091148"/>
    <w:rsid w:val="00091221"/>
    <w:rsid w:val="00091225"/>
    <w:rsid w:val="00091831"/>
    <w:rsid w:val="000918A0"/>
    <w:rsid w:val="000918B9"/>
    <w:rsid w:val="00091BA6"/>
    <w:rsid w:val="00091DD5"/>
    <w:rsid w:val="00092416"/>
    <w:rsid w:val="00092B14"/>
    <w:rsid w:val="00093086"/>
    <w:rsid w:val="0009309D"/>
    <w:rsid w:val="0009347D"/>
    <w:rsid w:val="000934D4"/>
    <w:rsid w:val="000935D0"/>
    <w:rsid w:val="0009398C"/>
    <w:rsid w:val="00093C6F"/>
    <w:rsid w:val="00094162"/>
    <w:rsid w:val="000943A6"/>
    <w:rsid w:val="00094508"/>
    <w:rsid w:val="00094872"/>
    <w:rsid w:val="00094889"/>
    <w:rsid w:val="00094984"/>
    <w:rsid w:val="0009498D"/>
    <w:rsid w:val="00094E33"/>
    <w:rsid w:val="00094E6C"/>
    <w:rsid w:val="00095CD3"/>
    <w:rsid w:val="00095E92"/>
    <w:rsid w:val="0009639D"/>
    <w:rsid w:val="0009647B"/>
    <w:rsid w:val="00096670"/>
    <w:rsid w:val="000966CF"/>
    <w:rsid w:val="00096A75"/>
    <w:rsid w:val="00097190"/>
    <w:rsid w:val="000971B7"/>
    <w:rsid w:val="000972BE"/>
    <w:rsid w:val="0009736C"/>
    <w:rsid w:val="0009745B"/>
    <w:rsid w:val="000974EF"/>
    <w:rsid w:val="00097505"/>
    <w:rsid w:val="00097704"/>
    <w:rsid w:val="00097B1A"/>
    <w:rsid w:val="00097DBC"/>
    <w:rsid w:val="00097E6E"/>
    <w:rsid w:val="00097EAC"/>
    <w:rsid w:val="000A0173"/>
    <w:rsid w:val="000A025A"/>
    <w:rsid w:val="000A061B"/>
    <w:rsid w:val="000A07CC"/>
    <w:rsid w:val="000A094D"/>
    <w:rsid w:val="000A0951"/>
    <w:rsid w:val="000A09FF"/>
    <w:rsid w:val="000A0A65"/>
    <w:rsid w:val="000A0FAC"/>
    <w:rsid w:val="000A1089"/>
    <w:rsid w:val="000A1196"/>
    <w:rsid w:val="000A1261"/>
    <w:rsid w:val="000A12BA"/>
    <w:rsid w:val="000A13CF"/>
    <w:rsid w:val="000A15C3"/>
    <w:rsid w:val="000A1659"/>
    <w:rsid w:val="000A1666"/>
    <w:rsid w:val="000A183A"/>
    <w:rsid w:val="000A1970"/>
    <w:rsid w:val="000A1F2C"/>
    <w:rsid w:val="000A20CF"/>
    <w:rsid w:val="000A2304"/>
    <w:rsid w:val="000A2B58"/>
    <w:rsid w:val="000A2C10"/>
    <w:rsid w:val="000A2DFB"/>
    <w:rsid w:val="000A2E20"/>
    <w:rsid w:val="000A3264"/>
    <w:rsid w:val="000A3342"/>
    <w:rsid w:val="000A33DB"/>
    <w:rsid w:val="000A3765"/>
    <w:rsid w:val="000A3CE2"/>
    <w:rsid w:val="000A42F5"/>
    <w:rsid w:val="000A433D"/>
    <w:rsid w:val="000A4BEE"/>
    <w:rsid w:val="000A5103"/>
    <w:rsid w:val="000A5363"/>
    <w:rsid w:val="000A542D"/>
    <w:rsid w:val="000A5EF4"/>
    <w:rsid w:val="000A6098"/>
    <w:rsid w:val="000A618A"/>
    <w:rsid w:val="000A625F"/>
    <w:rsid w:val="000A686A"/>
    <w:rsid w:val="000A699C"/>
    <w:rsid w:val="000A6A0F"/>
    <w:rsid w:val="000A6C5F"/>
    <w:rsid w:val="000A6CF7"/>
    <w:rsid w:val="000A6DE2"/>
    <w:rsid w:val="000A6E22"/>
    <w:rsid w:val="000A70CC"/>
    <w:rsid w:val="000A7974"/>
    <w:rsid w:val="000A7BC7"/>
    <w:rsid w:val="000A7CF7"/>
    <w:rsid w:val="000A7EE7"/>
    <w:rsid w:val="000A7EF1"/>
    <w:rsid w:val="000A7F40"/>
    <w:rsid w:val="000B0B24"/>
    <w:rsid w:val="000B0D43"/>
    <w:rsid w:val="000B0EBA"/>
    <w:rsid w:val="000B1141"/>
    <w:rsid w:val="000B16B0"/>
    <w:rsid w:val="000B1D4A"/>
    <w:rsid w:val="000B1F25"/>
    <w:rsid w:val="000B22C8"/>
    <w:rsid w:val="000B2428"/>
    <w:rsid w:val="000B2940"/>
    <w:rsid w:val="000B29CB"/>
    <w:rsid w:val="000B2B28"/>
    <w:rsid w:val="000B2FE1"/>
    <w:rsid w:val="000B315E"/>
    <w:rsid w:val="000B3269"/>
    <w:rsid w:val="000B3388"/>
    <w:rsid w:val="000B34A6"/>
    <w:rsid w:val="000B350B"/>
    <w:rsid w:val="000B3703"/>
    <w:rsid w:val="000B3776"/>
    <w:rsid w:val="000B3850"/>
    <w:rsid w:val="000B38F8"/>
    <w:rsid w:val="000B3A5C"/>
    <w:rsid w:val="000B3ACA"/>
    <w:rsid w:val="000B3B3B"/>
    <w:rsid w:val="000B3B57"/>
    <w:rsid w:val="000B3D28"/>
    <w:rsid w:val="000B3E56"/>
    <w:rsid w:val="000B4353"/>
    <w:rsid w:val="000B4432"/>
    <w:rsid w:val="000B449F"/>
    <w:rsid w:val="000B4AFA"/>
    <w:rsid w:val="000B4B98"/>
    <w:rsid w:val="000B4C62"/>
    <w:rsid w:val="000B4E3C"/>
    <w:rsid w:val="000B5485"/>
    <w:rsid w:val="000B59C9"/>
    <w:rsid w:val="000B666C"/>
    <w:rsid w:val="000B6843"/>
    <w:rsid w:val="000B70B0"/>
    <w:rsid w:val="000B729D"/>
    <w:rsid w:val="000B7950"/>
    <w:rsid w:val="000B7969"/>
    <w:rsid w:val="000B7BA1"/>
    <w:rsid w:val="000B7C73"/>
    <w:rsid w:val="000B7DB8"/>
    <w:rsid w:val="000C0042"/>
    <w:rsid w:val="000C041F"/>
    <w:rsid w:val="000C0448"/>
    <w:rsid w:val="000C05B4"/>
    <w:rsid w:val="000C0635"/>
    <w:rsid w:val="000C11C1"/>
    <w:rsid w:val="000C1595"/>
    <w:rsid w:val="000C1614"/>
    <w:rsid w:val="000C176B"/>
    <w:rsid w:val="000C1BE0"/>
    <w:rsid w:val="000C215D"/>
    <w:rsid w:val="000C241E"/>
    <w:rsid w:val="000C2699"/>
    <w:rsid w:val="000C2F70"/>
    <w:rsid w:val="000C3146"/>
    <w:rsid w:val="000C37A7"/>
    <w:rsid w:val="000C38B4"/>
    <w:rsid w:val="000C39AA"/>
    <w:rsid w:val="000C4250"/>
    <w:rsid w:val="000C426C"/>
    <w:rsid w:val="000C46C8"/>
    <w:rsid w:val="000C4EF8"/>
    <w:rsid w:val="000C51B0"/>
    <w:rsid w:val="000C60B6"/>
    <w:rsid w:val="000C62CC"/>
    <w:rsid w:val="000C639F"/>
    <w:rsid w:val="000C66AD"/>
    <w:rsid w:val="000C67DB"/>
    <w:rsid w:val="000C6961"/>
    <w:rsid w:val="000C6BA4"/>
    <w:rsid w:val="000C6C79"/>
    <w:rsid w:val="000C6ECB"/>
    <w:rsid w:val="000C7020"/>
    <w:rsid w:val="000C718B"/>
    <w:rsid w:val="000C727D"/>
    <w:rsid w:val="000C7801"/>
    <w:rsid w:val="000C7A7C"/>
    <w:rsid w:val="000C7ADF"/>
    <w:rsid w:val="000C7E23"/>
    <w:rsid w:val="000D01E0"/>
    <w:rsid w:val="000D0343"/>
    <w:rsid w:val="000D038F"/>
    <w:rsid w:val="000D06B2"/>
    <w:rsid w:val="000D0C45"/>
    <w:rsid w:val="000D117E"/>
    <w:rsid w:val="000D1435"/>
    <w:rsid w:val="000D14A4"/>
    <w:rsid w:val="000D1E35"/>
    <w:rsid w:val="000D1F63"/>
    <w:rsid w:val="000D22D5"/>
    <w:rsid w:val="000D2847"/>
    <w:rsid w:val="000D297A"/>
    <w:rsid w:val="000D2D8A"/>
    <w:rsid w:val="000D2E39"/>
    <w:rsid w:val="000D2E7A"/>
    <w:rsid w:val="000D2EAC"/>
    <w:rsid w:val="000D2F89"/>
    <w:rsid w:val="000D3C7D"/>
    <w:rsid w:val="000D3D03"/>
    <w:rsid w:val="000D3F85"/>
    <w:rsid w:val="000D41F7"/>
    <w:rsid w:val="000D4345"/>
    <w:rsid w:val="000D46B5"/>
    <w:rsid w:val="000D4CD1"/>
    <w:rsid w:val="000D4D67"/>
    <w:rsid w:val="000D4F16"/>
    <w:rsid w:val="000D52E7"/>
    <w:rsid w:val="000D5476"/>
    <w:rsid w:val="000D5516"/>
    <w:rsid w:val="000D55D2"/>
    <w:rsid w:val="000D571B"/>
    <w:rsid w:val="000D5826"/>
    <w:rsid w:val="000D583D"/>
    <w:rsid w:val="000D5883"/>
    <w:rsid w:val="000D5C23"/>
    <w:rsid w:val="000D5C76"/>
    <w:rsid w:val="000D5D05"/>
    <w:rsid w:val="000D5D11"/>
    <w:rsid w:val="000D5FD7"/>
    <w:rsid w:val="000D6599"/>
    <w:rsid w:val="000D6716"/>
    <w:rsid w:val="000D6A6D"/>
    <w:rsid w:val="000D6D2A"/>
    <w:rsid w:val="000D7299"/>
    <w:rsid w:val="000D736F"/>
    <w:rsid w:val="000D73BC"/>
    <w:rsid w:val="000D74D4"/>
    <w:rsid w:val="000D7832"/>
    <w:rsid w:val="000E001C"/>
    <w:rsid w:val="000E014B"/>
    <w:rsid w:val="000E0516"/>
    <w:rsid w:val="000E0840"/>
    <w:rsid w:val="000E0A74"/>
    <w:rsid w:val="000E165B"/>
    <w:rsid w:val="000E1808"/>
    <w:rsid w:val="000E1F83"/>
    <w:rsid w:val="000E2066"/>
    <w:rsid w:val="000E2A4F"/>
    <w:rsid w:val="000E2FBF"/>
    <w:rsid w:val="000E304F"/>
    <w:rsid w:val="000E31C7"/>
    <w:rsid w:val="000E32DD"/>
    <w:rsid w:val="000E3646"/>
    <w:rsid w:val="000E417B"/>
    <w:rsid w:val="000E43D6"/>
    <w:rsid w:val="000E4762"/>
    <w:rsid w:val="000E49C9"/>
    <w:rsid w:val="000E4BC4"/>
    <w:rsid w:val="000E4EE4"/>
    <w:rsid w:val="000E5246"/>
    <w:rsid w:val="000E55FC"/>
    <w:rsid w:val="000E5CDC"/>
    <w:rsid w:val="000E6386"/>
    <w:rsid w:val="000E64A7"/>
    <w:rsid w:val="000E6622"/>
    <w:rsid w:val="000E6810"/>
    <w:rsid w:val="000E6DA6"/>
    <w:rsid w:val="000E6DDE"/>
    <w:rsid w:val="000E7456"/>
    <w:rsid w:val="000E74D2"/>
    <w:rsid w:val="000E7AEC"/>
    <w:rsid w:val="000E7B3D"/>
    <w:rsid w:val="000E7D89"/>
    <w:rsid w:val="000F00F3"/>
    <w:rsid w:val="000F0D1A"/>
    <w:rsid w:val="000F0ECC"/>
    <w:rsid w:val="000F117C"/>
    <w:rsid w:val="000F1557"/>
    <w:rsid w:val="000F199F"/>
    <w:rsid w:val="000F1A3C"/>
    <w:rsid w:val="000F1CCA"/>
    <w:rsid w:val="000F1D32"/>
    <w:rsid w:val="000F1E96"/>
    <w:rsid w:val="000F2378"/>
    <w:rsid w:val="000F246A"/>
    <w:rsid w:val="000F28AC"/>
    <w:rsid w:val="000F2AC1"/>
    <w:rsid w:val="000F3610"/>
    <w:rsid w:val="000F36BA"/>
    <w:rsid w:val="000F391C"/>
    <w:rsid w:val="000F4451"/>
    <w:rsid w:val="000F457E"/>
    <w:rsid w:val="000F4609"/>
    <w:rsid w:val="000F4768"/>
    <w:rsid w:val="000F48B8"/>
    <w:rsid w:val="000F4F05"/>
    <w:rsid w:val="000F4F50"/>
    <w:rsid w:val="000F5388"/>
    <w:rsid w:val="000F58ED"/>
    <w:rsid w:val="000F5924"/>
    <w:rsid w:val="000F5E2E"/>
    <w:rsid w:val="000F5FED"/>
    <w:rsid w:val="000F6013"/>
    <w:rsid w:val="000F635A"/>
    <w:rsid w:val="000F6837"/>
    <w:rsid w:val="000F6A97"/>
    <w:rsid w:val="000F6AC7"/>
    <w:rsid w:val="000F6B7A"/>
    <w:rsid w:val="000F6C87"/>
    <w:rsid w:val="000F6F52"/>
    <w:rsid w:val="000F7464"/>
    <w:rsid w:val="000F7599"/>
    <w:rsid w:val="000F76C0"/>
    <w:rsid w:val="000F7705"/>
    <w:rsid w:val="000F78B2"/>
    <w:rsid w:val="000F78D0"/>
    <w:rsid w:val="000F7B5F"/>
    <w:rsid w:val="000F7D62"/>
    <w:rsid w:val="000F7E8F"/>
    <w:rsid w:val="0010001D"/>
    <w:rsid w:val="00100048"/>
    <w:rsid w:val="00100279"/>
    <w:rsid w:val="00100AF4"/>
    <w:rsid w:val="00100C65"/>
    <w:rsid w:val="00100E43"/>
    <w:rsid w:val="0010120B"/>
    <w:rsid w:val="001015A9"/>
    <w:rsid w:val="001017E3"/>
    <w:rsid w:val="00101995"/>
    <w:rsid w:val="00101CEE"/>
    <w:rsid w:val="00101DF0"/>
    <w:rsid w:val="00101F3E"/>
    <w:rsid w:val="00102327"/>
    <w:rsid w:val="00102440"/>
    <w:rsid w:val="00102B3C"/>
    <w:rsid w:val="00102C6D"/>
    <w:rsid w:val="00102DF3"/>
    <w:rsid w:val="00102ED9"/>
    <w:rsid w:val="00103001"/>
    <w:rsid w:val="00103500"/>
    <w:rsid w:val="00103501"/>
    <w:rsid w:val="00103841"/>
    <w:rsid w:val="00103848"/>
    <w:rsid w:val="00103AA0"/>
    <w:rsid w:val="00103B04"/>
    <w:rsid w:val="00103B71"/>
    <w:rsid w:val="00103E58"/>
    <w:rsid w:val="0010408B"/>
    <w:rsid w:val="001048C4"/>
    <w:rsid w:val="0010499D"/>
    <w:rsid w:val="00104AAD"/>
    <w:rsid w:val="00104CFF"/>
    <w:rsid w:val="001054FB"/>
    <w:rsid w:val="001056D7"/>
    <w:rsid w:val="00105D01"/>
    <w:rsid w:val="001062AF"/>
    <w:rsid w:val="001062D6"/>
    <w:rsid w:val="0010643F"/>
    <w:rsid w:val="00106473"/>
    <w:rsid w:val="001064A0"/>
    <w:rsid w:val="00106583"/>
    <w:rsid w:val="001067D7"/>
    <w:rsid w:val="00107355"/>
    <w:rsid w:val="001077BB"/>
    <w:rsid w:val="001078A8"/>
    <w:rsid w:val="00107A2D"/>
    <w:rsid w:val="00107D85"/>
    <w:rsid w:val="00110082"/>
    <w:rsid w:val="00110204"/>
    <w:rsid w:val="00110832"/>
    <w:rsid w:val="0011088B"/>
    <w:rsid w:val="0011110D"/>
    <w:rsid w:val="00111180"/>
    <w:rsid w:val="00111243"/>
    <w:rsid w:val="00111555"/>
    <w:rsid w:val="00111A53"/>
    <w:rsid w:val="00111A99"/>
    <w:rsid w:val="00111B27"/>
    <w:rsid w:val="00111C73"/>
    <w:rsid w:val="0011200E"/>
    <w:rsid w:val="00112579"/>
    <w:rsid w:val="00112683"/>
    <w:rsid w:val="00112C95"/>
    <w:rsid w:val="00112DFB"/>
    <w:rsid w:val="00112FCE"/>
    <w:rsid w:val="00113170"/>
    <w:rsid w:val="001132ED"/>
    <w:rsid w:val="001139D3"/>
    <w:rsid w:val="00113B0C"/>
    <w:rsid w:val="00113DA4"/>
    <w:rsid w:val="001140D2"/>
    <w:rsid w:val="00114186"/>
    <w:rsid w:val="001142B1"/>
    <w:rsid w:val="001148AA"/>
    <w:rsid w:val="00114910"/>
    <w:rsid w:val="00114A0B"/>
    <w:rsid w:val="00114C5F"/>
    <w:rsid w:val="00114F02"/>
    <w:rsid w:val="00115567"/>
    <w:rsid w:val="001157ED"/>
    <w:rsid w:val="001159A0"/>
    <w:rsid w:val="00115A00"/>
    <w:rsid w:val="00115AE6"/>
    <w:rsid w:val="00115EBE"/>
    <w:rsid w:val="00116153"/>
    <w:rsid w:val="0011659A"/>
    <w:rsid w:val="001167F0"/>
    <w:rsid w:val="00116BAB"/>
    <w:rsid w:val="0011704D"/>
    <w:rsid w:val="0011706A"/>
    <w:rsid w:val="0011725D"/>
    <w:rsid w:val="00117701"/>
    <w:rsid w:val="0011775B"/>
    <w:rsid w:val="00117B92"/>
    <w:rsid w:val="00117DC1"/>
    <w:rsid w:val="00117EB4"/>
    <w:rsid w:val="00120773"/>
    <w:rsid w:val="00120B76"/>
    <w:rsid w:val="00120BEC"/>
    <w:rsid w:val="00120E1F"/>
    <w:rsid w:val="00121148"/>
    <w:rsid w:val="001211B6"/>
    <w:rsid w:val="001211BD"/>
    <w:rsid w:val="0012122C"/>
    <w:rsid w:val="00121320"/>
    <w:rsid w:val="0012142F"/>
    <w:rsid w:val="00121430"/>
    <w:rsid w:val="00121511"/>
    <w:rsid w:val="00121A5C"/>
    <w:rsid w:val="00121E07"/>
    <w:rsid w:val="00121FBE"/>
    <w:rsid w:val="001221BA"/>
    <w:rsid w:val="0012251E"/>
    <w:rsid w:val="00122B4D"/>
    <w:rsid w:val="00122DB8"/>
    <w:rsid w:val="00122FC9"/>
    <w:rsid w:val="001238A7"/>
    <w:rsid w:val="0012390B"/>
    <w:rsid w:val="0012394C"/>
    <w:rsid w:val="00123D0B"/>
    <w:rsid w:val="00123E7E"/>
    <w:rsid w:val="00123EEA"/>
    <w:rsid w:val="00123F1C"/>
    <w:rsid w:val="00123FDA"/>
    <w:rsid w:val="0012429C"/>
    <w:rsid w:val="0012442B"/>
    <w:rsid w:val="001247C5"/>
    <w:rsid w:val="00124C9B"/>
    <w:rsid w:val="001252C4"/>
    <w:rsid w:val="001253A8"/>
    <w:rsid w:val="00125683"/>
    <w:rsid w:val="00125DDB"/>
    <w:rsid w:val="00125EAF"/>
    <w:rsid w:val="0012623B"/>
    <w:rsid w:val="0012640B"/>
    <w:rsid w:val="0012643F"/>
    <w:rsid w:val="0012693D"/>
    <w:rsid w:val="00126A87"/>
    <w:rsid w:val="00126B95"/>
    <w:rsid w:val="001276E9"/>
    <w:rsid w:val="00127C11"/>
    <w:rsid w:val="00127E16"/>
    <w:rsid w:val="00127E29"/>
    <w:rsid w:val="00127E89"/>
    <w:rsid w:val="001302E5"/>
    <w:rsid w:val="0013033B"/>
    <w:rsid w:val="00130EB4"/>
    <w:rsid w:val="00131139"/>
    <w:rsid w:val="001311CB"/>
    <w:rsid w:val="001317A3"/>
    <w:rsid w:val="00131E41"/>
    <w:rsid w:val="001322BA"/>
    <w:rsid w:val="00132395"/>
    <w:rsid w:val="00132948"/>
    <w:rsid w:val="00132A0F"/>
    <w:rsid w:val="00132C56"/>
    <w:rsid w:val="00132E39"/>
    <w:rsid w:val="001330F2"/>
    <w:rsid w:val="00133726"/>
    <w:rsid w:val="00133776"/>
    <w:rsid w:val="00133B85"/>
    <w:rsid w:val="00133D11"/>
    <w:rsid w:val="001340FB"/>
    <w:rsid w:val="001343AB"/>
    <w:rsid w:val="00134C7D"/>
    <w:rsid w:val="00134DB9"/>
    <w:rsid w:val="00134EF7"/>
    <w:rsid w:val="001354B7"/>
    <w:rsid w:val="00135AEF"/>
    <w:rsid w:val="00135D44"/>
    <w:rsid w:val="001369CE"/>
    <w:rsid w:val="00136FD5"/>
    <w:rsid w:val="001370FB"/>
    <w:rsid w:val="001373A0"/>
    <w:rsid w:val="001378AB"/>
    <w:rsid w:val="00137A08"/>
    <w:rsid w:val="00137D6A"/>
    <w:rsid w:val="00137F0A"/>
    <w:rsid w:val="0014012F"/>
    <w:rsid w:val="00140A8B"/>
    <w:rsid w:val="00140B7E"/>
    <w:rsid w:val="00141164"/>
    <w:rsid w:val="0014116C"/>
    <w:rsid w:val="00141783"/>
    <w:rsid w:val="001417BA"/>
    <w:rsid w:val="00141DA6"/>
    <w:rsid w:val="00141EE1"/>
    <w:rsid w:val="00142550"/>
    <w:rsid w:val="00142A2F"/>
    <w:rsid w:val="00142BC2"/>
    <w:rsid w:val="0014350D"/>
    <w:rsid w:val="001435A8"/>
    <w:rsid w:val="00143A40"/>
    <w:rsid w:val="00143AF5"/>
    <w:rsid w:val="001441ED"/>
    <w:rsid w:val="0014461E"/>
    <w:rsid w:val="001447B8"/>
    <w:rsid w:val="00144B45"/>
    <w:rsid w:val="00144F3D"/>
    <w:rsid w:val="001452BF"/>
    <w:rsid w:val="00145439"/>
    <w:rsid w:val="001455C8"/>
    <w:rsid w:val="00145739"/>
    <w:rsid w:val="00145844"/>
    <w:rsid w:val="00146216"/>
    <w:rsid w:val="001465F4"/>
    <w:rsid w:val="00146688"/>
    <w:rsid w:val="00146BB4"/>
    <w:rsid w:val="00147540"/>
    <w:rsid w:val="001476F6"/>
    <w:rsid w:val="00147A60"/>
    <w:rsid w:val="00147C78"/>
    <w:rsid w:val="00147F7E"/>
    <w:rsid w:val="001501FF"/>
    <w:rsid w:val="00150814"/>
    <w:rsid w:val="00150853"/>
    <w:rsid w:val="00150EE9"/>
    <w:rsid w:val="001513B0"/>
    <w:rsid w:val="00151418"/>
    <w:rsid w:val="00151456"/>
    <w:rsid w:val="001514CF"/>
    <w:rsid w:val="00151854"/>
    <w:rsid w:val="00151A4D"/>
    <w:rsid w:val="00151C6D"/>
    <w:rsid w:val="001521B9"/>
    <w:rsid w:val="001525E0"/>
    <w:rsid w:val="0015271D"/>
    <w:rsid w:val="00152753"/>
    <w:rsid w:val="0015294B"/>
    <w:rsid w:val="00153478"/>
    <w:rsid w:val="0015382C"/>
    <w:rsid w:val="00153D18"/>
    <w:rsid w:val="00153E50"/>
    <w:rsid w:val="00153FA5"/>
    <w:rsid w:val="001540C0"/>
    <w:rsid w:val="00154349"/>
    <w:rsid w:val="0015454A"/>
    <w:rsid w:val="001545CE"/>
    <w:rsid w:val="00154770"/>
    <w:rsid w:val="00154AFB"/>
    <w:rsid w:val="00154DF0"/>
    <w:rsid w:val="001551CE"/>
    <w:rsid w:val="001553A6"/>
    <w:rsid w:val="0015555D"/>
    <w:rsid w:val="001555DC"/>
    <w:rsid w:val="00155668"/>
    <w:rsid w:val="00155AD7"/>
    <w:rsid w:val="00155D51"/>
    <w:rsid w:val="00155E78"/>
    <w:rsid w:val="00155EA4"/>
    <w:rsid w:val="00156014"/>
    <w:rsid w:val="001567FA"/>
    <w:rsid w:val="00156F8F"/>
    <w:rsid w:val="00157204"/>
    <w:rsid w:val="00157610"/>
    <w:rsid w:val="0015776B"/>
    <w:rsid w:val="0015799F"/>
    <w:rsid w:val="00157B1B"/>
    <w:rsid w:val="00157D75"/>
    <w:rsid w:val="00157DD5"/>
    <w:rsid w:val="0016011D"/>
    <w:rsid w:val="001603D0"/>
    <w:rsid w:val="00160697"/>
    <w:rsid w:val="0016071D"/>
    <w:rsid w:val="001608ED"/>
    <w:rsid w:val="00160A2B"/>
    <w:rsid w:val="00160E22"/>
    <w:rsid w:val="00161227"/>
    <w:rsid w:val="001615E7"/>
    <w:rsid w:val="00161628"/>
    <w:rsid w:val="00161CD3"/>
    <w:rsid w:val="00161D8B"/>
    <w:rsid w:val="00161EFA"/>
    <w:rsid w:val="0016234B"/>
    <w:rsid w:val="00162523"/>
    <w:rsid w:val="0016257A"/>
    <w:rsid w:val="0016283D"/>
    <w:rsid w:val="00162A06"/>
    <w:rsid w:val="001636AB"/>
    <w:rsid w:val="001637D3"/>
    <w:rsid w:val="00163888"/>
    <w:rsid w:val="00163C1F"/>
    <w:rsid w:val="00163CE8"/>
    <w:rsid w:val="00163D8E"/>
    <w:rsid w:val="00163DC0"/>
    <w:rsid w:val="0016416E"/>
    <w:rsid w:val="00164481"/>
    <w:rsid w:val="001644D6"/>
    <w:rsid w:val="00164712"/>
    <w:rsid w:val="00164780"/>
    <w:rsid w:val="00164A91"/>
    <w:rsid w:val="0016500E"/>
    <w:rsid w:val="001653A9"/>
    <w:rsid w:val="001653EF"/>
    <w:rsid w:val="00165405"/>
    <w:rsid w:val="001655F5"/>
    <w:rsid w:val="00165620"/>
    <w:rsid w:val="0016566F"/>
    <w:rsid w:val="001657B8"/>
    <w:rsid w:val="00165CC0"/>
    <w:rsid w:val="00165F0F"/>
    <w:rsid w:val="00166133"/>
    <w:rsid w:val="00166268"/>
    <w:rsid w:val="001665D7"/>
    <w:rsid w:val="00166857"/>
    <w:rsid w:val="00166A11"/>
    <w:rsid w:val="00166AF8"/>
    <w:rsid w:val="00166BE8"/>
    <w:rsid w:val="00166DCE"/>
    <w:rsid w:val="001677FE"/>
    <w:rsid w:val="00167819"/>
    <w:rsid w:val="00167992"/>
    <w:rsid w:val="00167EEC"/>
    <w:rsid w:val="001700DA"/>
    <w:rsid w:val="00170407"/>
    <w:rsid w:val="001706C4"/>
    <w:rsid w:val="00170877"/>
    <w:rsid w:val="00170EE2"/>
    <w:rsid w:val="00170FFF"/>
    <w:rsid w:val="0017116B"/>
    <w:rsid w:val="001713AD"/>
    <w:rsid w:val="00171B36"/>
    <w:rsid w:val="00171B9C"/>
    <w:rsid w:val="00171D1B"/>
    <w:rsid w:val="00171DC8"/>
    <w:rsid w:val="00172043"/>
    <w:rsid w:val="00172060"/>
    <w:rsid w:val="00172846"/>
    <w:rsid w:val="00172925"/>
    <w:rsid w:val="00172A32"/>
    <w:rsid w:val="00172C36"/>
    <w:rsid w:val="00172E4F"/>
    <w:rsid w:val="0017303C"/>
    <w:rsid w:val="001733D0"/>
    <w:rsid w:val="001734EF"/>
    <w:rsid w:val="001736D8"/>
    <w:rsid w:val="00173B07"/>
    <w:rsid w:val="00173DD2"/>
    <w:rsid w:val="00173F6F"/>
    <w:rsid w:val="00173FB3"/>
    <w:rsid w:val="00174391"/>
    <w:rsid w:val="0017485C"/>
    <w:rsid w:val="00175093"/>
    <w:rsid w:val="0017516E"/>
    <w:rsid w:val="0017529A"/>
    <w:rsid w:val="001754B5"/>
    <w:rsid w:val="00175503"/>
    <w:rsid w:val="00176A06"/>
    <w:rsid w:val="00176D8E"/>
    <w:rsid w:val="00177082"/>
    <w:rsid w:val="0017708C"/>
    <w:rsid w:val="001775FD"/>
    <w:rsid w:val="00177875"/>
    <w:rsid w:val="00177C71"/>
    <w:rsid w:val="00177F62"/>
    <w:rsid w:val="001804E2"/>
    <w:rsid w:val="001808F6"/>
    <w:rsid w:val="00180A1C"/>
    <w:rsid w:val="00180AAF"/>
    <w:rsid w:val="00180AF4"/>
    <w:rsid w:val="00180B05"/>
    <w:rsid w:val="00180CD6"/>
    <w:rsid w:val="0018105A"/>
    <w:rsid w:val="001810DE"/>
    <w:rsid w:val="0018133A"/>
    <w:rsid w:val="00181405"/>
    <w:rsid w:val="001816C2"/>
    <w:rsid w:val="001817E1"/>
    <w:rsid w:val="00181914"/>
    <w:rsid w:val="001819EB"/>
    <w:rsid w:val="00181AF0"/>
    <w:rsid w:val="00181B82"/>
    <w:rsid w:val="00181CAC"/>
    <w:rsid w:val="00181D97"/>
    <w:rsid w:val="00181FBD"/>
    <w:rsid w:val="00182420"/>
    <w:rsid w:val="00182488"/>
    <w:rsid w:val="0018260A"/>
    <w:rsid w:val="001828A9"/>
    <w:rsid w:val="00182EA7"/>
    <w:rsid w:val="001833AA"/>
    <w:rsid w:val="00183474"/>
    <w:rsid w:val="001834EC"/>
    <w:rsid w:val="001840E7"/>
    <w:rsid w:val="001845EC"/>
    <w:rsid w:val="00184C76"/>
    <w:rsid w:val="00184ED4"/>
    <w:rsid w:val="00185593"/>
    <w:rsid w:val="00185C2D"/>
    <w:rsid w:val="001862A3"/>
    <w:rsid w:val="0018652C"/>
    <w:rsid w:val="001868B5"/>
    <w:rsid w:val="001868EF"/>
    <w:rsid w:val="00187090"/>
    <w:rsid w:val="001875A1"/>
    <w:rsid w:val="00187ED4"/>
    <w:rsid w:val="00187FC9"/>
    <w:rsid w:val="00190342"/>
    <w:rsid w:val="0019035D"/>
    <w:rsid w:val="00190659"/>
    <w:rsid w:val="00190A11"/>
    <w:rsid w:val="001910CF"/>
    <w:rsid w:val="0019111E"/>
    <w:rsid w:val="001912EC"/>
    <w:rsid w:val="001913DE"/>
    <w:rsid w:val="00191C3F"/>
    <w:rsid w:val="00191D13"/>
    <w:rsid w:val="00191EC5"/>
    <w:rsid w:val="0019232F"/>
    <w:rsid w:val="001926B9"/>
    <w:rsid w:val="001926C4"/>
    <w:rsid w:val="00192A40"/>
    <w:rsid w:val="00192A6B"/>
    <w:rsid w:val="00193312"/>
    <w:rsid w:val="00193448"/>
    <w:rsid w:val="001936CE"/>
    <w:rsid w:val="001936EE"/>
    <w:rsid w:val="00193882"/>
    <w:rsid w:val="00193A29"/>
    <w:rsid w:val="00193D40"/>
    <w:rsid w:val="00193F30"/>
    <w:rsid w:val="001940F5"/>
    <w:rsid w:val="001941F4"/>
    <w:rsid w:val="001951F7"/>
    <w:rsid w:val="001951F9"/>
    <w:rsid w:val="0019524F"/>
    <w:rsid w:val="0019527A"/>
    <w:rsid w:val="001952D2"/>
    <w:rsid w:val="001953FD"/>
    <w:rsid w:val="001955E2"/>
    <w:rsid w:val="00195782"/>
    <w:rsid w:val="001959F4"/>
    <w:rsid w:val="00195E92"/>
    <w:rsid w:val="00195F06"/>
    <w:rsid w:val="00195F39"/>
    <w:rsid w:val="00196533"/>
    <w:rsid w:val="001965D9"/>
    <w:rsid w:val="00196A1A"/>
    <w:rsid w:val="00196FD3"/>
    <w:rsid w:val="00197098"/>
    <w:rsid w:val="00197344"/>
    <w:rsid w:val="001975BE"/>
    <w:rsid w:val="001975D6"/>
    <w:rsid w:val="00197657"/>
    <w:rsid w:val="0019790E"/>
    <w:rsid w:val="00197A76"/>
    <w:rsid w:val="00197E5A"/>
    <w:rsid w:val="001A019F"/>
    <w:rsid w:val="001A0213"/>
    <w:rsid w:val="001A0281"/>
    <w:rsid w:val="001A04DB"/>
    <w:rsid w:val="001A0601"/>
    <w:rsid w:val="001A06C1"/>
    <w:rsid w:val="001A099D"/>
    <w:rsid w:val="001A0B8B"/>
    <w:rsid w:val="001A169A"/>
    <w:rsid w:val="001A19EA"/>
    <w:rsid w:val="001A1BE9"/>
    <w:rsid w:val="001A1C2E"/>
    <w:rsid w:val="001A2BA3"/>
    <w:rsid w:val="001A2CA6"/>
    <w:rsid w:val="001A2D02"/>
    <w:rsid w:val="001A2F07"/>
    <w:rsid w:val="001A300F"/>
    <w:rsid w:val="001A303C"/>
    <w:rsid w:val="001A324C"/>
    <w:rsid w:val="001A331A"/>
    <w:rsid w:val="001A3320"/>
    <w:rsid w:val="001A357A"/>
    <w:rsid w:val="001A3797"/>
    <w:rsid w:val="001A3B46"/>
    <w:rsid w:val="001A4042"/>
    <w:rsid w:val="001A4312"/>
    <w:rsid w:val="001A473B"/>
    <w:rsid w:val="001A4923"/>
    <w:rsid w:val="001A4B84"/>
    <w:rsid w:val="001A4F7D"/>
    <w:rsid w:val="001A529C"/>
    <w:rsid w:val="001A53F2"/>
    <w:rsid w:val="001A5E50"/>
    <w:rsid w:val="001A5EB7"/>
    <w:rsid w:val="001A65AD"/>
    <w:rsid w:val="001A677C"/>
    <w:rsid w:val="001A6F73"/>
    <w:rsid w:val="001A7090"/>
    <w:rsid w:val="001A7426"/>
    <w:rsid w:val="001A749B"/>
    <w:rsid w:val="001A76C9"/>
    <w:rsid w:val="001A7A16"/>
    <w:rsid w:val="001A7A91"/>
    <w:rsid w:val="001A7AB4"/>
    <w:rsid w:val="001A7ABE"/>
    <w:rsid w:val="001A7B16"/>
    <w:rsid w:val="001A7B33"/>
    <w:rsid w:val="001A7D8C"/>
    <w:rsid w:val="001B091F"/>
    <w:rsid w:val="001B0C79"/>
    <w:rsid w:val="001B0D42"/>
    <w:rsid w:val="001B0DF4"/>
    <w:rsid w:val="001B0F63"/>
    <w:rsid w:val="001B1044"/>
    <w:rsid w:val="001B1122"/>
    <w:rsid w:val="001B119E"/>
    <w:rsid w:val="001B120B"/>
    <w:rsid w:val="001B134C"/>
    <w:rsid w:val="001B16F5"/>
    <w:rsid w:val="001B188F"/>
    <w:rsid w:val="001B18A9"/>
    <w:rsid w:val="001B18AE"/>
    <w:rsid w:val="001B1990"/>
    <w:rsid w:val="001B2150"/>
    <w:rsid w:val="001B21E0"/>
    <w:rsid w:val="001B2F47"/>
    <w:rsid w:val="001B3362"/>
    <w:rsid w:val="001B3ED0"/>
    <w:rsid w:val="001B3F30"/>
    <w:rsid w:val="001B4423"/>
    <w:rsid w:val="001B4627"/>
    <w:rsid w:val="001B4B79"/>
    <w:rsid w:val="001B5595"/>
    <w:rsid w:val="001B578F"/>
    <w:rsid w:val="001B5FCF"/>
    <w:rsid w:val="001B61C8"/>
    <w:rsid w:val="001B6352"/>
    <w:rsid w:val="001B6B88"/>
    <w:rsid w:val="001B6C0D"/>
    <w:rsid w:val="001B6F41"/>
    <w:rsid w:val="001B7257"/>
    <w:rsid w:val="001B7639"/>
    <w:rsid w:val="001C005F"/>
    <w:rsid w:val="001C031E"/>
    <w:rsid w:val="001C03F4"/>
    <w:rsid w:val="001C0722"/>
    <w:rsid w:val="001C1A1C"/>
    <w:rsid w:val="001C21A5"/>
    <w:rsid w:val="001C223F"/>
    <w:rsid w:val="001C2756"/>
    <w:rsid w:val="001C2E2B"/>
    <w:rsid w:val="001C2F3E"/>
    <w:rsid w:val="001C3103"/>
    <w:rsid w:val="001C3851"/>
    <w:rsid w:val="001C3895"/>
    <w:rsid w:val="001C3DB9"/>
    <w:rsid w:val="001C4255"/>
    <w:rsid w:val="001C453D"/>
    <w:rsid w:val="001C45A9"/>
    <w:rsid w:val="001C45E8"/>
    <w:rsid w:val="001C45EA"/>
    <w:rsid w:val="001C4821"/>
    <w:rsid w:val="001C4E57"/>
    <w:rsid w:val="001C4FF2"/>
    <w:rsid w:val="001C50E6"/>
    <w:rsid w:val="001C53F4"/>
    <w:rsid w:val="001C58F2"/>
    <w:rsid w:val="001C5A5D"/>
    <w:rsid w:val="001C5B0B"/>
    <w:rsid w:val="001C5B81"/>
    <w:rsid w:val="001C5D4B"/>
    <w:rsid w:val="001C5E62"/>
    <w:rsid w:val="001C5F4D"/>
    <w:rsid w:val="001C6794"/>
    <w:rsid w:val="001C69C5"/>
    <w:rsid w:val="001C6B47"/>
    <w:rsid w:val="001C6D87"/>
    <w:rsid w:val="001C706D"/>
    <w:rsid w:val="001C7254"/>
    <w:rsid w:val="001C7B08"/>
    <w:rsid w:val="001C7BF4"/>
    <w:rsid w:val="001C7CB2"/>
    <w:rsid w:val="001D02AE"/>
    <w:rsid w:val="001D07DB"/>
    <w:rsid w:val="001D0C25"/>
    <w:rsid w:val="001D0D18"/>
    <w:rsid w:val="001D0DC9"/>
    <w:rsid w:val="001D0E74"/>
    <w:rsid w:val="001D0FAF"/>
    <w:rsid w:val="001D18E5"/>
    <w:rsid w:val="001D19D1"/>
    <w:rsid w:val="001D1CE7"/>
    <w:rsid w:val="001D269A"/>
    <w:rsid w:val="001D2707"/>
    <w:rsid w:val="001D2AA0"/>
    <w:rsid w:val="001D2B09"/>
    <w:rsid w:val="001D2D34"/>
    <w:rsid w:val="001D3011"/>
    <w:rsid w:val="001D37A4"/>
    <w:rsid w:val="001D38B8"/>
    <w:rsid w:val="001D38C3"/>
    <w:rsid w:val="001D3A51"/>
    <w:rsid w:val="001D3B54"/>
    <w:rsid w:val="001D3B93"/>
    <w:rsid w:val="001D418B"/>
    <w:rsid w:val="001D4337"/>
    <w:rsid w:val="001D4870"/>
    <w:rsid w:val="001D4E13"/>
    <w:rsid w:val="001D4E2B"/>
    <w:rsid w:val="001D4E99"/>
    <w:rsid w:val="001D5012"/>
    <w:rsid w:val="001D50E9"/>
    <w:rsid w:val="001D5128"/>
    <w:rsid w:val="001D55E4"/>
    <w:rsid w:val="001D5719"/>
    <w:rsid w:val="001D5A34"/>
    <w:rsid w:val="001D5B89"/>
    <w:rsid w:val="001D5D85"/>
    <w:rsid w:val="001D63BC"/>
    <w:rsid w:val="001D63FE"/>
    <w:rsid w:val="001D6549"/>
    <w:rsid w:val="001D7110"/>
    <w:rsid w:val="001D7246"/>
    <w:rsid w:val="001D747C"/>
    <w:rsid w:val="001D7553"/>
    <w:rsid w:val="001D75CE"/>
    <w:rsid w:val="001E0CAE"/>
    <w:rsid w:val="001E1952"/>
    <w:rsid w:val="001E1E5A"/>
    <w:rsid w:val="001E1E69"/>
    <w:rsid w:val="001E232A"/>
    <w:rsid w:val="001E241B"/>
    <w:rsid w:val="001E297A"/>
    <w:rsid w:val="001E2ABC"/>
    <w:rsid w:val="001E2E98"/>
    <w:rsid w:val="001E2F1A"/>
    <w:rsid w:val="001E32D9"/>
    <w:rsid w:val="001E3430"/>
    <w:rsid w:val="001E34B7"/>
    <w:rsid w:val="001E38A4"/>
    <w:rsid w:val="001E3E13"/>
    <w:rsid w:val="001E3F7B"/>
    <w:rsid w:val="001E40B5"/>
    <w:rsid w:val="001E40CA"/>
    <w:rsid w:val="001E429B"/>
    <w:rsid w:val="001E478D"/>
    <w:rsid w:val="001E479F"/>
    <w:rsid w:val="001E47CB"/>
    <w:rsid w:val="001E4A91"/>
    <w:rsid w:val="001E4B03"/>
    <w:rsid w:val="001E5017"/>
    <w:rsid w:val="001E52E3"/>
    <w:rsid w:val="001E547E"/>
    <w:rsid w:val="001E5692"/>
    <w:rsid w:val="001E56F6"/>
    <w:rsid w:val="001E571C"/>
    <w:rsid w:val="001E57B4"/>
    <w:rsid w:val="001E594D"/>
    <w:rsid w:val="001E65C8"/>
    <w:rsid w:val="001E6B07"/>
    <w:rsid w:val="001E6B36"/>
    <w:rsid w:val="001E6F3D"/>
    <w:rsid w:val="001E70FB"/>
    <w:rsid w:val="001E71A6"/>
    <w:rsid w:val="001E7514"/>
    <w:rsid w:val="001E780E"/>
    <w:rsid w:val="001E79D8"/>
    <w:rsid w:val="001E7A1C"/>
    <w:rsid w:val="001E7AAA"/>
    <w:rsid w:val="001E7C0F"/>
    <w:rsid w:val="001F0098"/>
    <w:rsid w:val="001F02AC"/>
    <w:rsid w:val="001F06BA"/>
    <w:rsid w:val="001F075A"/>
    <w:rsid w:val="001F0F7A"/>
    <w:rsid w:val="001F1093"/>
    <w:rsid w:val="001F12EA"/>
    <w:rsid w:val="001F139E"/>
    <w:rsid w:val="001F172C"/>
    <w:rsid w:val="001F199B"/>
    <w:rsid w:val="001F1E80"/>
    <w:rsid w:val="001F21D2"/>
    <w:rsid w:val="001F2304"/>
    <w:rsid w:val="001F25EB"/>
    <w:rsid w:val="001F2631"/>
    <w:rsid w:val="001F28B9"/>
    <w:rsid w:val="001F2C01"/>
    <w:rsid w:val="001F2D7E"/>
    <w:rsid w:val="001F2DDA"/>
    <w:rsid w:val="001F2EE5"/>
    <w:rsid w:val="001F3109"/>
    <w:rsid w:val="001F366E"/>
    <w:rsid w:val="001F375F"/>
    <w:rsid w:val="001F3996"/>
    <w:rsid w:val="001F3CAF"/>
    <w:rsid w:val="001F3DCE"/>
    <w:rsid w:val="001F3F51"/>
    <w:rsid w:val="001F4205"/>
    <w:rsid w:val="001F43DE"/>
    <w:rsid w:val="001F43FD"/>
    <w:rsid w:val="001F4469"/>
    <w:rsid w:val="001F45A9"/>
    <w:rsid w:val="001F4744"/>
    <w:rsid w:val="001F47E0"/>
    <w:rsid w:val="001F4A46"/>
    <w:rsid w:val="001F4D93"/>
    <w:rsid w:val="001F52D9"/>
    <w:rsid w:val="001F532D"/>
    <w:rsid w:val="001F5407"/>
    <w:rsid w:val="001F59D7"/>
    <w:rsid w:val="001F67BB"/>
    <w:rsid w:val="001F6B61"/>
    <w:rsid w:val="001F6E2A"/>
    <w:rsid w:val="001F777C"/>
    <w:rsid w:val="001F778D"/>
    <w:rsid w:val="001F7A1E"/>
    <w:rsid w:val="001F7BF3"/>
    <w:rsid w:val="001F7C65"/>
    <w:rsid w:val="002002E4"/>
    <w:rsid w:val="0020041C"/>
    <w:rsid w:val="0020060B"/>
    <w:rsid w:val="00200646"/>
    <w:rsid w:val="00200AF2"/>
    <w:rsid w:val="00200BA2"/>
    <w:rsid w:val="002012D7"/>
    <w:rsid w:val="0020139D"/>
    <w:rsid w:val="0020183A"/>
    <w:rsid w:val="00201D67"/>
    <w:rsid w:val="00201EE3"/>
    <w:rsid w:val="00201EE8"/>
    <w:rsid w:val="00202027"/>
    <w:rsid w:val="00202066"/>
    <w:rsid w:val="002020D6"/>
    <w:rsid w:val="002022CE"/>
    <w:rsid w:val="00202395"/>
    <w:rsid w:val="0020249F"/>
    <w:rsid w:val="0020280D"/>
    <w:rsid w:val="002029FF"/>
    <w:rsid w:val="00202B09"/>
    <w:rsid w:val="00202DD4"/>
    <w:rsid w:val="00202EF5"/>
    <w:rsid w:val="00202F8F"/>
    <w:rsid w:val="00203408"/>
    <w:rsid w:val="00203928"/>
    <w:rsid w:val="00203AC5"/>
    <w:rsid w:val="00203BF6"/>
    <w:rsid w:val="00203DA4"/>
    <w:rsid w:val="0020402E"/>
    <w:rsid w:val="00204785"/>
    <w:rsid w:val="00204B9F"/>
    <w:rsid w:val="00204D39"/>
    <w:rsid w:val="00204EA9"/>
    <w:rsid w:val="002056C2"/>
    <w:rsid w:val="002056C6"/>
    <w:rsid w:val="00205769"/>
    <w:rsid w:val="002059EF"/>
    <w:rsid w:val="00205CD7"/>
    <w:rsid w:val="00205FBA"/>
    <w:rsid w:val="0020600D"/>
    <w:rsid w:val="0020606D"/>
    <w:rsid w:val="00206107"/>
    <w:rsid w:val="00206A85"/>
    <w:rsid w:val="00206EE5"/>
    <w:rsid w:val="00206F2B"/>
    <w:rsid w:val="002070B2"/>
    <w:rsid w:val="002072B9"/>
    <w:rsid w:val="00207812"/>
    <w:rsid w:val="00207941"/>
    <w:rsid w:val="00207C6D"/>
    <w:rsid w:val="00207D1A"/>
    <w:rsid w:val="00210158"/>
    <w:rsid w:val="00210293"/>
    <w:rsid w:val="002106D5"/>
    <w:rsid w:val="0021097A"/>
    <w:rsid w:val="00210AE0"/>
    <w:rsid w:val="00210D34"/>
    <w:rsid w:val="00211246"/>
    <w:rsid w:val="002112C9"/>
    <w:rsid w:val="002115C0"/>
    <w:rsid w:val="002119C1"/>
    <w:rsid w:val="00211B03"/>
    <w:rsid w:val="00211B43"/>
    <w:rsid w:val="00211EB5"/>
    <w:rsid w:val="0021222E"/>
    <w:rsid w:val="0021252F"/>
    <w:rsid w:val="00212571"/>
    <w:rsid w:val="00212744"/>
    <w:rsid w:val="00212912"/>
    <w:rsid w:val="00212B6D"/>
    <w:rsid w:val="00213AD0"/>
    <w:rsid w:val="0021443F"/>
    <w:rsid w:val="00214644"/>
    <w:rsid w:val="002146EA"/>
    <w:rsid w:val="00214CF2"/>
    <w:rsid w:val="00214F93"/>
    <w:rsid w:val="0021589E"/>
    <w:rsid w:val="00215A89"/>
    <w:rsid w:val="00215C34"/>
    <w:rsid w:val="00215C54"/>
    <w:rsid w:val="00215D07"/>
    <w:rsid w:val="00215D7E"/>
    <w:rsid w:val="00215F14"/>
    <w:rsid w:val="00216210"/>
    <w:rsid w:val="002167C9"/>
    <w:rsid w:val="002167FA"/>
    <w:rsid w:val="00216943"/>
    <w:rsid w:val="00216D7D"/>
    <w:rsid w:val="00216F17"/>
    <w:rsid w:val="00217413"/>
    <w:rsid w:val="00217487"/>
    <w:rsid w:val="00217554"/>
    <w:rsid w:val="0021766D"/>
    <w:rsid w:val="0021791F"/>
    <w:rsid w:val="00217971"/>
    <w:rsid w:val="002179EB"/>
    <w:rsid w:val="00217A76"/>
    <w:rsid w:val="00217ACD"/>
    <w:rsid w:val="00217D69"/>
    <w:rsid w:val="00217E24"/>
    <w:rsid w:val="002204A0"/>
    <w:rsid w:val="0022085C"/>
    <w:rsid w:val="002209A6"/>
    <w:rsid w:val="00220A57"/>
    <w:rsid w:val="00220EEB"/>
    <w:rsid w:val="00220FFC"/>
    <w:rsid w:val="0022110D"/>
    <w:rsid w:val="00221B7D"/>
    <w:rsid w:val="00221C14"/>
    <w:rsid w:val="00221DD4"/>
    <w:rsid w:val="00221F4E"/>
    <w:rsid w:val="0022200C"/>
    <w:rsid w:val="0022208C"/>
    <w:rsid w:val="00222090"/>
    <w:rsid w:val="002225F9"/>
    <w:rsid w:val="00222785"/>
    <w:rsid w:val="00222B12"/>
    <w:rsid w:val="002238FD"/>
    <w:rsid w:val="00223A98"/>
    <w:rsid w:val="00223B1B"/>
    <w:rsid w:val="00223D84"/>
    <w:rsid w:val="0022402B"/>
    <w:rsid w:val="00224627"/>
    <w:rsid w:val="00224A9E"/>
    <w:rsid w:val="00224B1A"/>
    <w:rsid w:val="00225059"/>
    <w:rsid w:val="00225415"/>
    <w:rsid w:val="0022612C"/>
    <w:rsid w:val="00226A7B"/>
    <w:rsid w:val="00227259"/>
    <w:rsid w:val="00227271"/>
    <w:rsid w:val="00227406"/>
    <w:rsid w:val="0022746F"/>
    <w:rsid w:val="00227514"/>
    <w:rsid w:val="002278E2"/>
    <w:rsid w:val="00227929"/>
    <w:rsid w:val="00230539"/>
    <w:rsid w:val="00230B11"/>
    <w:rsid w:val="00230CE1"/>
    <w:rsid w:val="00230F98"/>
    <w:rsid w:val="00230FE9"/>
    <w:rsid w:val="00231835"/>
    <w:rsid w:val="002318F8"/>
    <w:rsid w:val="00231F58"/>
    <w:rsid w:val="002320B8"/>
    <w:rsid w:val="002321C6"/>
    <w:rsid w:val="002322E5"/>
    <w:rsid w:val="00232CB5"/>
    <w:rsid w:val="00232F6D"/>
    <w:rsid w:val="00232FD0"/>
    <w:rsid w:val="0023302A"/>
    <w:rsid w:val="002333C0"/>
    <w:rsid w:val="0023374E"/>
    <w:rsid w:val="00233765"/>
    <w:rsid w:val="00233E43"/>
    <w:rsid w:val="00233F2B"/>
    <w:rsid w:val="0023469B"/>
    <w:rsid w:val="0023471C"/>
    <w:rsid w:val="00234DB0"/>
    <w:rsid w:val="002350DB"/>
    <w:rsid w:val="00235454"/>
    <w:rsid w:val="00235575"/>
    <w:rsid w:val="00235B9F"/>
    <w:rsid w:val="00236008"/>
    <w:rsid w:val="0023618C"/>
    <w:rsid w:val="00236381"/>
    <w:rsid w:val="0023655C"/>
    <w:rsid w:val="00236B74"/>
    <w:rsid w:val="00236C27"/>
    <w:rsid w:val="00237023"/>
    <w:rsid w:val="00237304"/>
    <w:rsid w:val="002374F1"/>
    <w:rsid w:val="0023768B"/>
    <w:rsid w:val="0024041C"/>
    <w:rsid w:val="002408C3"/>
    <w:rsid w:val="00240C2C"/>
    <w:rsid w:val="00240F2F"/>
    <w:rsid w:val="00241262"/>
    <w:rsid w:val="0024140E"/>
    <w:rsid w:val="002414F7"/>
    <w:rsid w:val="00241693"/>
    <w:rsid w:val="002418F0"/>
    <w:rsid w:val="00241938"/>
    <w:rsid w:val="00241985"/>
    <w:rsid w:val="002420DA"/>
    <w:rsid w:val="002420E1"/>
    <w:rsid w:val="002421C9"/>
    <w:rsid w:val="00242236"/>
    <w:rsid w:val="002422AD"/>
    <w:rsid w:val="00242502"/>
    <w:rsid w:val="00242596"/>
    <w:rsid w:val="002425F1"/>
    <w:rsid w:val="002426BF"/>
    <w:rsid w:val="00242723"/>
    <w:rsid w:val="00242A65"/>
    <w:rsid w:val="00242B60"/>
    <w:rsid w:val="00242C54"/>
    <w:rsid w:val="00242C5C"/>
    <w:rsid w:val="00242CE3"/>
    <w:rsid w:val="002432BB"/>
    <w:rsid w:val="00243416"/>
    <w:rsid w:val="002434D2"/>
    <w:rsid w:val="0024368E"/>
    <w:rsid w:val="00243C52"/>
    <w:rsid w:val="00243D92"/>
    <w:rsid w:val="00244132"/>
    <w:rsid w:val="002446A4"/>
    <w:rsid w:val="00245440"/>
    <w:rsid w:val="0024556B"/>
    <w:rsid w:val="00245749"/>
    <w:rsid w:val="0024576F"/>
    <w:rsid w:val="00245B25"/>
    <w:rsid w:val="00245F7E"/>
    <w:rsid w:val="00246183"/>
    <w:rsid w:val="0024693C"/>
    <w:rsid w:val="00246A8B"/>
    <w:rsid w:val="00246B09"/>
    <w:rsid w:val="002470A2"/>
    <w:rsid w:val="00247259"/>
    <w:rsid w:val="00247418"/>
    <w:rsid w:val="0024741B"/>
    <w:rsid w:val="00247735"/>
    <w:rsid w:val="00247C76"/>
    <w:rsid w:val="00247D40"/>
    <w:rsid w:val="00247EBB"/>
    <w:rsid w:val="00247F2F"/>
    <w:rsid w:val="002501C1"/>
    <w:rsid w:val="00250A7C"/>
    <w:rsid w:val="00250BA5"/>
    <w:rsid w:val="00250BF0"/>
    <w:rsid w:val="00250D48"/>
    <w:rsid w:val="00250E91"/>
    <w:rsid w:val="00251073"/>
    <w:rsid w:val="00251509"/>
    <w:rsid w:val="002517A0"/>
    <w:rsid w:val="00251AFB"/>
    <w:rsid w:val="00252A4B"/>
    <w:rsid w:val="00252DE4"/>
    <w:rsid w:val="00253459"/>
    <w:rsid w:val="0025365C"/>
    <w:rsid w:val="00253856"/>
    <w:rsid w:val="00253958"/>
    <w:rsid w:val="002539A7"/>
    <w:rsid w:val="00253A15"/>
    <w:rsid w:val="00253D63"/>
    <w:rsid w:val="00253EBD"/>
    <w:rsid w:val="00254014"/>
    <w:rsid w:val="00254131"/>
    <w:rsid w:val="0025428B"/>
    <w:rsid w:val="002543B6"/>
    <w:rsid w:val="002545B7"/>
    <w:rsid w:val="00254869"/>
    <w:rsid w:val="0025499C"/>
    <w:rsid w:val="00255554"/>
    <w:rsid w:val="0025559C"/>
    <w:rsid w:val="002555C7"/>
    <w:rsid w:val="0025569A"/>
    <w:rsid w:val="00255F79"/>
    <w:rsid w:val="002560DC"/>
    <w:rsid w:val="0025621B"/>
    <w:rsid w:val="002567B9"/>
    <w:rsid w:val="00256A08"/>
    <w:rsid w:val="00256B24"/>
    <w:rsid w:val="002573FD"/>
    <w:rsid w:val="0025745C"/>
    <w:rsid w:val="0025759F"/>
    <w:rsid w:val="00257766"/>
    <w:rsid w:val="00257939"/>
    <w:rsid w:val="00257A4C"/>
    <w:rsid w:val="00257CDC"/>
    <w:rsid w:val="00257E05"/>
    <w:rsid w:val="00257E38"/>
    <w:rsid w:val="00257F5E"/>
    <w:rsid w:val="002600DB"/>
    <w:rsid w:val="0026018F"/>
    <w:rsid w:val="00260883"/>
    <w:rsid w:val="00260947"/>
    <w:rsid w:val="00260A8F"/>
    <w:rsid w:val="00260C8F"/>
    <w:rsid w:val="00261451"/>
    <w:rsid w:val="002617E9"/>
    <w:rsid w:val="00261A52"/>
    <w:rsid w:val="00261B17"/>
    <w:rsid w:val="00261ED9"/>
    <w:rsid w:val="0026200A"/>
    <w:rsid w:val="0026208F"/>
    <w:rsid w:val="002621F3"/>
    <w:rsid w:val="0026238A"/>
    <w:rsid w:val="002623F0"/>
    <w:rsid w:val="002625A5"/>
    <w:rsid w:val="0026261A"/>
    <w:rsid w:val="0026263E"/>
    <w:rsid w:val="00262666"/>
    <w:rsid w:val="002629F6"/>
    <w:rsid w:val="00262BCA"/>
    <w:rsid w:val="00262CCB"/>
    <w:rsid w:val="00263003"/>
    <w:rsid w:val="002630B7"/>
    <w:rsid w:val="00263546"/>
    <w:rsid w:val="0026357C"/>
    <w:rsid w:val="0026366B"/>
    <w:rsid w:val="002636DB"/>
    <w:rsid w:val="002637B0"/>
    <w:rsid w:val="00263890"/>
    <w:rsid w:val="00263A98"/>
    <w:rsid w:val="00263B1C"/>
    <w:rsid w:val="00263B73"/>
    <w:rsid w:val="00263E78"/>
    <w:rsid w:val="00263F5F"/>
    <w:rsid w:val="0026400B"/>
    <w:rsid w:val="002641F7"/>
    <w:rsid w:val="00264244"/>
    <w:rsid w:val="0026468F"/>
    <w:rsid w:val="002646A3"/>
    <w:rsid w:val="002649CE"/>
    <w:rsid w:val="00264DAC"/>
    <w:rsid w:val="00264F84"/>
    <w:rsid w:val="00265495"/>
    <w:rsid w:val="0026556D"/>
    <w:rsid w:val="00265760"/>
    <w:rsid w:val="00265809"/>
    <w:rsid w:val="00265EF2"/>
    <w:rsid w:val="002661AB"/>
    <w:rsid w:val="002662E7"/>
    <w:rsid w:val="002663E3"/>
    <w:rsid w:val="002664C2"/>
    <w:rsid w:val="0026671C"/>
    <w:rsid w:val="002667D6"/>
    <w:rsid w:val="002671F9"/>
    <w:rsid w:val="00267352"/>
    <w:rsid w:val="002674D3"/>
    <w:rsid w:val="00267559"/>
    <w:rsid w:val="0026768E"/>
    <w:rsid w:val="00267DDD"/>
    <w:rsid w:val="00270CD9"/>
    <w:rsid w:val="00270DC3"/>
    <w:rsid w:val="00271209"/>
    <w:rsid w:val="00271230"/>
    <w:rsid w:val="002712DA"/>
    <w:rsid w:val="002719AC"/>
    <w:rsid w:val="00271B02"/>
    <w:rsid w:val="002722B5"/>
    <w:rsid w:val="00272489"/>
    <w:rsid w:val="00272AC0"/>
    <w:rsid w:val="002731AE"/>
    <w:rsid w:val="00273555"/>
    <w:rsid w:val="00273897"/>
    <w:rsid w:val="002738E4"/>
    <w:rsid w:val="00273A2A"/>
    <w:rsid w:val="00274026"/>
    <w:rsid w:val="002741EA"/>
    <w:rsid w:val="00274314"/>
    <w:rsid w:val="002743F2"/>
    <w:rsid w:val="00274406"/>
    <w:rsid w:val="0027477E"/>
    <w:rsid w:val="002748FB"/>
    <w:rsid w:val="00274AA8"/>
    <w:rsid w:val="00274E75"/>
    <w:rsid w:val="002750D7"/>
    <w:rsid w:val="00275223"/>
    <w:rsid w:val="00275789"/>
    <w:rsid w:val="002757ED"/>
    <w:rsid w:val="00275837"/>
    <w:rsid w:val="00276105"/>
    <w:rsid w:val="00276273"/>
    <w:rsid w:val="00276BDE"/>
    <w:rsid w:val="00276C29"/>
    <w:rsid w:val="00276CD8"/>
    <w:rsid w:val="0027732A"/>
    <w:rsid w:val="002774E0"/>
    <w:rsid w:val="002777DC"/>
    <w:rsid w:val="002777E9"/>
    <w:rsid w:val="00280169"/>
    <w:rsid w:val="00280519"/>
    <w:rsid w:val="0028060C"/>
    <w:rsid w:val="00280E5A"/>
    <w:rsid w:val="00281261"/>
    <w:rsid w:val="002813CA"/>
    <w:rsid w:val="00281401"/>
    <w:rsid w:val="002818A0"/>
    <w:rsid w:val="00281D90"/>
    <w:rsid w:val="00281DF9"/>
    <w:rsid w:val="002826A3"/>
    <w:rsid w:val="002826E9"/>
    <w:rsid w:val="00282783"/>
    <w:rsid w:val="002827F5"/>
    <w:rsid w:val="002828D1"/>
    <w:rsid w:val="00282AA8"/>
    <w:rsid w:val="00282B6D"/>
    <w:rsid w:val="0028307C"/>
    <w:rsid w:val="002831D7"/>
    <w:rsid w:val="00283403"/>
    <w:rsid w:val="00283482"/>
    <w:rsid w:val="002836B9"/>
    <w:rsid w:val="002836BB"/>
    <w:rsid w:val="0028388F"/>
    <w:rsid w:val="00283A09"/>
    <w:rsid w:val="00283A86"/>
    <w:rsid w:val="00283DB7"/>
    <w:rsid w:val="00283E06"/>
    <w:rsid w:val="00283F99"/>
    <w:rsid w:val="00284231"/>
    <w:rsid w:val="00284763"/>
    <w:rsid w:val="002849ED"/>
    <w:rsid w:val="00285030"/>
    <w:rsid w:val="00285102"/>
    <w:rsid w:val="00285296"/>
    <w:rsid w:val="0028532F"/>
    <w:rsid w:val="00285780"/>
    <w:rsid w:val="00285A2F"/>
    <w:rsid w:val="00285C89"/>
    <w:rsid w:val="002860AF"/>
    <w:rsid w:val="00286527"/>
    <w:rsid w:val="0028696F"/>
    <w:rsid w:val="002869C4"/>
    <w:rsid w:val="00286D5A"/>
    <w:rsid w:val="00286FAD"/>
    <w:rsid w:val="002870DF"/>
    <w:rsid w:val="00287181"/>
    <w:rsid w:val="002873D0"/>
    <w:rsid w:val="002875E5"/>
    <w:rsid w:val="00287CD9"/>
    <w:rsid w:val="00287D95"/>
    <w:rsid w:val="00287DD9"/>
    <w:rsid w:val="00287DE5"/>
    <w:rsid w:val="00290072"/>
    <w:rsid w:val="00290109"/>
    <w:rsid w:val="00290178"/>
    <w:rsid w:val="0029052A"/>
    <w:rsid w:val="00291086"/>
    <w:rsid w:val="002918EE"/>
    <w:rsid w:val="00291E88"/>
    <w:rsid w:val="002924F9"/>
    <w:rsid w:val="0029273D"/>
    <w:rsid w:val="00292BC4"/>
    <w:rsid w:val="00292D5A"/>
    <w:rsid w:val="002936D7"/>
    <w:rsid w:val="00293984"/>
    <w:rsid w:val="00293BA9"/>
    <w:rsid w:val="002940D0"/>
    <w:rsid w:val="002941FB"/>
    <w:rsid w:val="0029424B"/>
    <w:rsid w:val="002949AC"/>
    <w:rsid w:val="002949D7"/>
    <w:rsid w:val="00295079"/>
    <w:rsid w:val="00295296"/>
    <w:rsid w:val="00295594"/>
    <w:rsid w:val="00295756"/>
    <w:rsid w:val="002967B8"/>
    <w:rsid w:val="00296853"/>
    <w:rsid w:val="00296A32"/>
    <w:rsid w:val="00296A98"/>
    <w:rsid w:val="00296B33"/>
    <w:rsid w:val="00296D5B"/>
    <w:rsid w:val="00296F71"/>
    <w:rsid w:val="00297183"/>
    <w:rsid w:val="00297547"/>
    <w:rsid w:val="002975DA"/>
    <w:rsid w:val="00297884"/>
    <w:rsid w:val="002978C0"/>
    <w:rsid w:val="002A00C1"/>
    <w:rsid w:val="002A02F7"/>
    <w:rsid w:val="002A0749"/>
    <w:rsid w:val="002A0773"/>
    <w:rsid w:val="002A0A91"/>
    <w:rsid w:val="002A0F02"/>
    <w:rsid w:val="002A107B"/>
    <w:rsid w:val="002A1212"/>
    <w:rsid w:val="002A122C"/>
    <w:rsid w:val="002A12D5"/>
    <w:rsid w:val="002A1C71"/>
    <w:rsid w:val="002A1CC2"/>
    <w:rsid w:val="002A1E79"/>
    <w:rsid w:val="002A1F06"/>
    <w:rsid w:val="002A1F47"/>
    <w:rsid w:val="002A2689"/>
    <w:rsid w:val="002A2BB7"/>
    <w:rsid w:val="002A2C85"/>
    <w:rsid w:val="002A35A9"/>
    <w:rsid w:val="002A35C9"/>
    <w:rsid w:val="002A3776"/>
    <w:rsid w:val="002A38E9"/>
    <w:rsid w:val="002A3CA9"/>
    <w:rsid w:val="002A3FDC"/>
    <w:rsid w:val="002A4033"/>
    <w:rsid w:val="002A48FC"/>
    <w:rsid w:val="002A4D52"/>
    <w:rsid w:val="002A4FC2"/>
    <w:rsid w:val="002A50D3"/>
    <w:rsid w:val="002A510F"/>
    <w:rsid w:val="002A5700"/>
    <w:rsid w:val="002A5DAA"/>
    <w:rsid w:val="002A5DC1"/>
    <w:rsid w:val="002A5F5C"/>
    <w:rsid w:val="002A66CB"/>
    <w:rsid w:val="002A67C4"/>
    <w:rsid w:val="002A68B2"/>
    <w:rsid w:val="002A6BD7"/>
    <w:rsid w:val="002A6F6B"/>
    <w:rsid w:val="002A6FBB"/>
    <w:rsid w:val="002A7252"/>
    <w:rsid w:val="002A7363"/>
    <w:rsid w:val="002A7554"/>
    <w:rsid w:val="002A7678"/>
    <w:rsid w:val="002A771A"/>
    <w:rsid w:val="002A785B"/>
    <w:rsid w:val="002A78E5"/>
    <w:rsid w:val="002A7901"/>
    <w:rsid w:val="002A7D96"/>
    <w:rsid w:val="002A7DA2"/>
    <w:rsid w:val="002A7ECF"/>
    <w:rsid w:val="002A7FA1"/>
    <w:rsid w:val="002B01E7"/>
    <w:rsid w:val="002B01F2"/>
    <w:rsid w:val="002B027A"/>
    <w:rsid w:val="002B041E"/>
    <w:rsid w:val="002B0861"/>
    <w:rsid w:val="002B094B"/>
    <w:rsid w:val="002B0BF1"/>
    <w:rsid w:val="002B0F7B"/>
    <w:rsid w:val="002B12BC"/>
    <w:rsid w:val="002B14B6"/>
    <w:rsid w:val="002B1837"/>
    <w:rsid w:val="002B199C"/>
    <w:rsid w:val="002B2118"/>
    <w:rsid w:val="002B2618"/>
    <w:rsid w:val="002B2867"/>
    <w:rsid w:val="002B2886"/>
    <w:rsid w:val="002B2DED"/>
    <w:rsid w:val="002B2F7E"/>
    <w:rsid w:val="002B321B"/>
    <w:rsid w:val="002B3246"/>
    <w:rsid w:val="002B3449"/>
    <w:rsid w:val="002B3670"/>
    <w:rsid w:val="002B3CDD"/>
    <w:rsid w:val="002B3FB2"/>
    <w:rsid w:val="002B40AD"/>
    <w:rsid w:val="002B428C"/>
    <w:rsid w:val="002B49C9"/>
    <w:rsid w:val="002B5087"/>
    <w:rsid w:val="002B519D"/>
    <w:rsid w:val="002B522E"/>
    <w:rsid w:val="002B54C0"/>
    <w:rsid w:val="002B55E6"/>
    <w:rsid w:val="002B5772"/>
    <w:rsid w:val="002B592C"/>
    <w:rsid w:val="002B59AF"/>
    <w:rsid w:val="002B5C96"/>
    <w:rsid w:val="002B5E32"/>
    <w:rsid w:val="002B5EC8"/>
    <w:rsid w:val="002B602A"/>
    <w:rsid w:val="002B67DA"/>
    <w:rsid w:val="002B6A1A"/>
    <w:rsid w:val="002B6C2C"/>
    <w:rsid w:val="002B6F23"/>
    <w:rsid w:val="002B73E1"/>
    <w:rsid w:val="002B7580"/>
    <w:rsid w:val="002B75C1"/>
    <w:rsid w:val="002B7785"/>
    <w:rsid w:val="002B784F"/>
    <w:rsid w:val="002B7A05"/>
    <w:rsid w:val="002B7AFD"/>
    <w:rsid w:val="002B7B08"/>
    <w:rsid w:val="002C006E"/>
    <w:rsid w:val="002C00E5"/>
    <w:rsid w:val="002C0645"/>
    <w:rsid w:val="002C0690"/>
    <w:rsid w:val="002C0959"/>
    <w:rsid w:val="002C1258"/>
    <w:rsid w:val="002C1553"/>
    <w:rsid w:val="002C19D5"/>
    <w:rsid w:val="002C1B7F"/>
    <w:rsid w:val="002C1EA0"/>
    <w:rsid w:val="002C206B"/>
    <w:rsid w:val="002C212A"/>
    <w:rsid w:val="002C2263"/>
    <w:rsid w:val="002C2646"/>
    <w:rsid w:val="002C269C"/>
    <w:rsid w:val="002C28ED"/>
    <w:rsid w:val="002C2B74"/>
    <w:rsid w:val="002C2CA5"/>
    <w:rsid w:val="002C3082"/>
    <w:rsid w:val="002C32FD"/>
    <w:rsid w:val="002C3735"/>
    <w:rsid w:val="002C38F1"/>
    <w:rsid w:val="002C3C5B"/>
    <w:rsid w:val="002C4239"/>
    <w:rsid w:val="002C44D8"/>
    <w:rsid w:val="002C4D6B"/>
    <w:rsid w:val="002C5147"/>
    <w:rsid w:val="002C5D53"/>
    <w:rsid w:val="002C5D78"/>
    <w:rsid w:val="002C622C"/>
    <w:rsid w:val="002C64AE"/>
    <w:rsid w:val="002C6EAC"/>
    <w:rsid w:val="002C6F47"/>
    <w:rsid w:val="002C6FBF"/>
    <w:rsid w:val="002C6FDC"/>
    <w:rsid w:val="002C703C"/>
    <w:rsid w:val="002C7088"/>
    <w:rsid w:val="002C71AE"/>
    <w:rsid w:val="002C74ED"/>
    <w:rsid w:val="002C791E"/>
    <w:rsid w:val="002D0850"/>
    <w:rsid w:val="002D0C23"/>
    <w:rsid w:val="002D1249"/>
    <w:rsid w:val="002D1A98"/>
    <w:rsid w:val="002D1FDD"/>
    <w:rsid w:val="002D26A9"/>
    <w:rsid w:val="002D27E4"/>
    <w:rsid w:val="002D2C84"/>
    <w:rsid w:val="002D2D76"/>
    <w:rsid w:val="002D2EF4"/>
    <w:rsid w:val="002D3449"/>
    <w:rsid w:val="002D39ED"/>
    <w:rsid w:val="002D3D15"/>
    <w:rsid w:val="002D4337"/>
    <w:rsid w:val="002D43FC"/>
    <w:rsid w:val="002D491F"/>
    <w:rsid w:val="002D4AB7"/>
    <w:rsid w:val="002D4B29"/>
    <w:rsid w:val="002D4FA6"/>
    <w:rsid w:val="002D5100"/>
    <w:rsid w:val="002D5531"/>
    <w:rsid w:val="002D561B"/>
    <w:rsid w:val="002D56F8"/>
    <w:rsid w:val="002D588E"/>
    <w:rsid w:val="002D5BB9"/>
    <w:rsid w:val="002D618D"/>
    <w:rsid w:val="002D62F4"/>
    <w:rsid w:val="002D63C7"/>
    <w:rsid w:val="002D646F"/>
    <w:rsid w:val="002D6746"/>
    <w:rsid w:val="002D6BC5"/>
    <w:rsid w:val="002D70F3"/>
    <w:rsid w:val="002D7104"/>
    <w:rsid w:val="002D72F4"/>
    <w:rsid w:val="002D74DB"/>
    <w:rsid w:val="002D7936"/>
    <w:rsid w:val="002D7AB8"/>
    <w:rsid w:val="002D7C11"/>
    <w:rsid w:val="002D7EC4"/>
    <w:rsid w:val="002E08E2"/>
    <w:rsid w:val="002E0DE5"/>
    <w:rsid w:val="002E0E4C"/>
    <w:rsid w:val="002E0EB6"/>
    <w:rsid w:val="002E11CC"/>
    <w:rsid w:val="002E1277"/>
    <w:rsid w:val="002E16CD"/>
    <w:rsid w:val="002E1EB7"/>
    <w:rsid w:val="002E202C"/>
    <w:rsid w:val="002E228D"/>
    <w:rsid w:val="002E2307"/>
    <w:rsid w:val="002E2E72"/>
    <w:rsid w:val="002E2EB4"/>
    <w:rsid w:val="002E3683"/>
    <w:rsid w:val="002E3801"/>
    <w:rsid w:val="002E3C46"/>
    <w:rsid w:val="002E41CE"/>
    <w:rsid w:val="002E41E0"/>
    <w:rsid w:val="002E486E"/>
    <w:rsid w:val="002E4914"/>
    <w:rsid w:val="002E4D38"/>
    <w:rsid w:val="002E4E56"/>
    <w:rsid w:val="002E4ED6"/>
    <w:rsid w:val="002E501A"/>
    <w:rsid w:val="002E59D6"/>
    <w:rsid w:val="002E6366"/>
    <w:rsid w:val="002E644D"/>
    <w:rsid w:val="002E6598"/>
    <w:rsid w:val="002E674C"/>
    <w:rsid w:val="002E6813"/>
    <w:rsid w:val="002E684A"/>
    <w:rsid w:val="002E6DBF"/>
    <w:rsid w:val="002E7070"/>
    <w:rsid w:val="002E70A7"/>
    <w:rsid w:val="002E71B0"/>
    <w:rsid w:val="002E71E3"/>
    <w:rsid w:val="002E7AFD"/>
    <w:rsid w:val="002E7D99"/>
    <w:rsid w:val="002E7E41"/>
    <w:rsid w:val="002E7EB6"/>
    <w:rsid w:val="002F02DE"/>
    <w:rsid w:val="002F0A46"/>
    <w:rsid w:val="002F0A4E"/>
    <w:rsid w:val="002F0D6C"/>
    <w:rsid w:val="002F14B1"/>
    <w:rsid w:val="002F18E9"/>
    <w:rsid w:val="002F19FD"/>
    <w:rsid w:val="002F1A51"/>
    <w:rsid w:val="002F22DC"/>
    <w:rsid w:val="002F242E"/>
    <w:rsid w:val="002F242F"/>
    <w:rsid w:val="002F245B"/>
    <w:rsid w:val="002F2BF8"/>
    <w:rsid w:val="002F31E1"/>
    <w:rsid w:val="002F3F10"/>
    <w:rsid w:val="002F440E"/>
    <w:rsid w:val="002F5576"/>
    <w:rsid w:val="002F5B91"/>
    <w:rsid w:val="002F6575"/>
    <w:rsid w:val="002F6845"/>
    <w:rsid w:val="002F6B89"/>
    <w:rsid w:val="002F6B8A"/>
    <w:rsid w:val="002F6D61"/>
    <w:rsid w:val="002F6E75"/>
    <w:rsid w:val="002F747B"/>
    <w:rsid w:val="002F79AD"/>
    <w:rsid w:val="002F7E58"/>
    <w:rsid w:val="002F7E9C"/>
    <w:rsid w:val="002F7F94"/>
    <w:rsid w:val="0030003A"/>
    <w:rsid w:val="003000AE"/>
    <w:rsid w:val="00300718"/>
    <w:rsid w:val="003008DE"/>
    <w:rsid w:val="00300961"/>
    <w:rsid w:val="00301298"/>
    <w:rsid w:val="00301642"/>
    <w:rsid w:val="00301A73"/>
    <w:rsid w:val="00301E0F"/>
    <w:rsid w:val="003022D6"/>
    <w:rsid w:val="00302384"/>
    <w:rsid w:val="0030245C"/>
    <w:rsid w:val="00302996"/>
    <w:rsid w:val="00302EB7"/>
    <w:rsid w:val="00302F8A"/>
    <w:rsid w:val="00303010"/>
    <w:rsid w:val="003037C6"/>
    <w:rsid w:val="003037F6"/>
    <w:rsid w:val="00303A44"/>
    <w:rsid w:val="00303AE4"/>
    <w:rsid w:val="00303B4A"/>
    <w:rsid w:val="00303BD0"/>
    <w:rsid w:val="00303BF7"/>
    <w:rsid w:val="00303C0E"/>
    <w:rsid w:val="00303CD6"/>
    <w:rsid w:val="00303D31"/>
    <w:rsid w:val="00303F8D"/>
    <w:rsid w:val="00304501"/>
    <w:rsid w:val="0030453B"/>
    <w:rsid w:val="003045AE"/>
    <w:rsid w:val="00304768"/>
    <w:rsid w:val="003047F9"/>
    <w:rsid w:val="003048C3"/>
    <w:rsid w:val="00304911"/>
    <w:rsid w:val="00304A67"/>
    <w:rsid w:val="00304CDB"/>
    <w:rsid w:val="00304F03"/>
    <w:rsid w:val="003054B5"/>
    <w:rsid w:val="00305B97"/>
    <w:rsid w:val="0030631A"/>
    <w:rsid w:val="003068EC"/>
    <w:rsid w:val="00306931"/>
    <w:rsid w:val="00306CD6"/>
    <w:rsid w:val="00306F30"/>
    <w:rsid w:val="0030709E"/>
    <w:rsid w:val="003070E1"/>
    <w:rsid w:val="00307655"/>
    <w:rsid w:val="0030767E"/>
    <w:rsid w:val="00307A2F"/>
    <w:rsid w:val="00307FB1"/>
    <w:rsid w:val="0031022B"/>
    <w:rsid w:val="003102E1"/>
    <w:rsid w:val="00310621"/>
    <w:rsid w:val="0031073F"/>
    <w:rsid w:val="00310DEB"/>
    <w:rsid w:val="00311396"/>
    <w:rsid w:val="003115AD"/>
    <w:rsid w:val="00311678"/>
    <w:rsid w:val="00311959"/>
    <w:rsid w:val="00311A68"/>
    <w:rsid w:val="00311B1C"/>
    <w:rsid w:val="00311CB0"/>
    <w:rsid w:val="00311EEA"/>
    <w:rsid w:val="00312489"/>
    <w:rsid w:val="0031271B"/>
    <w:rsid w:val="0031293D"/>
    <w:rsid w:val="00312C58"/>
    <w:rsid w:val="00312E21"/>
    <w:rsid w:val="00312F95"/>
    <w:rsid w:val="003130AB"/>
    <w:rsid w:val="003133DC"/>
    <w:rsid w:val="0031352B"/>
    <w:rsid w:val="00313D88"/>
    <w:rsid w:val="00314567"/>
    <w:rsid w:val="00314F84"/>
    <w:rsid w:val="00315113"/>
    <w:rsid w:val="00315243"/>
    <w:rsid w:val="003155F7"/>
    <w:rsid w:val="00315C4A"/>
    <w:rsid w:val="003160AE"/>
    <w:rsid w:val="003160FE"/>
    <w:rsid w:val="003163B3"/>
    <w:rsid w:val="00316476"/>
    <w:rsid w:val="003165C0"/>
    <w:rsid w:val="003166F4"/>
    <w:rsid w:val="00316B72"/>
    <w:rsid w:val="00316DB1"/>
    <w:rsid w:val="00317276"/>
    <w:rsid w:val="0031767D"/>
    <w:rsid w:val="00317793"/>
    <w:rsid w:val="003177A5"/>
    <w:rsid w:val="00317BB6"/>
    <w:rsid w:val="00317C86"/>
    <w:rsid w:val="00317CE2"/>
    <w:rsid w:val="003200DC"/>
    <w:rsid w:val="00320144"/>
    <w:rsid w:val="00320582"/>
    <w:rsid w:val="0032062A"/>
    <w:rsid w:val="0032070B"/>
    <w:rsid w:val="003209C1"/>
    <w:rsid w:val="00320A62"/>
    <w:rsid w:val="003212D5"/>
    <w:rsid w:val="00321309"/>
    <w:rsid w:val="00321410"/>
    <w:rsid w:val="0032141C"/>
    <w:rsid w:val="003214B6"/>
    <w:rsid w:val="00321725"/>
    <w:rsid w:val="00321751"/>
    <w:rsid w:val="00321B1F"/>
    <w:rsid w:val="00321D67"/>
    <w:rsid w:val="00322176"/>
    <w:rsid w:val="003221E5"/>
    <w:rsid w:val="003222E7"/>
    <w:rsid w:val="00322E0C"/>
    <w:rsid w:val="00322E7B"/>
    <w:rsid w:val="00323015"/>
    <w:rsid w:val="0032336C"/>
    <w:rsid w:val="00323380"/>
    <w:rsid w:val="00323E9D"/>
    <w:rsid w:val="00323F38"/>
    <w:rsid w:val="00324305"/>
    <w:rsid w:val="0032464B"/>
    <w:rsid w:val="00324FED"/>
    <w:rsid w:val="003251B1"/>
    <w:rsid w:val="003252B1"/>
    <w:rsid w:val="003256BE"/>
    <w:rsid w:val="003257FB"/>
    <w:rsid w:val="00325AFE"/>
    <w:rsid w:val="00325EDA"/>
    <w:rsid w:val="003260A8"/>
    <w:rsid w:val="00326250"/>
    <w:rsid w:val="003264ED"/>
    <w:rsid w:val="0032666E"/>
    <w:rsid w:val="0032712F"/>
    <w:rsid w:val="00327B0C"/>
    <w:rsid w:val="00327ED7"/>
    <w:rsid w:val="00330134"/>
    <w:rsid w:val="003304BA"/>
    <w:rsid w:val="0033063A"/>
    <w:rsid w:val="0033068A"/>
    <w:rsid w:val="003309F8"/>
    <w:rsid w:val="00331094"/>
    <w:rsid w:val="00331165"/>
    <w:rsid w:val="0033128E"/>
    <w:rsid w:val="003312A3"/>
    <w:rsid w:val="003316AA"/>
    <w:rsid w:val="003317BE"/>
    <w:rsid w:val="00331AB2"/>
    <w:rsid w:val="00331CDB"/>
    <w:rsid w:val="00331D5F"/>
    <w:rsid w:val="00331FB1"/>
    <w:rsid w:val="00331FF9"/>
    <w:rsid w:val="00332390"/>
    <w:rsid w:val="00332982"/>
    <w:rsid w:val="003329C0"/>
    <w:rsid w:val="003329F4"/>
    <w:rsid w:val="00332B10"/>
    <w:rsid w:val="00332C6A"/>
    <w:rsid w:val="00332D99"/>
    <w:rsid w:val="00333143"/>
    <w:rsid w:val="003332A9"/>
    <w:rsid w:val="0033367E"/>
    <w:rsid w:val="003337EF"/>
    <w:rsid w:val="00333836"/>
    <w:rsid w:val="00333929"/>
    <w:rsid w:val="00333D0B"/>
    <w:rsid w:val="00333D5D"/>
    <w:rsid w:val="00333ED5"/>
    <w:rsid w:val="00334356"/>
    <w:rsid w:val="003347D1"/>
    <w:rsid w:val="00334A8A"/>
    <w:rsid w:val="00334D12"/>
    <w:rsid w:val="003357FA"/>
    <w:rsid w:val="003358B2"/>
    <w:rsid w:val="00335C51"/>
    <w:rsid w:val="00335E87"/>
    <w:rsid w:val="00336318"/>
    <w:rsid w:val="00336DA0"/>
    <w:rsid w:val="0033796B"/>
    <w:rsid w:val="00337F36"/>
    <w:rsid w:val="0034008A"/>
    <w:rsid w:val="003404B2"/>
    <w:rsid w:val="00340636"/>
    <w:rsid w:val="0034073E"/>
    <w:rsid w:val="0034084E"/>
    <w:rsid w:val="00340CA6"/>
    <w:rsid w:val="00340FCB"/>
    <w:rsid w:val="003411C9"/>
    <w:rsid w:val="0034129F"/>
    <w:rsid w:val="0034140A"/>
    <w:rsid w:val="00341496"/>
    <w:rsid w:val="0034154D"/>
    <w:rsid w:val="0034191A"/>
    <w:rsid w:val="00341A31"/>
    <w:rsid w:val="00341B65"/>
    <w:rsid w:val="00341E24"/>
    <w:rsid w:val="0034221B"/>
    <w:rsid w:val="003422F1"/>
    <w:rsid w:val="0034289D"/>
    <w:rsid w:val="00342A2E"/>
    <w:rsid w:val="00342CB2"/>
    <w:rsid w:val="00342D2B"/>
    <w:rsid w:val="003436F3"/>
    <w:rsid w:val="00343806"/>
    <w:rsid w:val="00343F70"/>
    <w:rsid w:val="00344898"/>
    <w:rsid w:val="00344A22"/>
    <w:rsid w:val="00344BD6"/>
    <w:rsid w:val="00345353"/>
    <w:rsid w:val="00345BB3"/>
    <w:rsid w:val="00345E39"/>
    <w:rsid w:val="0034617B"/>
    <w:rsid w:val="0034641C"/>
    <w:rsid w:val="00346769"/>
    <w:rsid w:val="0034687D"/>
    <w:rsid w:val="00346E97"/>
    <w:rsid w:val="00346F5E"/>
    <w:rsid w:val="003471AC"/>
    <w:rsid w:val="003471ED"/>
    <w:rsid w:val="003472C9"/>
    <w:rsid w:val="0034749A"/>
    <w:rsid w:val="003476E2"/>
    <w:rsid w:val="00347CC1"/>
    <w:rsid w:val="00347F16"/>
    <w:rsid w:val="003503B5"/>
    <w:rsid w:val="003508F4"/>
    <w:rsid w:val="00350B6A"/>
    <w:rsid w:val="00350BF0"/>
    <w:rsid w:val="00350FCE"/>
    <w:rsid w:val="003515FC"/>
    <w:rsid w:val="0035178E"/>
    <w:rsid w:val="00351864"/>
    <w:rsid w:val="00351D8D"/>
    <w:rsid w:val="00351DFE"/>
    <w:rsid w:val="00352F31"/>
    <w:rsid w:val="00352F9F"/>
    <w:rsid w:val="003530CC"/>
    <w:rsid w:val="00353542"/>
    <w:rsid w:val="00353C19"/>
    <w:rsid w:val="00354196"/>
    <w:rsid w:val="00354279"/>
    <w:rsid w:val="0035468F"/>
    <w:rsid w:val="003546D8"/>
    <w:rsid w:val="003548AE"/>
    <w:rsid w:val="00354B3C"/>
    <w:rsid w:val="00355164"/>
    <w:rsid w:val="003551CD"/>
    <w:rsid w:val="00355226"/>
    <w:rsid w:val="00355262"/>
    <w:rsid w:val="0035599E"/>
    <w:rsid w:val="00355D00"/>
    <w:rsid w:val="00355E8D"/>
    <w:rsid w:val="0035602E"/>
    <w:rsid w:val="003561D6"/>
    <w:rsid w:val="003561E5"/>
    <w:rsid w:val="00356395"/>
    <w:rsid w:val="00356426"/>
    <w:rsid w:val="0035674A"/>
    <w:rsid w:val="00356C6C"/>
    <w:rsid w:val="00356CA1"/>
    <w:rsid w:val="00356DC2"/>
    <w:rsid w:val="00357022"/>
    <w:rsid w:val="00357438"/>
    <w:rsid w:val="00357964"/>
    <w:rsid w:val="0035798C"/>
    <w:rsid w:val="003579E2"/>
    <w:rsid w:val="00357B18"/>
    <w:rsid w:val="00357DC7"/>
    <w:rsid w:val="00357DD1"/>
    <w:rsid w:val="00360006"/>
    <w:rsid w:val="003601F9"/>
    <w:rsid w:val="00360324"/>
    <w:rsid w:val="00360411"/>
    <w:rsid w:val="00360627"/>
    <w:rsid w:val="003606BE"/>
    <w:rsid w:val="00360985"/>
    <w:rsid w:val="00360B25"/>
    <w:rsid w:val="00360BE0"/>
    <w:rsid w:val="00360EFE"/>
    <w:rsid w:val="00361003"/>
    <w:rsid w:val="0036112F"/>
    <w:rsid w:val="0036115E"/>
    <w:rsid w:val="003619B0"/>
    <w:rsid w:val="00361A49"/>
    <w:rsid w:val="00361A81"/>
    <w:rsid w:val="00361A9C"/>
    <w:rsid w:val="00361B99"/>
    <w:rsid w:val="00361CDF"/>
    <w:rsid w:val="00362034"/>
    <w:rsid w:val="0036209D"/>
    <w:rsid w:val="003622D0"/>
    <w:rsid w:val="00362410"/>
    <w:rsid w:val="003626C1"/>
    <w:rsid w:val="00362971"/>
    <w:rsid w:val="00362AC4"/>
    <w:rsid w:val="00362CA9"/>
    <w:rsid w:val="0036306F"/>
    <w:rsid w:val="00363198"/>
    <w:rsid w:val="00363278"/>
    <w:rsid w:val="00363443"/>
    <w:rsid w:val="0036347C"/>
    <w:rsid w:val="003637C2"/>
    <w:rsid w:val="003638C8"/>
    <w:rsid w:val="0036393A"/>
    <w:rsid w:val="00363A3A"/>
    <w:rsid w:val="00363D15"/>
    <w:rsid w:val="00363DBD"/>
    <w:rsid w:val="0036402A"/>
    <w:rsid w:val="00364536"/>
    <w:rsid w:val="00364655"/>
    <w:rsid w:val="00364A9E"/>
    <w:rsid w:val="003652C4"/>
    <w:rsid w:val="00365487"/>
    <w:rsid w:val="0036563E"/>
    <w:rsid w:val="00365A56"/>
    <w:rsid w:val="00365D97"/>
    <w:rsid w:val="0036618A"/>
    <w:rsid w:val="003662A1"/>
    <w:rsid w:val="003662F0"/>
    <w:rsid w:val="003663CE"/>
    <w:rsid w:val="00366565"/>
    <w:rsid w:val="003667FC"/>
    <w:rsid w:val="00366A42"/>
    <w:rsid w:val="00366FDC"/>
    <w:rsid w:val="0036735A"/>
    <w:rsid w:val="0036744F"/>
    <w:rsid w:val="00367469"/>
    <w:rsid w:val="0036798D"/>
    <w:rsid w:val="003679E2"/>
    <w:rsid w:val="00367A57"/>
    <w:rsid w:val="0037007E"/>
    <w:rsid w:val="00370BC6"/>
    <w:rsid w:val="00370EA7"/>
    <w:rsid w:val="00370F5E"/>
    <w:rsid w:val="0037117F"/>
    <w:rsid w:val="003714A2"/>
    <w:rsid w:val="003715E7"/>
    <w:rsid w:val="00371DA3"/>
    <w:rsid w:val="00372192"/>
    <w:rsid w:val="003726E7"/>
    <w:rsid w:val="0037271B"/>
    <w:rsid w:val="00372815"/>
    <w:rsid w:val="00372CAA"/>
    <w:rsid w:val="00372CAB"/>
    <w:rsid w:val="003730D7"/>
    <w:rsid w:val="00373498"/>
    <w:rsid w:val="00373F43"/>
    <w:rsid w:val="003745ED"/>
    <w:rsid w:val="00374805"/>
    <w:rsid w:val="003749B2"/>
    <w:rsid w:val="00374A48"/>
    <w:rsid w:val="00374C1E"/>
    <w:rsid w:val="003750AC"/>
    <w:rsid w:val="00375725"/>
    <w:rsid w:val="00375DD3"/>
    <w:rsid w:val="00375F12"/>
    <w:rsid w:val="003760A3"/>
    <w:rsid w:val="003761A0"/>
    <w:rsid w:val="00376514"/>
    <w:rsid w:val="00376596"/>
    <w:rsid w:val="003768DA"/>
    <w:rsid w:val="00376EC1"/>
    <w:rsid w:val="00376F5A"/>
    <w:rsid w:val="00377052"/>
    <w:rsid w:val="00377161"/>
    <w:rsid w:val="003775F0"/>
    <w:rsid w:val="0037778F"/>
    <w:rsid w:val="00377A70"/>
    <w:rsid w:val="00377AD8"/>
    <w:rsid w:val="00377E52"/>
    <w:rsid w:val="00380129"/>
    <w:rsid w:val="00380516"/>
    <w:rsid w:val="00380648"/>
    <w:rsid w:val="003808A3"/>
    <w:rsid w:val="003808E6"/>
    <w:rsid w:val="0038129B"/>
    <w:rsid w:val="00381550"/>
    <w:rsid w:val="003815A8"/>
    <w:rsid w:val="0038195C"/>
    <w:rsid w:val="00381E63"/>
    <w:rsid w:val="00381F86"/>
    <w:rsid w:val="0038214F"/>
    <w:rsid w:val="003821F4"/>
    <w:rsid w:val="003824F4"/>
    <w:rsid w:val="0038250B"/>
    <w:rsid w:val="003825DB"/>
    <w:rsid w:val="00382883"/>
    <w:rsid w:val="0038290E"/>
    <w:rsid w:val="00382ED4"/>
    <w:rsid w:val="00382EED"/>
    <w:rsid w:val="0038305D"/>
    <w:rsid w:val="003831F8"/>
    <w:rsid w:val="00383221"/>
    <w:rsid w:val="00383A1A"/>
    <w:rsid w:val="00383DBF"/>
    <w:rsid w:val="00383DEA"/>
    <w:rsid w:val="00383EC7"/>
    <w:rsid w:val="0038401C"/>
    <w:rsid w:val="00384274"/>
    <w:rsid w:val="00384615"/>
    <w:rsid w:val="00384620"/>
    <w:rsid w:val="00384972"/>
    <w:rsid w:val="003849DF"/>
    <w:rsid w:val="00384A34"/>
    <w:rsid w:val="00384EB3"/>
    <w:rsid w:val="003853B7"/>
    <w:rsid w:val="00385499"/>
    <w:rsid w:val="0038550A"/>
    <w:rsid w:val="0038551D"/>
    <w:rsid w:val="00385537"/>
    <w:rsid w:val="00385547"/>
    <w:rsid w:val="0038562B"/>
    <w:rsid w:val="0038580B"/>
    <w:rsid w:val="00385ACF"/>
    <w:rsid w:val="00386038"/>
    <w:rsid w:val="003864CF"/>
    <w:rsid w:val="00386683"/>
    <w:rsid w:val="00386939"/>
    <w:rsid w:val="00386BAC"/>
    <w:rsid w:val="00386C72"/>
    <w:rsid w:val="00386D6D"/>
    <w:rsid w:val="00386DFA"/>
    <w:rsid w:val="00386FBF"/>
    <w:rsid w:val="0038761F"/>
    <w:rsid w:val="003879C2"/>
    <w:rsid w:val="00387B78"/>
    <w:rsid w:val="0039004D"/>
    <w:rsid w:val="0039008A"/>
    <w:rsid w:val="00390097"/>
    <w:rsid w:val="00390189"/>
    <w:rsid w:val="00390489"/>
    <w:rsid w:val="003905E5"/>
    <w:rsid w:val="00390B47"/>
    <w:rsid w:val="003911F7"/>
    <w:rsid w:val="003913BD"/>
    <w:rsid w:val="0039172C"/>
    <w:rsid w:val="00391915"/>
    <w:rsid w:val="00391A5C"/>
    <w:rsid w:val="0039217D"/>
    <w:rsid w:val="00392434"/>
    <w:rsid w:val="0039256D"/>
    <w:rsid w:val="003927EF"/>
    <w:rsid w:val="003928D7"/>
    <w:rsid w:val="00392ADE"/>
    <w:rsid w:val="00392D60"/>
    <w:rsid w:val="00392FC0"/>
    <w:rsid w:val="00392FD3"/>
    <w:rsid w:val="00393292"/>
    <w:rsid w:val="0039349C"/>
    <w:rsid w:val="003935AE"/>
    <w:rsid w:val="003939D3"/>
    <w:rsid w:val="00393A5D"/>
    <w:rsid w:val="00393C4C"/>
    <w:rsid w:val="00393E06"/>
    <w:rsid w:val="00394002"/>
    <w:rsid w:val="00394051"/>
    <w:rsid w:val="003940C1"/>
    <w:rsid w:val="0039427E"/>
    <w:rsid w:val="00394D69"/>
    <w:rsid w:val="00394E10"/>
    <w:rsid w:val="00394F6E"/>
    <w:rsid w:val="00395036"/>
    <w:rsid w:val="00395387"/>
    <w:rsid w:val="0039618D"/>
    <w:rsid w:val="003967F0"/>
    <w:rsid w:val="003969C8"/>
    <w:rsid w:val="00396E0D"/>
    <w:rsid w:val="003970BE"/>
    <w:rsid w:val="00397388"/>
    <w:rsid w:val="0039766C"/>
    <w:rsid w:val="003976BF"/>
    <w:rsid w:val="00397773"/>
    <w:rsid w:val="00397AC9"/>
    <w:rsid w:val="00397E1F"/>
    <w:rsid w:val="00397E8F"/>
    <w:rsid w:val="003A036B"/>
    <w:rsid w:val="003A0C9E"/>
    <w:rsid w:val="003A127D"/>
    <w:rsid w:val="003A1518"/>
    <w:rsid w:val="003A15C8"/>
    <w:rsid w:val="003A168B"/>
    <w:rsid w:val="003A1C78"/>
    <w:rsid w:val="003A284A"/>
    <w:rsid w:val="003A295A"/>
    <w:rsid w:val="003A299B"/>
    <w:rsid w:val="003A2B18"/>
    <w:rsid w:val="003A30B9"/>
    <w:rsid w:val="003A322A"/>
    <w:rsid w:val="003A3742"/>
    <w:rsid w:val="003A37B0"/>
    <w:rsid w:val="003A3FAE"/>
    <w:rsid w:val="003A3FC9"/>
    <w:rsid w:val="003A4163"/>
    <w:rsid w:val="003A431A"/>
    <w:rsid w:val="003A436E"/>
    <w:rsid w:val="003A45E7"/>
    <w:rsid w:val="003A46F9"/>
    <w:rsid w:val="003A48D1"/>
    <w:rsid w:val="003A4B3D"/>
    <w:rsid w:val="003A4D13"/>
    <w:rsid w:val="003A4D75"/>
    <w:rsid w:val="003A4D99"/>
    <w:rsid w:val="003A4DCC"/>
    <w:rsid w:val="003A53BF"/>
    <w:rsid w:val="003A53FE"/>
    <w:rsid w:val="003A595C"/>
    <w:rsid w:val="003A59D1"/>
    <w:rsid w:val="003A5CB1"/>
    <w:rsid w:val="003A5F4E"/>
    <w:rsid w:val="003A6550"/>
    <w:rsid w:val="003A6869"/>
    <w:rsid w:val="003A6AAA"/>
    <w:rsid w:val="003A6E0E"/>
    <w:rsid w:val="003A6F49"/>
    <w:rsid w:val="003A70D8"/>
    <w:rsid w:val="003A70E7"/>
    <w:rsid w:val="003A7115"/>
    <w:rsid w:val="003A75E4"/>
    <w:rsid w:val="003A7868"/>
    <w:rsid w:val="003A7C78"/>
    <w:rsid w:val="003A7E21"/>
    <w:rsid w:val="003B0843"/>
    <w:rsid w:val="003B0963"/>
    <w:rsid w:val="003B0B8A"/>
    <w:rsid w:val="003B117F"/>
    <w:rsid w:val="003B148D"/>
    <w:rsid w:val="003B19D5"/>
    <w:rsid w:val="003B1CCC"/>
    <w:rsid w:val="003B2140"/>
    <w:rsid w:val="003B24AC"/>
    <w:rsid w:val="003B2703"/>
    <w:rsid w:val="003B2EA4"/>
    <w:rsid w:val="003B2FC4"/>
    <w:rsid w:val="003B31FD"/>
    <w:rsid w:val="003B35DC"/>
    <w:rsid w:val="003B3874"/>
    <w:rsid w:val="003B397B"/>
    <w:rsid w:val="003B3CA6"/>
    <w:rsid w:val="003B3DAC"/>
    <w:rsid w:val="003B42B9"/>
    <w:rsid w:val="003B431B"/>
    <w:rsid w:val="003B4B01"/>
    <w:rsid w:val="003B51C9"/>
    <w:rsid w:val="003B57D4"/>
    <w:rsid w:val="003B5EFE"/>
    <w:rsid w:val="003B6089"/>
    <w:rsid w:val="003B60F4"/>
    <w:rsid w:val="003B62B1"/>
    <w:rsid w:val="003B6AC8"/>
    <w:rsid w:val="003B6F62"/>
    <w:rsid w:val="003B7283"/>
    <w:rsid w:val="003B7EA9"/>
    <w:rsid w:val="003B7EF5"/>
    <w:rsid w:val="003C008C"/>
    <w:rsid w:val="003C06F6"/>
    <w:rsid w:val="003C0895"/>
    <w:rsid w:val="003C0D06"/>
    <w:rsid w:val="003C1337"/>
    <w:rsid w:val="003C1B50"/>
    <w:rsid w:val="003C1B5E"/>
    <w:rsid w:val="003C1DFC"/>
    <w:rsid w:val="003C1E80"/>
    <w:rsid w:val="003C1FC1"/>
    <w:rsid w:val="003C22C3"/>
    <w:rsid w:val="003C23A3"/>
    <w:rsid w:val="003C25C1"/>
    <w:rsid w:val="003C263D"/>
    <w:rsid w:val="003C2990"/>
    <w:rsid w:val="003C3A64"/>
    <w:rsid w:val="003C413C"/>
    <w:rsid w:val="003C4503"/>
    <w:rsid w:val="003C4A15"/>
    <w:rsid w:val="003C4AD4"/>
    <w:rsid w:val="003C4D55"/>
    <w:rsid w:val="003C4D5D"/>
    <w:rsid w:val="003C5433"/>
    <w:rsid w:val="003C5C59"/>
    <w:rsid w:val="003C5C74"/>
    <w:rsid w:val="003C5EA6"/>
    <w:rsid w:val="003C5F56"/>
    <w:rsid w:val="003C61AD"/>
    <w:rsid w:val="003C630B"/>
    <w:rsid w:val="003C6390"/>
    <w:rsid w:val="003C63F7"/>
    <w:rsid w:val="003C65AE"/>
    <w:rsid w:val="003C6609"/>
    <w:rsid w:val="003C6742"/>
    <w:rsid w:val="003C69B3"/>
    <w:rsid w:val="003C7285"/>
    <w:rsid w:val="003C73FD"/>
    <w:rsid w:val="003C76EF"/>
    <w:rsid w:val="003C7941"/>
    <w:rsid w:val="003C7A9A"/>
    <w:rsid w:val="003C7DF3"/>
    <w:rsid w:val="003C7EEE"/>
    <w:rsid w:val="003D0305"/>
    <w:rsid w:val="003D0878"/>
    <w:rsid w:val="003D09DF"/>
    <w:rsid w:val="003D0CBF"/>
    <w:rsid w:val="003D0E25"/>
    <w:rsid w:val="003D1215"/>
    <w:rsid w:val="003D1284"/>
    <w:rsid w:val="003D1732"/>
    <w:rsid w:val="003D1814"/>
    <w:rsid w:val="003D1896"/>
    <w:rsid w:val="003D1AD9"/>
    <w:rsid w:val="003D1D6C"/>
    <w:rsid w:val="003D2246"/>
    <w:rsid w:val="003D283D"/>
    <w:rsid w:val="003D28CF"/>
    <w:rsid w:val="003D2943"/>
    <w:rsid w:val="003D2CDD"/>
    <w:rsid w:val="003D3D5A"/>
    <w:rsid w:val="003D4C83"/>
    <w:rsid w:val="003D4E3C"/>
    <w:rsid w:val="003D4ECF"/>
    <w:rsid w:val="003D549C"/>
    <w:rsid w:val="003D5831"/>
    <w:rsid w:val="003D5862"/>
    <w:rsid w:val="003D5B11"/>
    <w:rsid w:val="003D5BE2"/>
    <w:rsid w:val="003D65A2"/>
    <w:rsid w:val="003D679C"/>
    <w:rsid w:val="003D69DB"/>
    <w:rsid w:val="003D6CEE"/>
    <w:rsid w:val="003D70F2"/>
    <w:rsid w:val="003D71C8"/>
    <w:rsid w:val="003D759B"/>
    <w:rsid w:val="003D771B"/>
    <w:rsid w:val="003D77AF"/>
    <w:rsid w:val="003D7C92"/>
    <w:rsid w:val="003E032F"/>
    <w:rsid w:val="003E039A"/>
    <w:rsid w:val="003E111C"/>
    <w:rsid w:val="003E1144"/>
    <w:rsid w:val="003E13DB"/>
    <w:rsid w:val="003E14AE"/>
    <w:rsid w:val="003E180B"/>
    <w:rsid w:val="003E194E"/>
    <w:rsid w:val="003E1BDC"/>
    <w:rsid w:val="003E1D2A"/>
    <w:rsid w:val="003E219C"/>
    <w:rsid w:val="003E23C6"/>
    <w:rsid w:val="003E26D3"/>
    <w:rsid w:val="003E2721"/>
    <w:rsid w:val="003E27D8"/>
    <w:rsid w:val="003E2CF0"/>
    <w:rsid w:val="003E2D6E"/>
    <w:rsid w:val="003E2FE5"/>
    <w:rsid w:val="003E378E"/>
    <w:rsid w:val="003E3B35"/>
    <w:rsid w:val="003E3D2D"/>
    <w:rsid w:val="003E42D7"/>
    <w:rsid w:val="003E4694"/>
    <w:rsid w:val="003E487A"/>
    <w:rsid w:val="003E48B5"/>
    <w:rsid w:val="003E4F36"/>
    <w:rsid w:val="003E51DE"/>
    <w:rsid w:val="003E5BE6"/>
    <w:rsid w:val="003E5C7D"/>
    <w:rsid w:val="003E5CB9"/>
    <w:rsid w:val="003E5D7C"/>
    <w:rsid w:val="003E617C"/>
    <w:rsid w:val="003E61BA"/>
    <w:rsid w:val="003E679F"/>
    <w:rsid w:val="003E688B"/>
    <w:rsid w:val="003E6F50"/>
    <w:rsid w:val="003E74EE"/>
    <w:rsid w:val="003E78D7"/>
    <w:rsid w:val="003E7B30"/>
    <w:rsid w:val="003E7E4A"/>
    <w:rsid w:val="003F0041"/>
    <w:rsid w:val="003F00FA"/>
    <w:rsid w:val="003F0306"/>
    <w:rsid w:val="003F05FC"/>
    <w:rsid w:val="003F08F8"/>
    <w:rsid w:val="003F095E"/>
    <w:rsid w:val="003F09A1"/>
    <w:rsid w:val="003F105D"/>
    <w:rsid w:val="003F1355"/>
    <w:rsid w:val="003F13A5"/>
    <w:rsid w:val="003F148B"/>
    <w:rsid w:val="003F160D"/>
    <w:rsid w:val="003F19E7"/>
    <w:rsid w:val="003F1D52"/>
    <w:rsid w:val="003F1DD6"/>
    <w:rsid w:val="003F1EA9"/>
    <w:rsid w:val="003F1EAC"/>
    <w:rsid w:val="003F2921"/>
    <w:rsid w:val="003F2BF6"/>
    <w:rsid w:val="003F307D"/>
    <w:rsid w:val="003F325F"/>
    <w:rsid w:val="003F3648"/>
    <w:rsid w:val="003F3AE9"/>
    <w:rsid w:val="003F3BDC"/>
    <w:rsid w:val="003F4335"/>
    <w:rsid w:val="003F4386"/>
    <w:rsid w:val="003F44C7"/>
    <w:rsid w:val="003F4614"/>
    <w:rsid w:val="003F5249"/>
    <w:rsid w:val="003F5390"/>
    <w:rsid w:val="003F54D0"/>
    <w:rsid w:val="003F5663"/>
    <w:rsid w:val="003F5760"/>
    <w:rsid w:val="003F5896"/>
    <w:rsid w:val="003F5A75"/>
    <w:rsid w:val="003F5D14"/>
    <w:rsid w:val="003F5E69"/>
    <w:rsid w:val="003F5EBE"/>
    <w:rsid w:val="003F5F5A"/>
    <w:rsid w:val="003F6073"/>
    <w:rsid w:val="003F65EA"/>
    <w:rsid w:val="003F69DE"/>
    <w:rsid w:val="003F6A46"/>
    <w:rsid w:val="003F6AED"/>
    <w:rsid w:val="003F6C93"/>
    <w:rsid w:val="003F7082"/>
    <w:rsid w:val="003F73FB"/>
    <w:rsid w:val="003F760C"/>
    <w:rsid w:val="003F7E7D"/>
    <w:rsid w:val="004006FF"/>
    <w:rsid w:val="00400B01"/>
    <w:rsid w:val="00400D0A"/>
    <w:rsid w:val="00401159"/>
    <w:rsid w:val="0040165D"/>
    <w:rsid w:val="0040169C"/>
    <w:rsid w:val="004016E5"/>
    <w:rsid w:val="00401981"/>
    <w:rsid w:val="00401C4B"/>
    <w:rsid w:val="00402097"/>
    <w:rsid w:val="00402456"/>
    <w:rsid w:val="0040256A"/>
    <w:rsid w:val="00402790"/>
    <w:rsid w:val="004028CD"/>
    <w:rsid w:val="00402CA1"/>
    <w:rsid w:val="00402E04"/>
    <w:rsid w:val="00402F1D"/>
    <w:rsid w:val="00403143"/>
    <w:rsid w:val="00403ABF"/>
    <w:rsid w:val="00403B7D"/>
    <w:rsid w:val="004043E8"/>
    <w:rsid w:val="00404A6F"/>
    <w:rsid w:val="00404C27"/>
    <w:rsid w:val="00404D8F"/>
    <w:rsid w:val="00405204"/>
    <w:rsid w:val="004054F6"/>
    <w:rsid w:val="004061E4"/>
    <w:rsid w:val="004062E0"/>
    <w:rsid w:val="004063AB"/>
    <w:rsid w:val="004067A2"/>
    <w:rsid w:val="00406897"/>
    <w:rsid w:val="004069B8"/>
    <w:rsid w:val="00406A45"/>
    <w:rsid w:val="00406E82"/>
    <w:rsid w:val="00407064"/>
    <w:rsid w:val="00407073"/>
    <w:rsid w:val="004072AA"/>
    <w:rsid w:val="00407660"/>
    <w:rsid w:val="00407701"/>
    <w:rsid w:val="00407A21"/>
    <w:rsid w:val="00407A4F"/>
    <w:rsid w:val="00407BDD"/>
    <w:rsid w:val="00407DDA"/>
    <w:rsid w:val="004100CC"/>
    <w:rsid w:val="0041013C"/>
    <w:rsid w:val="00410534"/>
    <w:rsid w:val="004105A7"/>
    <w:rsid w:val="004106AD"/>
    <w:rsid w:val="004107D2"/>
    <w:rsid w:val="00410906"/>
    <w:rsid w:val="00410D82"/>
    <w:rsid w:val="00410DB8"/>
    <w:rsid w:val="00410DF1"/>
    <w:rsid w:val="0041128A"/>
    <w:rsid w:val="004112AB"/>
    <w:rsid w:val="00411BA6"/>
    <w:rsid w:val="004120ED"/>
    <w:rsid w:val="0041212D"/>
    <w:rsid w:val="00412393"/>
    <w:rsid w:val="004132AD"/>
    <w:rsid w:val="004135D5"/>
    <w:rsid w:val="00413B16"/>
    <w:rsid w:val="00413BFE"/>
    <w:rsid w:val="00413EC2"/>
    <w:rsid w:val="00414301"/>
    <w:rsid w:val="00414356"/>
    <w:rsid w:val="00414B5B"/>
    <w:rsid w:val="00414C38"/>
    <w:rsid w:val="00415123"/>
    <w:rsid w:val="00415307"/>
    <w:rsid w:val="00415555"/>
    <w:rsid w:val="004159C7"/>
    <w:rsid w:val="00415B01"/>
    <w:rsid w:val="004161A0"/>
    <w:rsid w:val="00416D4F"/>
    <w:rsid w:val="00416E1A"/>
    <w:rsid w:val="00416EF4"/>
    <w:rsid w:val="00416F69"/>
    <w:rsid w:val="00417422"/>
    <w:rsid w:val="00417437"/>
    <w:rsid w:val="004174A7"/>
    <w:rsid w:val="00417A9C"/>
    <w:rsid w:val="00417DBF"/>
    <w:rsid w:val="00420318"/>
    <w:rsid w:val="004205A5"/>
    <w:rsid w:val="00420A9C"/>
    <w:rsid w:val="00420A9F"/>
    <w:rsid w:val="00420FCC"/>
    <w:rsid w:val="004210CD"/>
    <w:rsid w:val="004214DE"/>
    <w:rsid w:val="004215E1"/>
    <w:rsid w:val="004217EE"/>
    <w:rsid w:val="00421959"/>
    <w:rsid w:val="004219BE"/>
    <w:rsid w:val="00421DA9"/>
    <w:rsid w:val="00421F49"/>
    <w:rsid w:val="00421FD6"/>
    <w:rsid w:val="004223F0"/>
    <w:rsid w:val="00422F55"/>
    <w:rsid w:val="0042316C"/>
    <w:rsid w:val="00423179"/>
    <w:rsid w:val="0042363D"/>
    <w:rsid w:val="00423676"/>
    <w:rsid w:val="00423789"/>
    <w:rsid w:val="004237A9"/>
    <w:rsid w:val="00423991"/>
    <w:rsid w:val="00423AD0"/>
    <w:rsid w:val="00423B90"/>
    <w:rsid w:val="00423D12"/>
    <w:rsid w:val="00423F21"/>
    <w:rsid w:val="00423FE0"/>
    <w:rsid w:val="004245BA"/>
    <w:rsid w:val="004248C8"/>
    <w:rsid w:val="00424CEA"/>
    <w:rsid w:val="00424FDA"/>
    <w:rsid w:val="00425A65"/>
    <w:rsid w:val="00425E4F"/>
    <w:rsid w:val="00426082"/>
    <w:rsid w:val="00426807"/>
    <w:rsid w:val="004268D8"/>
    <w:rsid w:val="00426A67"/>
    <w:rsid w:val="0042706F"/>
    <w:rsid w:val="00427557"/>
    <w:rsid w:val="004279B9"/>
    <w:rsid w:val="00427D24"/>
    <w:rsid w:val="00427E2A"/>
    <w:rsid w:val="00430098"/>
    <w:rsid w:val="004301DA"/>
    <w:rsid w:val="004303BF"/>
    <w:rsid w:val="004305B0"/>
    <w:rsid w:val="004305DB"/>
    <w:rsid w:val="00430813"/>
    <w:rsid w:val="0043106E"/>
    <w:rsid w:val="00431736"/>
    <w:rsid w:val="00431C97"/>
    <w:rsid w:val="00431DB1"/>
    <w:rsid w:val="00431F2C"/>
    <w:rsid w:val="004320D7"/>
    <w:rsid w:val="0043240F"/>
    <w:rsid w:val="00432CD2"/>
    <w:rsid w:val="00432E5F"/>
    <w:rsid w:val="00433EB9"/>
    <w:rsid w:val="00434291"/>
    <w:rsid w:val="0043442F"/>
    <w:rsid w:val="00434435"/>
    <w:rsid w:val="00434774"/>
    <w:rsid w:val="004349A9"/>
    <w:rsid w:val="00434A32"/>
    <w:rsid w:val="0043514D"/>
    <w:rsid w:val="004351F7"/>
    <w:rsid w:val="0043549F"/>
    <w:rsid w:val="004358E8"/>
    <w:rsid w:val="00435964"/>
    <w:rsid w:val="00435BE9"/>
    <w:rsid w:val="00435DC6"/>
    <w:rsid w:val="00435FAA"/>
    <w:rsid w:val="0043655D"/>
    <w:rsid w:val="00436690"/>
    <w:rsid w:val="004369D9"/>
    <w:rsid w:val="00436AAE"/>
    <w:rsid w:val="00436E8C"/>
    <w:rsid w:val="00436F53"/>
    <w:rsid w:val="004377A0"/>
    <w:rsid w:val="004378A9"/>
    <w:rsid w:val="00437B01"/>
    <w:rsid w:val="00437F3F"/>
    <w:rsid w:val="00437FC9"/>
    <w:rsid w:val="004400C1"/>
    <w:rsid w:val="004406D0"/>
    <w:rsid w:val="00440977"/>
    <w:rsid w:val="00440AF2"/>
    <w:rsid w:val="00440C29"/>
    <w:rsid w:val="0044120F"/>
    <w:rsid w:val="00441907"/>
    <w:rsid w:val="0044194C"/>
    <w:rsid w:val="00441A2D"/>
    <w:rsid w:val="00441C30"/>
    <w:rsid w:val="00441CCB"/>
    <w:rsid w:val="00441E06"/>
    <w:rsid w:val="00441FD3"/>
    <w:rsid w:val="00442030"/>
    <w:rsid w:val="004421B8"/>
    <w:rsid w:val="00443195"/>
    <w:rsid w:val="00443228"/>
    <w:rsid w:val="00443314"/>
    <w:rsid w:val="00443404"/>
    <w:rsid w:val="0044384A"/>
    <w:rsid w:val="00443B11"/>
    <w:rsid w:val="00443D45"/>
    <w:rsid w:val="00444669"/>
    <w:rsid w:val="00444727"/>
    <w:rsid w:val="00444A9E"/>
    <w:rsid w:val="00444E6A"/>
    <w:rsid w:val="0044524F"/>
    <w:rsid w:val="0044536A"/>
    <w:rsid w:val="00445385"/>
    <w:rsid w:val="004453DF"/>
    <w:rsid w:val="00445505"/>
    <w:rsid w:val="004456F5"/>
    <w:rsid w:val="00445DA4"/>
    <w:rsid w:val="00446146"/>
    <w:rsid w:val="0044668F"/>
    <w:rsid w:val="0044698A"/>
    <w:rsid w:val="00446AF4"/>
    <w:rsid w:val="00446CFC"/>
    <w:rsid w:val="00446D25"/>
    <w:rsid w:val="00447150"/>
    <w:rsid w:val="004471E2"/>
    <w:rsid w:val="004472CE"/>
    <w:rsid w:val="0044756D"/>
    <w:rsid w:val="00447678"/>
    <w:rsid w:val="004476CF"/>
    <w:rsid w:val="0044776D"/>
    <w:rsid w:val="004477BD"/>
    <w:rsid w:val="0044793E"/>
    <w:rsid w:val="004479A5"/>
    <w:rsid w:val="00447B2B"/>
    <w:rsid w:val="00450206"/>
    <w:rsid w:val="00450422"/>
    <w:rsid w:val="004506D4"/>
    <w:rsid w:val="00450CC0"/>
    <w:rsid w:val="00450EE4"/>
    <w:rsid w:val="004515B4"/>
    <w:rsid w:val="00451A34"/>
    <w:rsid w:val="00451B42"/>
    <w:rsid w:val="004520D4"/>
    <w:rsid w:val="00452143"/>
    <w:rsid w:val="00452598"/>
    <w:rsid w:val="00452B26"/>
    <w:rsid w:val="00452EC6"/>
    <w:rsid w:val="00452F12"/>
    <w:rsid w:val="0045324D"/>
    <w:rsid w:val="0045332C"/>
    <w:rsid w:val="00453623"/>
    <w:rsid w:val="00453A0C"/>
    <w:rsid w:val="00453F95"/>
    <w:rsid w:val="00453FA4"/>
    <w:rsid w:val="0045446A"/>
    <w:rsid w:val="0045476A"/>
    <w:rsid w:val="00454ABC"/>
    <w:rsid w:val="004553A5"/>
    <w:rsid w:val="004554F5"/>
    <w:rsid w:val="00455A16"/>
    <w:rsid w:val="00455DD3"/>
    <w:rsid w:val="00455FA7"/>
    <w:rsid w:val="0045646A"/>
    <w:rsid w:val="00456931"/>
    <w:rsid w:val="00456CEF"/>
    <w:rsid w:val="004572A4"/>
    <w:rsid w:val="00457543"/>
    <w:rsid w:val="00457F67"/>
    <w:rsid w:val="00457FE7"/>
    <w:rsid w:val="004600EC"/>
    <w:rsid w:val="00460325"/>
    <w:rsid w:val="00460342"/>
    <w:rsid w:val="00460434"/>
    <w:rsid w:val="00460468"/>
    <w:rsid w:val="00460496"/>
    <w:rsid w:val="00460634"/>
    <w:rsid w:val="00460835"/>
    <w:rsid w:val="00460994"/>
    <w:rsid w:val="00460BD8"/>
    <w:rsid w:val="00460BF9"/>
    <w:rsid w:val="00460D27"/>
    <w:rsid w:val="00460FF6"/>
    <w:rsid w:val="00461200"/>
    <w:rsid w:val="004612CE"/>
    <w:rsid w:val="00461F97"/>
    <w:rsid w:val="0046228E"/>
    <w:rsid w:val="00462446"/>
    <w:rsid w:val="00462525"/>
    <w:rsid w:val="00462546"/>
    <w:rsid w:val="00462B05"/>
    <w:rsid w:val="004634DD"/>
    <w:rsid w:val="0046359D"/>
    <w:rsid w:val="00463772"/>
    <w:rsid w:val="0046395F"/>
    <w:rsid w:val="00463CD3"/>
    <w:rsid w:val="00463DE9"/>
    <w:rsid w:val="00463FC0"/>
    <w:rsid w:val="00463FF7"/>
    <w:rsid w:val="00464952"/>
    <w:rsid w:val="00464984"/>
    <w:rsid w:val="00464A93"/>
    <w:rsid w:val="00464B87"/>
    <w:rsid w:val="00464E0F"/>
    <w:rsid w:val="00464FCD"/>
    <w:rsid w:val="004652BB"/>
    <w:rsid w:val="004653EC"/>
    <w:rsid w:val="00465677"/>
    <w:rsid w:val="0046573C"/>
    <w:rsid w:val="004667D7"/>
    <w:rsid w:val="004667E1"/>
    <w:rsid w:val="00466E30"/>
    <w:rsid w:val="004671CE"/>
    <w:rsid w:val="004673DE"/>
    <w:rsid w:val="00467741"/>
    <w:rsid w:val="00467B2D"/>
    <w:rsid w:val="00470077"/>
    <w:rsid w:val="004707F5"/>
    <w:rsid w:val="00470833"/>
    <w:rsid w:val="00470AB8"/>
    <w:rsid w:val="00471114"/>
    <w:rsid w:val="0047120A"/>
    <w:rsid w:val="004713D4"/>
    <w:rsid w:val="00471684"/>
    <w:rsid w:val="00471947"/>
    <w:rsid w:val="004720E3"/>
    <w:rsid w:val="00472253"/>
    <w:rsid w:val="0047236D"/>
    <w:rsid w:val="00472BA3"/>
    <w:rsid w:val="00472D5F"/>
    <w:rsid w:val="00473B97"/>
    <w:rsid w:val="00473DFD"/>
    <w:rsid w:val="00473F01"/>
    <w:rsid w:val="0047402B"/>
    <w:rsid w:val="004747F9"/>
    <w:rsid w:val="00474C66"/>
    <w:rsid w:val="00474F9A"/>
    <w:rsid w:val="00475318"/>
    <w:rsid w:val="00475384"/>
    <w:rsid w:val="00475487"/>
    <w:rsid w:val="004754C4"/>
    <w:rsid w:val="00475533"/>
    <w:rsid w:val="00475610"/>
    <w:rsid w:val="00475631"/>
    <w:rsid w:val="00475797"/>
    <w:rsid w:val="00475E6A"/>
    <w:rsid w:val="00475F46"/>
    <w:rsid w:val="00476202"/>
    <w:rsid w:val="0047645B"/>
    <w:rsid w:val="00476714"/>
    <w:rsid w:val="00476977"/>
    <w:rsid w:val="004769A1"/>
    <w:rsid w:val="00476D27"/>
    <w:rsid w:val="00477228"/>
    <w:rsid w:val="00477787"/>
    <w:rsid w:val="004777C1"/>
    <w:rsid w:val="004778C6"/>
    <w:rsid w:val="00477990"/>
    <w:rsid w:val="00477A11"/>
    <w:rsid w:val="00477A2E"/>
    <w:rsid w:val="00477CEE"/>
    <w:rsid w:val="0048018C"/>
    <w:rsid w:val="0048034E"/>
    <w:rsid w:val="004803D9"/>
    <w:rsid w:val="00480881"/>
    <w:rsid w:val="004809C2"/>
    <w:rsid w:val="00480C36"/>
    <w:rsid w:val="00480D68"/>
    <w:rsid w:val="00480EFE"/>
    <w:rsid w:val="00481052"/>
    <w:rsid w:val="004815F3"/>
    <w:rsid w:val="00481605"/>
    <w:rsid w:val="004817A1"/>
    <w:rsid w:val="0048199D"/>
    <w:rsid w:val="00482446"/>
    <w:rsid w:val="0048279C"/>
    <w:rsid w:val="00482929"/>
    <w:rsid w:val="00482A3A"/>
    <w:rsid w:val="00482BDA"/>
    <w:rsid w:val="00482F26"/>
    <w:rsid w:val="00483277"/>
    <w:rsid w:val="004834BD"/>
    <w:rsid w:val="00483568"/>
    <w:rsid w:val="004838DF"/>
    <w:rsid w:val="00483B40"/>
    <w:rsid w:val="00483C0A"/>
    <w:rsid w:val="00483D99"/>
    <w:rsid w:val="0048453B"/>
    <w:rsid w:val="0048475E"/>
    <w:rsid w:val="00484976"/>
    <w:rsid w:val="004849A2"/>
    <w:rsid w:val="00484E53"/>
    <w:rsid w:val="004851EF"/>
    <w:rsid w:val="004852FB"/>
    <w:rsid w:val="00485B5F"/>
    <w:rsid w:val="00486119"/>
    <w:rsid w:val="004862F9"/>
    <w:rsid w:val="00487768"/>
    <w:rsid w:val="0048799A"/>
    <w:rsid w:val="00487F01"/>
    <w:rsid w:val="00490281"/>
    <w:rsid w:val="00490516"/>
    <w:rsid w:val="004906F6"/>
    <w:rsid w:val="00490F06"/>
    <w:rsid w:val="004910EE"/>
    <w:rsid w:val="00491374"/>
    <w:rsid w:val="004915BD"/>
    <w:rsid w:val="00491EE2"/>
    <w:rsid w:val="0049240B"/>
    <w:rsid w:val="004925F6"/>
    <w:rsid w:val="00492779"/>
    <w:rsid w:val="0049283E"/>
    <w:rsid w:val="004929E3"/>
    <w:rsid w:val="004934F8"/>
    <w:rsid w:val="00493741"/>
    <w:rsid w:val="004938CA"/>
    <w:rsid w:val="004942A8"/>
    <w:rsid w:val="004942E7"/>
    <w:rsid w:val="004943BA"/>
    <w:rsid w:val="00494904"/>
    <w:rsid w:val="00494981"/>
    <w:rsid w:val="00494B3D"/>
    <w:rsid w:val="00494E25"/>
    <w:rsid w:val="00494E58"/>
    <w:rsid w:val="00494EA7"/>
    <w:rsid w:val="00494F4B"/>
    <w:rsid w:val="0049540F"/>
    <w:rsid w:val="00495448"/>
    <w:rsid w:val="004958C8"/>
    <w:rsid w:val="00495BA9"/>
    <w:rsid w:val="00495C66"/>
    <w:rsid w:val="00495CA8"/>
    <w:rsid w:val="00495E23"/>
    <w:rsid w:val="00496958"/>
    <w:rsid w:val="00496B10"/>
    <w:rsid w:val="00496C16"/>
    <w:rsid w:val="00496C5D"/>
    <w:rsid w:val="004971C8"/>
    <w:rsid w:val="004974A2"/>
    <w:rsid w:val="004974B0"/>
    <w:rsid w:val="00497812"/>
    <w:rsid w:val="00497A07"/>
    <w:rsid w:val="00497AEE"/>
    <w:rsid w:val="00497B61"/>
    <w:rsid w:val="004A01C5"/>
    <w:rsid w:val="004A0336"/>
    <w:rsid w:val="004A05CD"/>
    <w:rsid w:val="004A0625"/>
    <w:rsid w:val="004A06FC"/>
    <w:rsid w:val="004A07DE"/>
    <w:rsid w:val="004A133E"/>
    <w:rsid w:val="004A1627"/>
    <w:rsid w:val="004A18FC"/>
    <w:rsid w:val="004A1EB2"/>
    <w:rsid w:val="004A1FAD"/>
    <w:rsid w:val="004A293B"/>
    <w:rsid w:val="004A306E"/>
    <w:rsid w:val="004A34AC"/>
    <w:rsid w:val="004A3572"/>
    <w:rsid w:val="004A3935"/>
    <w:rsid w:val="004A3AFA"/>
    <w:rsid w:val="004A3E5A"/>
    <w:rsid w:val="004A440E"/>
    <w:rsid w:val="004A44B9"/>
    <w:rsid w:val="004A4581"/>
    <w:rsid w:val="004A4D7A"/>
    <w:rsid w:val="004A4E0F"/>
    <w:rsid w:val="004A50DC"/>
    <w:rsid w:val="004A5473"/>
    <w:rsid w:val="004A584E"/>
    <w:rsid w:val="004A5BAA"/>
    <w:rsid w:val="004A6108"/>
    <w:rsid w:val="004A61E1"/>
    <w:rsid w:val="004A6532"/>
    <w:rsid w:val="004A6715"/>
    <w:rsid w:val="004A7094"/>
    <w:rsid w:val="004A730B"/>
    <w:rsid w:val="004A7400"/>
    <w:rsid w:val="004A7AAF"/>
    <w:rsid w:val="004A7AFE"/>
    <w:rsid w:val="004A7C7D"/>
    <w:rsid w:val="004B00AF"/>
    <w:rsid w:val="004B05F6"/>
    <w:rsid w:val="004B0756"/>
    <w:rsid w:val="004B0BEE"/>
    <w:rsid w:val="004B0E38"/>
    <w:rsid w:val="004B0F13"/>
    <w:rsid w:val="004B0F63"/>
    <w:rsid w:val="004B0FC5"/>
    <w:rsid w:val="004B0FD0"/>
    <w:rsid w:val="004B1078"/>
    <w:rsid w:val="004B125B"/>
    <w:rsid w:val="004B1E6A"/>
    <w:rsid w:val="004B2209"/>
    <w:rsid w:val="004B2553"/>
    <w:rsid w:val="004B27CB"/>
    <w:rsid w:val="004B2B61"/>
    <w:rsid w:val="004B2E1A"/>
    <w:rsid w:val="004B343D"/>
    <w:rsid w:val="004B3652"/>
    <w:rsid w:val="004B3751"/>
    <w:rsid w:val="004B38B1"/>
    <w:rsid w:val="004B39CE"/>
    <w:rsid w:val="004B4245"/>
    <w:rsid w:val="004B4416"/>
    <w:rsid w:val="004B4616"/>
    <w:rsid w:val="004B470C"/>
    <w:rsid w:val="004B4C48"/>
    <w:rsid w:val="004B4D41"/>
    <w:rsid w:val="004B4EC5"/>
    <w:rsid w:val="004B511A"/>
    <w:rsid w:val="004B5308"/>
    <w:rsid w:val="004B5879"/>
    <w:rsid w:val="004B5E30"/>
    <w:rsid w:val="004B6873"/>
    <w:rsid w:val="004B6BE9"/>
    <w:rsid w:val="004B6DFF"/>
    <w:rsid w:val="004B6F3E"/>
    <w:rsid w:val="004B6FEE"/>
    <w:rsid w:val="004B7212"/>
    <w:rsid w:val="004B75E5"/>
    <w:rsid w:val="004B760E"/>
    <w:rsid w:val="004B7701"/>
    <w:rsid w:val="004B7998"/>
    <w:rsid w:val="004B7C87"/>
    <w:rsid w:val="004C001F"/>
    <w:rsid w:val="004C0040"/>
    <w:rsid w:val="004C015A"/>
    <w:rsid w:val="004C05DE"/>
    <w:rsid w:val="004C0E2B"/>
    <w:rsid w:val="004C0F2B"/>
    <w:rsid w:val="004C1353"/>
    <w:rsid w:val="004C1A1B"/>
    <w:rsid w:val="004C1FD1"/>
    <w:rsid w:val="004C2121"/>
    <w:rsid w:val="004C2151"/>
    <w:rsid w:val="004C242A"/>
    <w:rsid w:val="004C2AAF"/>
    <w:rsid w:val="004C2B23"/>
    <w:rsid w:val="004C2B59"/>
    <w:rsid w:val="004C316F"/>
    <w:rsid w:val="004C33A4"/>
    <w:rsid w:val="004C3596"/>
    <w:rsid w:val="004C3811"/>
    <w:rsid w:val="004C3916"/>
    <w:rsid w:val="004C40B4"/>
    <w:rsid w:val="004C440E"/>
    <w:rsid w:val="004C44BD"/>
    <w:rsid w:val="004C492D"/>
    <w:rsid w:val="004C4E82"/>
    <w:rsid w:val="004C546A"/>
    <w:rsid w:val="004C54BF"/>
    <w:rsid w:val="004C567C"/>
    <w:rsid w:val="004C56EF"/>
    <w:rsid w:val="004C5B2F"/>
    <w:rsid w:val="004C5C79"/>
    <w:rsid w:val="004C5D9F"/>
    <w:rsid w:val="004C625D"/>
    <w:rsid w:val="004C62D2"/>
    <w:rsid w:val="004C6480"/>
    <w:rsid w:val="004C68B6"/>
    <w:rsid w:val="004C6910"/>
    <w:rsid w:val="004C6A43"/>
    <w:rsid w:val="004C6A71"/>
    <w:rsid w:val="004C6EFD"/>
    <w:rsid w:val="004C6F34"/>
    <w:rsid w:val="004C7278"/>
    <w:rsid w:val="004C7530"/>
    <w:rsid w:val="004C7C69"/>
    <w:rsid w:val="004C7CA1"/>
    <w:rsid w:val="004D02A7"/>
    <w:rsid w:val="004D0549"/>
    <w:rsid w:val="004D0AF3"/>
    <w:rsid w:val="004D0B6B"/>
    <w:rsid w:val="004D0BF7"/>
    <w:rsid w:val="004D12A8"/>
    <w:rsid w:val="004D1404"/>
    <w:rsid w:val="004D163A"/>
    <w:rsid w:val="004D16E4"/>
    <w:rsid w:val="004D1941"/>
    <w:rsid w:val="004D1D53"/>
    <w:rsid w:val="004D2973"/>
    <w:rsid w:val="004D2982"/>
    <w:rsid w:val="004D2D1F"/>
    <w:rsid w:val="004D3394"/>
    <w:rsid w:val="004D35AE"/>
    <w:rsid w:val="004D35C3"/>
    <w:rsid w:val="004D3BB6"/>
    <w:rsid w:val="004D3BCF"/>
    <w:rsid w:val="004D3C2A"/>
    <w:rsid w:val="004D3C3A"/>
    <w:rsid w:val="004D3F6A"/>
    <w:rsid w:val="004D40B9"/>
    <w:rsid w:val="004D4297"/>
    <w:rsid w:val="004D436B"/>
    <w:rsid w:val="004D4D7C"/>
    <w:rsid w:val="004D5203"/>
    <w:rsid w:val="004D5A0E"/>
    <w:rsid w:val="004D5D48"/>
    <w:rsid w:val="004D5E21"/>
    <w:rsid w:val="004D5F69"/>
    <w:rsid w:val="004D64FE"/>
    <w:rsid w:val="004D6516"/>
    <w:rsid w:val="004D680C"/>
    <w:rsid w:val="004D68DF"/>
    <w:rsid w:val="004D6A03"/>
    <w:rsid w:val="004D7333"/>
    <w:rsid w:val="004D7615"/>
    <w:rsid w:val="004D776D"/>
    <w:rsid w:val="004D785B"/>
    <w:rsid w:val="004D7ECE"/>
    <w:rsid w:val="004E0133"/>
    <w:rsid w:val="004E024B"/>
    <w:rsid w:val="004E035C"/>
    <w:rsid w:val="004E0382"/>
    <w:rsid w:val="004E0683"/>
    <w:rsid w:val="004E06C9"/>
    <w:rsid w:val="004E075F"/>
    <w:rsid w:val="004E098C"/>
    <w:rsid w:val="004E0F8F"/>
    <w:rsid w:val="004E10D3"/>
    <w:rsid w:val="004E13F0"/>
    <w:rsid w:val="004E1446"/>
    <w:rsid w:val="004E191C"/>
    <w:rsid w:val="004E1ABA"/>
    <w:rsid w:val="004E2206"/>
    <w:rsid w:val="004E2606"/>
    <w:rsid w:val="004E29E3"/>
    <w:rsid w:val="004E2C5B"/>
    <w:rsid w:val="004E2ED0"/>
    <w:rsid w:val="004E2ED7"/>
    <w:rsid w:val="004E3363"/>
    <w:rsid w:val="004E365B"/>
    <w:rsid w:val="004E3B19"/>
    <w:rsid w:val="004E3E73"/>
    <w:rsid w:val="004E40EA"/>
    <w:rsid w:val="004E4293"/>
    <w:rsid w:val="004E4388"/>
    <w:rsid w:val="004E44BB"/>
    <w:rsid w:val="004E4509"/>
    <w:rsid w:val="004E4BA5"/>
    <w:rsid w:val="004E4BAB"/>
    <w:rsid w:val="004E4D24"/>
    <w:rsid w:val="004E4DFA"/>
    <w:rsid w:val="004E5650"/>
    <w:rsid w:val="004E56A9"/>
    <w:rsid w:val="004E57E1"/>
    <w:rsid w:val="004E5A52"/>
    <w:rsid w:val="004E5B5C"/>
    <w:rsid w:val="004E6214"/>
    <w:rsid w:val="004E625D"/>
    <w:rsid w:val="004E6BCE"/>
    <w:rsid w:val="004E6E48"/>
    <w:rsid w:val="004E732C"/>
    <w:rsid w:val="004E7731"/>
    <w:rsid w:val="004E77FE"/>
    <w:rsid w:val="004E78F0"/>
    <w:rsid w:val="004E7B2E"/>
    <w:rsid w:val="004E7BA4"/>
    <w:rsid w:val="004E7C81"/>
    <w:rsid w:val="004F018D"/>
    <w:rsid w:val="004F062F"/>
    <w:rsid w:val="004F070E"/>
    <w:rsid w:val="004F07A9"/>
    <w:rsid w:val="004F08E6"/>
    <w:rsid w:val="004F0A9F"/>
    <w:rsid w:val="004F0B22"/>
    <w:rsid w:val="004F0C59"/>
    <w:rsid w:val="004F0CE6"/>
    <w:rsid w:val="004F0D2D"/>
    <w:rsid w:val="004F10D3"/>
    <w:rsid w:val="004F12AE"/>
    <w:rsid w:val="004F1487"/>
    <w:rsid w:val="004F180B"/>
    <w:rsid w:val="004F1EF8"/>
    <w:rsid w:val="004F269D"/>
    <w:rsid w:val="004F2790"/>
    <w:rsid w:val="004F27A6"/>
    <w:rsid w:val="004F2847"/>
    <w:rsid w:val="004F28A8"/>
    <w:rsid w:val="004F2A4B"/>
    <w:rsid w:val="004F2A6C"/>
    <w:rsid w:val="004F2D10"/>
    <w:rsid w:val="004F2DF6"/>
    <w:rsid w:val="004F2E56"/>
    <w:rsid w:val="004F2F4B"/>
    <w:rsid w:val="004F2FBE"/>
    <w:rsid w:val="004F3426"/>
    <w:rsid w:val="004F3E6E"/>
    <w:rsid w:val="004F43B4"/>
    <w:rsid w:val="004F43CE"/>
    <w:rsid w:val="004F4919"/>
    <w:rsid w:val="004F4AF6"/>
    <w:rsid w:val="004F57B7"/>
    <w:rsid w:val="004F5A3D"/>
    <w:rsid w:val="004F5A69"/>
    <w:rsid w:val="004F5D08"/>
    <w:rsid w:val="004F5E07"/>
    <w:rsid w:val="004F680D"/>
    <w:rsid w:val="004F6C33"/>
    <w:rsid w:val="004F6C64"/>
    <w:rsid w:val="004F6E40"/>
    <w:rsid w:val="004F7988"/>
    <w:rsid w:val="004F7B6A"/>
    <w:rsid w:val="004F7DC5"/>
    <w:rsid w:val="004F7E71"/>
    <w:rsid w:val="005001FC"/>
    <w:rsid w:val="005004A2"/>
    <w:rsid w:val="005006FA"/>
    <w:rsid w:val="00500700"/>
    <w:rsid w:val="00500989"/>
    <w:rsid w:val="005009BC"/>
    <w:rsid w:val="00500A0D"/>
    <w:rsid w:val="00500B58"/>
    <w:rsid w:val="00501462"/>
    <w:rsid w:val="0050175E"/>
    <w:rsid w:val="00501ACA"/>
    <w:rsid w:val="00501C6F"/>
    <w:rsid w:val="0050290B"/>
    <w:rsid w:val="00502DDB"/>
    <w:rsid w:val="00503001"/>
    <w:rsid w:val="005032C3"/>
    <w:rsid w:val="005033F7"/>
    <w:rsid w:val="0050362A"/>
    <w:rsid w:val="005039A5"/>
    <w:rsid w:val="00503C95"/>
    <w:rsid w:val="00503DA7"/>
    <w:rsid w:val="005040D8"/>
    <w:rsid w:val="0050449C"/>
    <w:rsid w:val="005044ED"/>
    <w:rsid w:val="005045D3"/>
    <w:rsid w:val="0050461C"/>
    <w:rsid w:val="00504B02"/>
    <w:rsid w:val="00504E5B"/>
    <w:rsid w:val="00504E94"/>
    <w:rsid w:val="00505172"/>
    <w:rsid w:val="005057BC"/>
    <w:rsid w:val="005057DB"/>
    <w:rsid w:val="00505C29"/>
    <w:rsid w:val="00505CBB"/>
    <w:rsid w:val="00506020"/>
    <w:rsid w:val="00506290"/>
    <w:rsid w:val="00506399"/>
    <w:rsid w:val="00506746"/>
    <w:rsid w:val="005070BD"/>
    <w:rsid w:val="00507120"/>
    <w:rsid w:val="00507258"/>
    <w:rsid w:val="005076A5"/>
    <w:rsid w:val="005076BC"/>
    <w:rsid w:val="0050777D"/>
    <w:rsid w:val="00507971"/>
    <w:rsid w:val="00507EB4"/>
    <w:rsid w:val="00510099"/>
    <w:rsid w:val="005100A9"/>
    <w:rsid w:val="00510135"/>
    <w:rsid w:val="005101E9"/>
    <w:rsid w:val="00510420"/>
    <w:rsid w:val="00511317"/>
    <w:rsid w:val="00511573"/>
    <w:rsid w:val="005122A9"/>
    <w:rsid w:val="00512491"/>
    <w:rsid w:val="00512693"/>
    <w:rsid w:val="005126A0"/>
    <w:rsid w:val="0051288E"/>
    <w:rsid w:val="00512DBA"/>
    <w:rsid w:val="005133AE"/>
    <w:rsid w:val="00513461"/>
    <w:rsid w:val="0051379C"/>
    <w:rsid w:val="00513D82"/>
    <w:rsid w:val="005141B4"/>
    <w:rsid w:val="005141BF"/>
    <w:rsid w:val="005143AF"/>
    <w:rsid w:val="00514469"/>
    <w:rsid w:val="00514670"/>
    <w:rsid w:val="00514BEB"/>
    <w:rsid w:val="00514C2F"/>
    <w:rsid w:val="00515039"/>
    <w:rsid w:val="005151BB"/>
    <w:rsid w:val="005153C0"/>
    <w:rsid w:val="00515563"/>
    <w:rsid w:val="005155B5"/>
    <w:rsid w:val="00515E2B"/>
    <w:rsid w:val="00515EE8"/>
    <w:rsid w:val="0051657A"/>
    <w:rsid w:val="005167BF"/>
    <w:rsid w:val="00516990"/>
    <w:rsid w:val="00516B1D"/>
    <w:rsid w:val="00517626"/>
    <w:rsid w:val="005177F8"/>
    <w:rsid w:val="00517A6F"/>
    <w:rsid w:val="00517A7E"/>
    <w:rsid w:val="00517CE2"/>
    <w:rsid w:val="00517EE5"/>
    <w:rsid w:val="00517F76"/>
    <w:rsid w:val="005205BE"/>
    <w:rsid w:val="00520BD0"/>
    <w:rsid w:val="00520D05"/>
    <w:rsid w:val="00520FD4"/>
    <w:rsid w:val="00521469"/>
    <w:rsid w:val="00521499"/>
    <w:rsid w:val="00521A66"/>
    <w:rsid w:val="00521BAF"/>
    <w:rsid w:val="00521C06"/>
    <w:rsid w:val="00521EAC"/>
    <w:rsid w:val="00521F14"/>
    <w:rsid w:val="00522132"/>
    <w:rsid w:val="00522154"/>
    <w:rsid w:val="00522182"/>
    <w:rsid w:val="00522440"/>
    <w:rsid w:val="00522471"/>
    <w:rsid w:val="0052258C"/>
    <w:rsid w:val="00522829"/>
    <w:rsid w:val="00522E50"/>
    <w:rsid w:val="0052339B"/>
    <w:rsid w:val="0052348A"/>
    <w:rsid w:val="005239D1"/>
    <w:rsid w:val="00523D82"/>
    <w:rsid w:val="005241F0"/>
    <w:rsid w:val="00524213"/>
    <w:rsid w:val="00524628"/>
    <w:rsid w:val="005247FD"/>
    <w:rsid w:val="0052496E"/>
    <w:rsid w:val="00524DDA"/>
    <w:rsid w:val="00524F3F"/>
    <w:rsid w:val="00525032"/>
    <w:rsid w:val="0052507E"/>
    <w:rsid w:val="005251D3"/>
    <w:rsid w:val="005251DD"/>
    <w:rsid w:val="00525220"/>
    <w:rsid w:val="00525398"/>
    <w:rsid w:val="0052546C"/>
    <w:rsid w:val="0052585D"/>
    <w:rsid w:val="0052590E"/>
    <w:rsid w:val="00525C70"/>
    <w:rsid w:val="00525E87"/>
    <w:rsid w:val="00526116"/>
    <w:rsid w:val="00526CEA"/>
    <w:rsid w:val="00527096"/>
    <w:rsid w:val="005273CC"/>
    <w:rsid w:val="005301CC"/>
    <w:rsid w:val="00530890"/>
    <w:rsid w:val="00530E0A"/>
    <w:rsid w:val="00530E39"/>
    <w:rsid w:val="00531380"/>
    <w:rsid w:val="005315FE"/>
    <w:rsid w:val="00531615"/>
    <w:rsid w:val="005317B7"/>
    <w:rsid w:val="005317EB"/>
    <w:rsid w:val="00531D7F"/>
    <w:rsid w:val="00531F78"/>
    <w:rsid w:val="0053204D"/>
    <w:rsid w:val="0053206E"/>
    <w:rsid w:val="00532331"/>
    <w:rsid w:val="0053260B"/>
    <w:rsid w:val="0053285B"/>
    <w:rsid w:val="005328EE"/>
    <w:rsid w:val="00532BC2"/>
    <w:rsid w:val="00532E05"/>
    <w:rsid w:val="00532E0D"/>
    <w:rsid w:val="00532EB8"/>
    <w:rsid w:val="00532ED8"/>
    <w:rsid w:val="00533230"/>
    <w:rsid w:val="005332E2"/>
    <w:rsid w:val="00533778"/>
    <w:rsid w:val="00533875"/>
    <w:rsid w:val="0053397E"/>
    <w:rsid w:val="00533C30"/>
    <w:rsid w:val="00533D29"/>
    <w:rsid w:val="00534454"/>
    <w:rsid w:val="005348AE"/>
    <w:rsid w:val="005349BB"/>
    <w:rsid w:val="00534C79"/>
    <w:rsid w:val="00534CC3"/>
    <w:rsid w:val="00534CFA"/>
    <w:rsid w:val="00534DA2"/>
    <w:rsid w:val="0053504C"/>
    <w:rsid w:val="0053518A"/>
    <w:rsid w:val="005356F1"/>
    <w:rsid w:val="005358F4"/>
    <w:rsid w:val="00535D7C"/>
    <w:rsid w:val="00535E25"/>
    <w:rsid w:val="00535E90"/>
    <w:rsid w:val="00536166"/>
    <w:rsid w:val="0053617F"/>
    <w:rsid w:val="00536BB3"/>
    <w:rsid w:val="005371F5"/>
    <w:rsid w:val="00537691"/>
    <w:rsid w:val="005379B0"/>
    <w:rsid w:val="00537AC1"/>
    <w:rsid w:val="00537D83"/>
    <w:rsid w:val="00537DBC"/>
    <w:rsid w:val="00537EA6"/>
    <w:rsid w:val="00540004"/>
    <w:rsid w:val="0054018C"/>
    <w:rsid w:val="00540282"/>
    <w:rsid w:val="00540435"/>
    <w:rsid w:val="005404D6"/>
    <w:rsid w:val="005406F6"/>
    <w:rsid w:val="00540709"/>
    <w:rsid w:val="005407BD"/>
    <w:rsid w:val="00540878"/>
    <w:rsid w:val="00541367"/>
    <w:rsid w:val="0054136A"/>
    <w:rsid w:val="005415FE"/>
    <w:rsid w:val="00541AEE"/>
    <w:rsid w:val="00541B44"/>
    <w:rsid w:val="00541B4E"/>
    <w:rsid w:val="00541E4D"/>
    <w:rsid w:val="005420DB"/>
    <w:rsid w:val="00542206"/>
    <w:rsid w:val="00542634"/>
    <w:rsid w:val="00542816"/>
    <w:rsid w:val="00542AA6"/>
    <w:rsid w:val="00543024"/>
    <w:rsid w:val="00543117"/>
    <w:rsid w:val="005431F0"/>
    <w:rsid w:val="005434C4"/>
    <w:rsid w:val="00543787"/>
    <w:rsid w:val="005438F0"/>
    <w:rsid w:val="00543AE2"/>
    <w:rsid w:val="00543B5D"/>
    <w:rsid w:val="00543FF5"/>
    <w:rsid w:val="0054428B"/>
    <w:rsid w:val="00544453"/>
    <w:rsid w:val="00544A44"/>
    <w:rsid w:val="00544A8F"/>
    <w:rsid w:val="00544B13"/>
    <w:rsid w:val="00544F01"/>
    <w:rsid w:val="005456B0"/>
    <w:rsid w:val="005458F1"/>
    <w:rsid w:val="00545A09"/>
    <w:rsid w:val="00545F48"/>
    <w:rsid w:val="00545FE1"/>
    <w:rsid w:val="0054657F"/>
    <w:rsid w:val="005465F9"/>
    <w:rsid w:val="00546975"/>
    <w:rsid w:val="00546A99"/>
    <w:rsid w:val="00546BB8"/>
    <w:rsid w:val="00546FA5"/>
    <w:rsid w:val="00547548"/>
    <w:rsid w:val="00547751"/>
    <w:rsid w:val="00547992"/>
    <w:rsid w:val="005503F2"/>
    <w:rsid w:val="005504CD"/>
    <w:rsid w:val="005507AC"/>
    <w:rsid w:val="00550866"/>
    <w:rsid w:val="00550A76"/>
    <w:rsid w:val="00550AAA"/>
    <w:rsid w:val="00550FEF"/>
    <w:rsid w:val="00551152"/>
    <w:rsid w:val="005512C8"/>
    <w:rsid w:val="0055156D"/>
    <w:rsid w:val="00551A6B"/>
    <w:rsid w:val="00551E3D"/>
    <w:rsid w:val="00551F3F"/>
    <w:rsid w:val="005521CB"/>
    <w:rsid w:val="005521D8"/>
    <w:rsid w:val="005521EC"/>
    <w:rsid w:val="005522A9"/>
    <w:rsid w:val="0055282B"/>
    <w:rsid w:val="00553235"/>
    <w:rsid w:val="0055348F"/>
    <w:rsid w:val="005534D1"/>
    <w:rsid w:val="00553A8E"/>
    <w:rsid w:val="00553B94"/>
    <w:rsid w:val="00553F3B"/>
    <w:rsid w:val="00554037"/>
    <w:rsid w:val="0055419D"/>
    <w:rsid w:val="0055437E"/>
    <w:rsid w:val="005549F0"/>
    <w:rsid w:val="00554D51"/>
    <w:rsid w:val="00554F7D"/>
    <w:rsid w:val="00554FC5"/>
    <w:rsid w:val="00554FE1"/>
    <w:rsid w:val="005550E8"/>
    <w:rsid w:val="00555292"/>
    <w:rsid w:val="00555402"/>
    <w:rsid w:val="005556B0"/>
    <w:rsid w:val="005558F0"/>
    <w:rsid w:val="0055593E"/>
    <w:rsid w:val="00555DE9"/>
    <w:rsid w:val="00555F1B"/>
    <w:rsid w:val="00556207"/>
    <w:rsid w:val="0055670D"/>
    <w:rsid w:val="00556B1E"/>
    <w:rsid w:val="00557346"/>
    <w:rsid w:val="0055771A"/>
    <w:rsid w:val="00557948"/>
    <w:rsid w:val="00557AD1"/>
    <w:rsid w:val="00557BB8"/>
    <w:rsid w:val="00557E3F"/>
    <w:rsid w:val="00560862"/>
    <w:rsid w:val="00560A16"/>
    <w:rsid w:val="00560AD3"/>
    <w:rsid w:val="00560E7F"/>
    <w:rsid w:val="00561383"/>
    <w:rsid w:val="00561403"/>
    <w:rsid w:val="00561CEA"/>
    <w:rsid w:val="00561D19"/>
    <w:rsid w:val="00562560"/>
    <w:rsid w:val="005625F3"/>
    <w:rsid w:val="00562717"/>
    <w:rsid w:val="005629FC"/>
    <w:rsid w:val="00562B09"/>
    <w:rsid w:val="00562DEB"/>
    <w:rsid w:val="00562F8C"/>
    <w:rsid w:val="00563083"/>
    <w:rsid w:val="00563359"/>
    <w:rsid w:val="005634CA"/>
    <w:rsid w:val="00563734"/>
    <w:rsid w:val="00563F0C"/>
    <w:rsid w:val="0056432C"/>
    <w:rsid w:val="00564438"/>
    <w:rsid w:val="0056485D"/>
    <w:rsid w:val="0056496D"/>
    <w:rsid w:val="00564AB4"/>
    <w:rsid w:val="00564BC0"/>
    <w:rsid w:val="005651E3"/>
    <w:rsid w:val="00565243"/>
    <w:rsid w:val="0056546F"/>
    <w:rsid w:val="005654A4"/>
    <w:rsid w:val="00565758"/>
    <w:rsid w:val="0056594E"/>
    <w:rsid w:val="00565EBB"/>
    <w:rsid w:val="00565EDA"/>
    <w:rsid w:val="00566449"/>
    <w:rsid w:val="005665F2"/>
    <w:rsid w:val="0056680E"/>
    <w:rsid w:val="0056691A"/>
    <w:rsid w:val="0056694D"/>
    <w:rsid w:val="00566A0F"/>
    <w:rsid w:val="00566AF6"/>
    <w:rsid w:val="0056745E"/>
    <w:rsid w:val="00567469"/>
    <w:rsid w:val="005676AD"/>
    <w:rsid w:val="00567C76"/>
    <w:rsid w:val="00567FDA"/>
    <w:rsid w:val="0057032A"/>
    <w:rsid w:val="005704A9"/>
    <w:rsid w:val="00570D19"/>
    <w:rsid w:val="00571209"/>
    <w:rsid w:val="00571346"/>
    <w:rsid w:val="0057182F"/>
    <w:rsid w:val="00571B2A"/>
    <w:rsid w:val="00572009"/>
    <w:rsid w:val="005721A9"/>
    <w:rsid w:val="00572268"/>
    <w:rsid w:val="005723EF"/>
    <w:rsid w:val="005724E7"/>
    <w:rsid w:val="0057255E"/>
    <w:rsid w:val="00572563"/>
    <w:rsid w:val="0057276C"/>
    <w:rsid w:val="0057280E"/>
    <w:rsid w:val="00572A2B"/>
    <w:rsid w:val="005734CA"/>
    <w:rsid w:val="00573CD7"/>
    <w:rsid w:val="00573E4D"/>
    <w:rsid w:val="00573EDC"/>
    <w:rsid w:val="00573F5C"/>
    <w:rsid w:val="00573FEE"/>
    <w:rsid w:val="005748A8"/>
    <w:rsid w:val="00574B54"/>
    <w:rsid w:val="00574B6B"/>
    <w:rsid w:val="00574F4E"/>
    <w:rsid w:val="005751CF"/>
    <w:rsid w:val="0057544C"/>
    <w:rsid w:val="0057565C"/>
    <w:rsid w:val="00575953"/>
    <w:rsid w:val="005759EC"/>
    <w:rsid w:val="00575E9D"/>
    <w:rsid w:val="00576117"/>
    <w:rsid w:val="005766D9"/>
    <w:rsid w:val="00577341"/>
    <w:rsid w:val="005775F8"/>
    <w:rsid w:val="00577A1C"/>
    <w:rsid w:val="00577AED"/>
    <w:rsid w:val="00577D15"/>
    <w:rsid w:val="00577E60"/>
    <w:rsid w:val="00580273"/>
    <w:rsid w:val="0058032D"/>
    <w:rsid w:val="00580B2C"/>
    <w:rsid w:val="00580DCB"/>
    <w:rsid w:val="00580E91"/>
    <w:rsid w:val="0058149F"/>
    <w:rsid w:val="0058159F"/>
    <w:rsid w:val="0058191B"/>
    <w:rsid w:val="00581D81"/>
    <w:rsid w:val="005822DF"/>
    <w:rsid w:val="0058230C"/>
    <w:rsid w:val="00582DB1"/>
    <w:rsid w:val="00582E59"/>
    <w:rsid w:val="00582EC7"/>
    <w:rsid w:val="00583545"/>
    <w:rsid w:val="00583C8F"/>
    <w:rsid w:val="005840DC"/>
    <w:rsid w:val="00584424"/>
    <w:rsid w:val="00584500"/>
    <w:rsid w:val="005849E9"/>
    <w:rsid w:val="00584F7C"/>
    <w:rsid w:val="005850F1"/>
    <w:rsid w:val="0058576C"/>
    <w:rsid w:val="00585A07"/>
    <w:rsid w:val="00585B87"/>
    <w:rsid w:val="00586601"/>
    <w:rsid w:val="00586872"/>
    <w:rsid w:val="00586CD5"/>
    <w:rsid w:val="0058704E"/>
    <w:rsid w:val="00587A0F"/>
    <w:rsid w:val="00587BED"/>
    <w:rsid w:val="00587CF5"/>
    <w:rsid w:val="00587E7E"/>
    <w:rsid w:val="00587FC3"/>
    <w:rsid w:val="00590073"/>
    <w:rsid w:val="00590399"/>
    <w:rsid w:val="00590516"/>
    <w:rsid w:val="005905FF"/>
    <w:rsid w:val="0059062F"/>
    <w:rsid w:val="00590DD8"/>
    <w:rsid w:val="0059113E"/>
    <w:rsid w:val="0059169D"/>
    <w:rsid w:val="005918A0"/>
    <w:rsid w:val="005920F8"/>
    <w:rsid w:val="00592349"/>
    <w:rsid w:val="00592EEB"/>
    <w:rsid w:val="00592F73"/>
    <w:rsid w:val="00593772"/>
    <w:rsid w:val="00593AF9"/>
    <w:rsid w:val="00593AFA"/>
    <w:rsid w:val="00594459"/>
    <w:rsid w:val="00594566"/>
    <w:rsid w:val="005945A1"/>
    <w:rsid w:val="005947E0"/>
    <w:rsid w:val="00594B5C"/>
    <w:rsid w:val="00594D30"/>
    <w:rsid w:val="005957B1"/>
    <w:rsid w:val="00595985"/>
    <w:rsid w:val="00595993"/>
    <w:rsid w:val="00595BD4"/>
    <w:rsid w:val="0059619E"/>
    <w:rsid w:val="005965C1"/>
    <w:rsid w:val="005969C6"/>
    <w:rsid w:val="00596AEB"/>
    <w:rsid w:val="005975F6"/>
    <w:rsid w:val="0059770A"/>
    <w:rsid w:val="00597B65"/>
    <w:rsid w:val="00597E6E"/>
    <w:rsid w:val="005A05F6"/>
    <w:rsid w:val="005A062B"/>
    <w:rsid w:val="005A0BD3"/>
    <w:rsid w:val="005A1134"/>
    <w:rsid w:val="005A1156"/>
    <w:rsid w:val="005A15B4"/>
    <w:rsid w:val="005A1686"/>
    <w:rsid w:val="005A1A9F"/>
    <w:rsid w:val="005A1CC8"/>
    <w:rsid w:val="005A1FD6"/>
    <w:rsid w:val="005A222C"/>
    <w:rsid w:val="005A23F1"/>
    <w:rsid w:val="005A24D8"/>
    <w:rsid w:val="005A279F"/>
    <w:rsid w:val="005A285F"/>
    <w:rsid w:val="005A2E99"/>
    <w:rsid w:val="005A3430"/>
    <w:rsid w:val="005A363B"/>
    <w:rsid w:val="005A38AC"/>
    <w:rsid w:val="005A3AC8"/>
    <w:rsid w:val="005A3C27"/>
    <w:rsid w:val="005A4074"/>
    <w:rsid w:val="005A4076"/>
    <w:rsid w:val="005A49F9"/>
    <w:rsid w:val="005A4B5D"/>
    <w:rsid w:val="005A4C61"/>
    <w:rsid w:val="005A4D91"/>
    <w:rsid w:val="005A4E26"/>
    <w:rsid w:val="005A4E7F"/>
    <w:rsid w:val="005A51FA"/>
    <w:rsid w:val="005A53AC"/>
    <w:rsid w:val="005A5632"/>
    <w:rsid w:val="005A5802"/>
    <w:rsid w:val="005A58DE"/>
    <w:rsid w:val="005A5E4E"/>
    <w:rsid w:val="005A60CC"/>
    <w:rsid w:val="005A636E"/>
    <w:rsid w:val="005A6AE1"/>
    <w:rsid w:val="005A6C7A"/>
    <w:rsid w:val="005A7520"/>
    <w:rsid w:val="005A75E6"/>
    <w:rsid w:val="005A76A0"/>
    <w:rsid w:val="005A788E"/>
    <w:rsid w:val="005A7A3E"/>
    <w:rsid w:val="005A7BD5"/>
    <w:rsid w:val="005A7E05"/>
    <w:rsid w:val="005A7FBB"/>
    <w:rsid w:val="005B04FB"/>
    <w:rsid w:val="005B0682"/>
    <w:rsid w:val="005B0813"/>
    <w:rsid w:val="005B10C7"/>
    <w:rsid w:val="005B18D8"/>
    <w:rsid w:val="005B1A27"/>
    <w:rsid w:val="005B1A4E"/>
    <w:rsid w:val="005B1E0C"/>
    <w:rsid w:val="005B2030"/>
    <w:rsid w:val="005B2B1B"/>
    <w:rsid w:val="005B33A5"/>
    <w:rsid w:val="005B35CC"/>
    <w:rsid w:val="005B35F8"/>
    <w:rsid w:val="005B3FB7"/>
    <w:rsid w:val="005B403D"/>
    <w:rsid w:val="005B436F"/>
    <w:rsid w:val="005B44CA"/>
    <w:rsid w:val="005B48A9"/>
    <w:rsid w:val="005B4D65"/>
    <w:rsid w:val="005B4FDB"/>
    <w:rsid w:val="005B5215"/>
    <w:rsid w:val="005B52BC"/>
    <w:rsid w:val="005B57A6"/>
    <w:rsid w:val="005B5B10"/>
    <w:rsid w:val="005B6323"/>
    <w:rsid w:val="005B6878"/>
    <w:rsid w:val="005B68A3"/>
    <w:rsid w:val="005B69BC"/>
    <w:rsid w:val="005B6CCC"/>
    <w:rsid w:val="005B6D2B"/>
    <w:rsid w:val="005B6DA1"/>
    <w:rsid w:val="005B6F03"/>
    <w:rsid w:val="005B7109"/>
    <w:rsid w:val="005B71F0"/>
    <w:rsid w:val="005B753F"/>
    <w:rsid w:val="005B7626"/>
    <w:rsid w:val="005B7752"/>
    <w:rsid w:val="005B77F7"/>
    <w:rsid w:val="005B7E92"/>
    <w:rsid w:val="005B7F46"/>
    <w:rsid w:val="005C02FA"/>
    <w:rsid w:val="005C160A"/>
    <w:rsid w:val="005C18BB"/>
    <w:rsid w:val="005C1B33"/>
    <w:rsid w:val="005C1C76"/>
    <w:rsid w:val="005C1CC8"/>
    <w:rsid w:val="005C2704"/>
    <w:rsid w:val="005C2763"/>
    <w:rsid w:val="005C2BA5"/>
    <w:rsid w:val="005C2D85"/>
    <w:rsid w:val="005C2E9C"/>
    <w:rsid w:val="005C2FD4"/>
    <w:rsid w:val="005C30D7"/>
    <w:rsid w:val="005C361D"/>
    <w:rsid w:val="005C39EA"/>
    <w:rsid w:val="005C3CBA"/>
    <w:rsid w:val="005C3F25"/>
    <w:rsid w:val="005C4376"/>
    <w:rsid w:val="005C469B"/>
    <w:rsid w:val="005C4AA6"/>
    <w:rsid w:val="005C522D"/>
    <w:rsid w:val="005C52A7"/>
    <w:rsid w:val="005C5936"/>
    <w:rsid w:val="005C59D3"/>
    <w:rsid w:val="005C5D5B"/>
    <w:rsid w:val="005C6344"/>
    <w:rsid w:val="005C67A4"/>
    <w:rsid w:val="005C6CB8"/>
    <w:rsid w:val="005C6E2A"/>
    <w:rsid w:val="005C6E37"/>
    <w:rsid w:val="005C6E41"/>
    <w:rsid w:val="005C6E60"/>
    <w:rsid w:val="005C721D"/>
    <w:rsid w:val="005C7832"/>
    <w:rsid w:val="005C799C"/>
    <w:rsid w:val="005C7B19"/>
    <w:rsid w:val="005C7CDE"/>
    <w:rsid w:val="005D013B"/>
    <w:rsid w:val="005D02BD"/>
    <w:rsid w:val="005D0599"/>
    <w:rsid w:val="005D0618"/>
    <w:rsid w:val="005D0663"/>
    <w:rsid w:val="005D06FC"/>
    <w:rsid w:val="005D07A5"/>
    <w:rsid w:val="005D1099"/>
    <w:rsid w:val="005D1248"/>
    <w:rsid w:val="005D15C6"/>
    <w:rsid w:val="005D161E"/>
    <w:rsid w:val="005D1785"/>
    <w:rsid w:val="005D1E2C"/>
    <w:rsid w:val="005D2692"/>
    <w:rsid w:val="005D2D96"/>
    <w:rsid w:val="005D2E3A"/>
    <w:rsid w:val="005D309E"/>
    <w:rsid w:val="005D3145"/>
    <w:rsid w:val="005D3370"/>
    <w:rsid w:val="005D38C9"/>
    <w:rsid w:val="005D38FB"/>
    <w:rsid w:val="005D39EE"/>
    <w:rsid w:val="005D3EAE"/>
    <w:rsid w:val="005D4014"/>
    <w:rsid w:val="005D404A"/>
    <w:rsid w:val="005D4435"/>
    <w:rsid w:val="005D4DAA"/>
    <w:rsid w:val="005D5257"/>
    <w:rsid w:val="005D5609"/>
    <w:rsid w:val="005D5AF8"/>
    <w:rsid w:val="005D5CC0"/>
    <w:rsid w:val="005D5EA5"/>
    <w:rsid w:val="005D5F96"/>
    <w:rsid w:val="005D5FA5"/>
    <w:rsid w:val="005D6284"/>
    <w:rsid w:val="005D650B"/>
    <w:rsid w:val="005D658D"/>
    <w:rsid w:val="005D685C"/>
    <w:rsid w:val="005D6876"/>
    <w:rsid w:val="005D6A4D"/>
    <w:rsid w:val="005D6A66"/>
    <w:rsid w:val="005D6B6B"/>
    <w:rsid w:val="005D6FC2"/>
    <w:rsid w:val="005D72A4"/>
    <w:rsid w:val="005D7384"/>
    <w:rsid w:val="005D773B"/>
    <w:rsid w:val="005D7800"/>
    <w:rsid w:val="005D7DB6"/>
    <w:rsid w:val="005D7E19"/>
    <w:rsid w:val="005D7E66"/>
    <w:rsid w:val="005E01E5"/>
    <w:rsid w:val="005E0A44"/>
    <w:rsid w:val="005E0ABB"/>
    <w:rsid w:val="005E0CF0"/>
    <w:rsid w:val="005E0EFA"/>
    <w:rsid w:val="005E0F14"/>
    <w:rsid w:val="005E13EE"/>
    <w:rsid w:val="005E15C0"/>
    <w:rsid w:val="005E1765"/>
    <w:rsid w:val="005E17C0"/>
    <w:rsid w:val="005E201E"/>
    <w:rsid w:val="005E2082"/>
    <w:rsid w:val="005E2294"/>
    <w:rsid w:val="005E2320"/>
    <w:rsid w:val="005E238F"/>
    <w:rsid w:val="005E24DF"/>
    <w:rsid w:val="005E2541"/>
    <w:rsid w:val="005E2787"/>
    <w:rsid w:val="005E27AE"/>
    <w:rsid w:val="005E2980"/>
    <w:rsid w:val="005E2B7B"/>
    <w:rsid w:val="005E3299"/>
    <w:rsid w:val="005E3412"/>
    <w:rsid w:val="005E34F7"/>
    <w:rsid w:val="005E353C"/>
    <w:rsid w:val="005E3A01"/>
    <w:rsid w:val="005E3B0E"/>
    <w:rsid w:val="005E3CC9"/>
    <w:rsid w:val="005E3ED8"/>
    <w:rsid w:val="005E4031"/>
    <w:rsid w:val="005E4282"/>
    <w:rsid w:val="005E434E"/>
    <w:rsid w:val="005E47F4"/>
    <w:rsid w:val="005E481F"/>
    <w:rsid w:val="005E4F24"/>
    <w:rsid w:val="005E53D9"/>
    <w:rsid w:val="005E5522"/>
    <w:rsid w:val="005E55C4"/>
    <w:rsid w:val="005E5759"/>
    <w:rsid w:val="005E5958"/>
    <w:rsid w:val="005E59DF"/>
    <w:rsid w:val="005E5DBC"/>
    <w:rsid w:val="005E6DF3"/>
    <w:rsid w:val="005E7076"/>
    <w:rsid w:val="005E7719"/>
    <w:rsid w:val="005E78AE"/>
    <w:rsid w:val="005E7A76"/>
    <w:rsid w:val="005E7CA7"/>
    <w:rsid w:val="005E7F77"/>
    <w:rsid w:val="005F0340"/>
    <w:rsid w:val="005F08B8"/>
    <w:rsid w:val="005F0AF8"/>
    <w:rsid w:val="005F0B40"/>
    <w:rsid w:val="005F0C5C"/>
    <w:rsid w:val="005F0D72"/>
    <w:rsid w:val="005F0E26"/>
    <w:rsid w:val="005F21AB"/>
    <w:rsid w:val="005F264E"/>
    <w:rsid w:val="005F2C54"/>
    <w:rsid w:val="005F2EB1"/>
    <w:rsid w:val="005F38D3"/>
    <w:rsid w:val="005F3DAF"/>
    <w:rsid w:val="005F3E83"/>
    <w:rsid w:val="005F440F"/>
    <w:rsid w:val="005F4622"/>
    <w:rsid w:val="005F4C4A"/>
    <w:rsid w:val="005F4F0A"/>
    <w:rsid w:val="005F50F0"/>
    <w:rsid w:val="005F53E1"/>
    <w:rsid w:val="005F54BA"/>
    <w:rsid w:val="005F5975"/>
    <w:rsid w:val="005F5E6A"/>
    <w:rsid w:val="005F5F43"/>
    <w:rsid w:val="005F5F6D"/>
    <w:rsid w:val="005F60C8"/>
    <w:rsid w:val="005F6159"/>
    <w:rsid w:val="005F61AE"/>
    <w:rsid w:val="005F62C4"/>
    <w:rsid w:val="005F6359"/>
    <w:rsid w:val="005F661B"/>
    <w:rsid w:val="005F67F9"/>
    <w:rsid w:val="005F6B18"/>
    <w:rsid w:val="005F6BAA"/>
    <w:rsid w:val="005F6E5C"/>
    <w:rsid w:val="005F6ED4"/>
    <w:rsid w:val="005F7414"/>
    <w:rsid w:val="005F7601"/>
    <w:rsid w:val="005F7798"/>
    <w:rsid w:val="005F787D"/>
    <w:rsid w:val="005F7BAD"/>
    <w:rsid w:val="005F7FB4"/>
    <w:rsid w:val="00600126"/>
    <w:rsid w:val="006002E0"/>
    <w:rsid w:val="00600473"/>
    <w:rsid w:val="006005FF"/>
    <w:rsid w:val="006008A1"/>
    <w:rsid w:val="006008AD"/>
    <w:rsid w:val="00600A98"/>
    <w:rsid w:val="00600BB6"/>
    <w:rsid w:val="00600E66"/>
    <w:rsid w:val="00601509"/>
    <w:rsid w:val="0060152C"/>
    <w:rsid w:val="00601874"/>
    <w:rsid w:val="00601CD3"/>
    <w:rsid w:val="00601EA8"/>
    <w:rsid w:val="00602195"/>
    <w:rsid w:val="0060244C"/>
    <w:rsid w:val="00602739"/>
    <w:rsid w:val="00602AB5"/>
    <w:rsid w:val="00602D9B"/>
    <w:rsid w:val="00602E6D"/>
    <w:rsid w:val="0060305F"/>
    <w:rsid w:val="006030AA"/>
    <w:rsid w:val="00603229"/>
    <w:rsid w:val="0060331B"/>
    <w:rsid w:val="006040C9"/>
    <w:rsid w:val="00604615"/>
    <w:rsid w:val="00604ACB"/>
    <w:rsid w:val="00604B14"/>
    <w:rsid w:val="00604DD5"/>
    <w:rsid w:val="00604E0D"/>
    <w:rsid w:val="00605B7F"/>
    <w:rsid w:val="00606007"/>
    <w:rsid w:val="006060CF"/>
    <w:rsid w:val="00606266"/>
    <w:rsid w:val="00606294"/>
    <w:rsid w:val="006064E2"/>
    <w:rsid w:val="00606568"/>
    <w:rsid w:val="00606A82"/>
    <w:rsid w:val="00607178"/>
    <w:rsid w:val="00607333"/>
    <w:rsid w:val="0060755D"/>
    <w:rsid w:val="00607CC0"/>
    <w:rsid w:val="00607E2C"/>
    <w:rsid w:val="00607EEB"/>
    <w:rsid w:val="00610141"/>
    <w:rsid w:val="00610268"/>
    <w:rsid w:val="0061044D"/>
    <w:rsid w:val="00610518"/>
    <w:rsid w:val="00610AA6"/>
    <w:rsid w:val="00610E87"/>
    <w:rsid w:val="006111C7"/>
    <w:rsid w:val="006112BD"/>
    <w:rsid w:val="00611382"/>
    <w:rsid w:val="0061147A"/>
    <w:rsid w:val="00611624"/>
    <w:rsid w:val="00611759"/>
    <w:rsid w:val="006118D0"/>
    <w:rsid w:val="00611CD9"/>
    <w:rsid w:val="00612566"/>
    <w:rsid w:val="006129AC"/>
    <w:rsid w:val="00612DEF"/>
    <w:rsid w:val="00613122"/>
    <w:rsid w:val="00613340"/>
    <w:rsid w:val="006135A4"/>
    <w:rsid w:val="00613E0C"/>
    <w:rsid w:val="0061416F"/>
    <w:rsid w:val="00614206"/>
    <w:rsid w:val="006143EF"/>
    <w:rsid w:val="0061449E"/>
    <w:rsid w:val="0061473F"/>
    <w:rsid w:val="0061475C"/>
    <w:rsid w:val="00614A74"/>
    <w:rsid w:val="00614E30"/>
    <w:rsid w:val="00614FD8"/>
    <w:rsid w:val="0061525B"/>
    <w:rsid w:val="00615284"/>
    <w:rsid w:val="006154C0"/>
    <w:rsid w:val="006154C9"/>
    <w:rsid w:val="0061564A"/>
    <w:rsid w:val="00615658"/>
    <w:rsid w:val="00615758"/>
    <w:rsid w:val="006160BA"/>
    <w:rsid w:val="00616B7B"/>
    <w:rsid w:val="00616C26"/>
    <w:rsid w:val="00616C46"/>
    <w:rsid w:val="00616DFF"/>
    <w:rsid w:val="00617078"/>
    <w:rsid w:val="006175BB"/>
    <w:rsid w:val="006176A0"/>
    <w:rsid w:val="00617D8A"/>
    <w:rsid w:val="0062019F"/>
    <w:rsid w:val="006201DE"/>
    <w:rsid w:val="0062024E"/>
    <w:rsid w:val="0062046F"/>
    <w:rsid w:val="006210B4"/>
    <w:rsid w:val="00621669"/>
    <w:rsid w:val="00621696"/>
    <w:rsid w:val="00621C06"/>
    <w:rsid w:val="00622184"/>
    <w:rsid w:val="00622274"/>
    <w:rsid w:val="006224E4"/>
    <w:rsid w:val="0062281D"/>
    <w:rsid w:val="00622907"/>
    <w:rsid w:val="00622953"/>
    <w:rsid w:val="00622B4C"/>
    <w:rsid w:val="00623164"/>
    <w:rsid w:val="006233DB"/>
    <w:rsid w:val="00623A7F"/>
    <w:rsid w:val="00623BC4"/>
    <w:rsid w:val="00623DB6"/>
    <w:rsid w:val="00623DD8"/>
    <w:rsid w:val="00623DF7"/>
    <w:rsid w:val="00623EB6"/>
    <w:rsid w:val="00623FC3"/>
    <w:rsid w:val="00624D45"/>
    <w:rsid w:val="00625276"/>
    <w:rsid w:val="006252EC"/>
    <w:rsid w:val="0062543C"/>
    <w:rsid w:val="00625802"/>
    <w:rsid w:val="00625A16"/>
    <w:rsid w:val="00625CB5"/>
    <w:rsid w:val="00625D08"/>
    <w:rsid w:val="00625D3C"/>
    <w:rsid w:val="00625E0B"/>
    <w:rsid w:val="00626057"/>
    <w:rsid w:val="006261BF"/>
    <w:rsid w:val="006261D1"/>
    <w:rsid w:val="00626305"/>
    <w:rsid w:val="00626435"/>
    <w:rsid w:val="00626576"/>
    <w:rsid w:val="006269AD"/>
    <w:rsid w:val="00626DE3"/>
    <w:rsid w:val="00626EE8"/>
    <w:rsid w:val="006270F3"/>
    <w:rsid w:val="00627A9B"/>
    <w:rsid w:val="00630474"/>
    <w:rsid w:val="0063092B"/>
    <w:rsid w:val="00630D47"/>
    <w:rsid w:val="00631028"/>
    <w:rsid w:val="006312BE"/>
    <w:rsid w:val="00631493"/>
    <w:rsid w:val="00631CD8"/>
    <w:rsid w:val="0063209D"/>
    <w:rsid w:val="0063224C"/>
    <w:rsid w:val="00632C45"/>
    <w:rsid w:val="00632E96"/>
    <w:rsid w:val="00633041"/>
    <w:rsid w:val="006334E3"/>
    <w:rsid w:val="006337B2"/>
    <w:rsid w:val="00633A1D"/>
    <w:rsid w:val="00633B1C"/>
    <w:rsid w:val="00633F67"/>
    <w:rsid w:val="00633FDB"/>
    <w:rsid w:val="006340C6"/>
    <w:rsid w:val="006342B8"/>
    <w:rsid w:val="006343E1"/>
    <w:rsid w:val="006345F0"/>
    <w:rsid w:val="006349CA"/>
    <w:rsid w:val="00635021"/>
    <w:rsid w:val="00635027"/>
    <w:rsid w:val="00635135"/>
    <w:rsid w:val="0063515F"/>
    <w:rsid w:val="006351F7"/>
    <w:rsid w:val="00635877"/>
    <w:rsid w:val="006361B7"/>
    <w:rsid w:val="00636B33"/>
    <w:rsid w:val="00637086"/>
    <w:rsid w:val="006370F4"/>
    <w:rsid w:val="006378E0"/>
    <w:rsid w:val="006379C4"/>
    <w:rsid w:val="006379DC"/>
    <w:rsid w:val="00637A5C"/>
    <w:rsid w:val="00640317"/>
    <w:rsid w:val="006403F3"/>
    <w:rsid w:val="006404D9"/>
    <w:rsid w:val="006405CF"/>
    <w:rsid w:val="00640C6A"/>
    <w:rsid w:val="00640E0D"/>
    <w:rsid w:val="00641064"/>
    <w:rsid w:val="00641D49"/>
    <w:rsid w:val="00641F2C"/>
    <w:rsid w:val="0064269F"/>
    <w:rsid w:val="006427C7"/>
    <w:rsid w:val="00642B8C"/>
    <w:rsid w:val="00642C30"/>
    <w:rsid w:val="00642C70"/>
    <w:rsid w:val="00643615"/>
    <w:rsid w:val="00643BC9"/>
    <w:rsid w:val="00643E81"/>
    <w:rsid w:val="00643EFD"/>
    <w:rsid w:val="00644048"/>
    <w:rsid w:val="006445F8"/>
    <w:rsid w:val="006447B5"/>
    <w:rsid w:val="00644850"/>
    <w:rsid w:val="006449F9"/>
    <w:rsid w:val="00644FBD"/>
    <w:rsid w:val="0064517A"/>
    <w:rsid w:val="006454E7"/>
    <w:rsid w:val="0064561E"/>
    <w:rsid w:val="00645952"/>
    <w:rsid w:val="00645B21"/>
    <w:rsid w:val="00645F5D"/>
    <w:rsid w:val="0064637D"/>
    <w:rsid w:val="006464AC"/>
    <w:rsid w:val="0064653A"/>
    <w:rsid w:val="006467DF"/>
    <w:rsid w:val="00646990"/>
    <w:rsid w:val="006469F9"/>
    <w:rsid w:val="00646FA0"/>
    <w:rsid w:val="006471D0"/>
    <w:rsid w:val="00647272"/>
    <w:rsid w:val="00647B2E"/>
    <w:rsid w:val="00647B33"/>
    <w:rsid w:val="00650055"/>
    <w:rsid w:val="00650C55"/>
    <w:rsid w:val="00651098"/>
    <w:rsid w:val="006512C7"/>
    <w:rsid w:val="006515D8"/>
    <w:rsid w:val="00651719"/>
    <w:rsid w:val="006518FD"/>
    <w:rsid w:val="00651956"/>
    <w:rsid w:val="00651CC5"/>
    <w:rsid w:val="00651DEA"/>
    <w:rsid w:val="00651FC9"/>
    <w:rsid w:val="006521C5"/>
    <w:rsid w:val="0065335A"/>
    <w:rsid w:val="00653365"/>
    <w:rsid w:val="006534A7"/>
    <w:rsid w:val="00653786"/>
    <w:rsid w:val="00653981"/>
    <w:rsid w:val="006539DE"/>
    <w:rsid w:val="00653CC4"/>
    <w:rsid w:val="00653D48"/>
    <w:rsid w:val="00654181"/>
    <w:rsid w:val="00654378"/>
    <w:rsid w:val="00654489"/>
    <w:rsid w:val="00654621"/>
    <w:rsid w:val="00654676"/>
    <w:rsid w:val="0065478C"/>
    <w:rsid w:val="006547D0"/>
    <w:rsid w:val="00654806"/>
    <w:rsid w:val="00654BAA"/>
    <w:rsid w:val="00654E27"/>
    <w:rsid w:val="006550C9"/>
    <w:rsid w:val="00655252"/>
    <w:rsid w:val="00655545"/>
    <w:rsid w:val="00655598"/>
    <w:rsid w:val="00655A43"/>
    <w:rsid w:val="00655A4D"/>
    <w:rsid w:val="00655FE7"/>
    <w:rsid w:val="00656013"/>
    <w:rsid w:val="00656045"/>
    <w:rsid w:val="00656412"/>
    <w:rsid w:val="00657106"/>
    <w:rsid w:val="006575F7"/>
    <w:rsid w:val="0065768F"/>
    <w:rsid w:val="00657695"/>
    <w:rsid w:val="006576DB"/>
    <w:rsid w:val="00657777"/>
    <w:rsid w:val="006579CD"/>
    <w:rsid w:val="00657A60"/>
    <w:rsid w:val="00660367"/>
    <w:rsid w:val="00660465"/>
    <w:rsid w:val="00660AFC"/>
    <w:rsid w:val="00660BB8"/>
    <w:rsid w:val="00660BC6"/>
    <w:rsid w:val="00660CDB"/>
    <w:rsid w:val="00660E2F"/>
    <w:rsid w:val="00660FF8"/>
    <w:rsid w:val="00661027"/>
    <w:rsid w:val="006610AD"/>
    <w:rsid w:val="006620DD"/>
    <w:rsid w:val="00662742"/>
    <w:rsid w:val="00662779"/>
    <w:rsid w:val="006627CA"/>
    <w:rsid w:val="006628AB"/>
    <w:rsid w:val="00662906"/>
    <w:rsid w:val="00662B48"/>
    <w:rsid w:val="00662B9E"/>
    <w:rsid w:val="00662D0A"/>
    <w:rsid w:val="00662D8C"/>
    <w:rsid w:val="00662E1B"/>
    <w:rsid w:val="0066369E"/>
    <w:rsid w:val="00663C50"/>
    <w:rsid w:val="00663DCB"/>
    <w:rsid w:val="006645A2"/>
    <w:rsid w:val="006647ED"/>
    <w:rsid w:val="0066486D"/>
    <w:rsid w:val="0066492D"/>
    <w:rsid w:val="00664DEB"/>
    <w:rsid w:val="00664F2B"/>
    <w:rsid w:val="0066500B"/>
    <w:rsid w:val="00665133"/>
    <w:rsid w:val="0066520F"/>
    <w:rsid w:val="00665297"/>
    <w:rsid w:val="0066535D"/>
    <w:rsid w:val="00665C19"/>
    <w:rsid w:val="00665C82"/>
    <w:rsid w:val="00666180"/>
    <w:rsid w:val="00666219"/>
    <w:rsid w:val="0066658A"/>
    <w:rsid w:val="006666B6"/>
    <w:rsid w:val="006673EF"/>
    <w:rsid w:val="00667656"/>
    <w:rsid w:val="006677BD"/>
    <w:rsid w:val="0066795D"/>
    <w:rsid w:val="00667A5C"/>
    <w:rsid w:val="00667C7B"/>
    <w:rsid w:val="00667DEA"/>
    <w:rsid w:val="00667F78"/>
    <w:rsid w:val="00670226"/>
    <w:rsid w:val="0067023E"/>
    <w:rsid w:val="00670319"/>
    <w:rsid w:val="0067064E"/>
    <w:rsid w:val="006707BE"/>
    <w:rsid w:val="00670BA7"/>
    <w:rsid w:val="00670BAE"/>
    <w:rsid w:val="00671117"/>
    <w:rsid w:val="0067127F"/>
    <w:rsid w:val="0067130B"/>
    <w:rsid w:val="006713F4"/>
    <w:rsid w:val="006716E5"/>
    <w:rsid w:val="0067174B"/>
    <w:rsid w:val="00671954"/>
    <w:rsid w:val="00671A68"/>
    <w:rsid w:val="0067213E"/>
    <w:rsid w:val="006725D9"/>
    <w:rsid w:val="006726B7"/>
    <w:rsid w:val="0067293B"/>
    <w:rsid w:val="00672968"/>
    <w:rsid w:val="00672A47"/>
    <w:rsid w:val="00672C64"/>
    <w:rsid w:val="0067305C"/>
    <w:rsid w:val="0067311F"/>
    <w:rsid w:val="00673139"/>
    <w:rsid w:val="00673583"/>
    <w:rsid w:val="00673764"/>
    <w:rsid w:val="0067386D"/>
    <w:rsid w:val="00673A29"/>
    <w:rsid w:val="00673B1E"/>
    <w:rsid w:val="00673EC3"/>
    <w:rsid w:val="00674225"/>
    <w:rsid w:val="006742AC"/>
    <w:rsid w:val="006745CE"/>
    <w:rsid w:val="00674616"/>
    <w:rsid w:val="0067492B"/>
    <w:rsid w:val="00674B31"/>
    <w:rsid w:val="00674BC6"/>
    <w:rsid w:val="00675065"/>
    <w:rsid w:val="00676C66"/>
    <w:rsid w:val="00676F03"/>
    <w:rsid w:val="0067708C"/>
    <w:rsid w:val="00677E3B"/>
    <w:rsid w:val="00677E8C"/>
    <w:rsid w:val="00680600"/>
    <w:rsid w:val="006808EA"/>
    <w:rsid w:val="00680B3F"/>
    <w:rsid w:val="00680D7F"/>
    <w:rsid w:val="00680F32"/>
    <w:rsid w:val="006813EE"/>
    <w:rsid w:val="0068140D"/>
    <w:rsid w:val="00681D61"/>
    <w:rsid w:val="00681DB8"/>
    <w:rsid w:val="00681EFE"/>
    <w:rsid w:val="006823FB"/>
    <w:rsid w:val="00682522"/>
    <w:rsid w:val="006827B4"/>
    <w:rsid w:val="006827DD"/>
    <w:rsid w:val="0068296E"/>
    <w:rsid w:val="00682B1A"/>
    <w:rsid w:val="0068305A"/>
    <w:rsid w:val="0068348B"/>
    <w:rsid w:val="006834D0"/>
    <w:rsid w:val="006834E6"/>
    <w:rsid w:val="00683570"/>
    <w:rsid w:val="006835B1"/>
    <w:rsid w:val="0068361A"/>
    <w:rsid w:val="0068371D"/>
    <w:rsid w:val="00683A31"/>
    <w:rsid w:val="00683C30"/>
    <w:rsid w:val="00683DA2"/>
    <w:rsid w:val="00684088"/>
    <w:rsid w:val="006843EC"/>
    <w:rsid w:val="0068464A"/>
    <w:rsid w:val="00684CBC"/>
    <w:rsid w:val="006858BD"/>
    <w:rsid w:val="00685B40"/>
    <w:rsid w:val="00686209"/>
    <w:rsid w:val="006863EC"/>
    <w:rsid w:val="00686514"/>
    <w:rsid w:val="006867DA"/>
    <w:rsid w:val="00686DAE"/>
    <w:rsid w:val="006870EC"/>
    <w:rsid w:val="0068729D"/>
    <w:rsid w:val="006877A9"/>
    <w:rsid w:val="00687AAA"/>
    <w:rsid w:val="00687AC5"/>
    <w:rsid w:val="006902CB"/>
    <w:rsid w:val="0069034B"/>
    <w:rsid w:val="006908EA"/>
    <w:rsid w:val="00690DF8"/>
    <w:rsid w:val="00690EDF"/>
    <w:rsid w:val="00691258"/>
    <w:rsid w:val="00691471"/>
    <w:rsid w:val="006914E0"/>
    <w:rsid w:val="00691BDD"/>
    <w:rsid w:val="00691F6C"/>
    <w:rsid w:val="00692233"/>
    <w:rsid w:val="006927F0"/>
    <w:rsid w:val="006928AF"/>
    <w:rsid w:val="00692D39"/>
    <w:rsid w:val="00692E94"/>
    <w:rsid w:val="006933F1"/>
    <w:rsid w:val="00693472"/>
    <w:rsid w:val="006934F2"/>
    <w:rsid w:val="00693553"/>
    <w:rsid w:val="00693741"/>
    <w:rsid w:val="006938DF"/>
    <w:rsid w:val="006939D3"/>
    <w:rsid w:val="00693A5D"/>
    <w:rsid w:val="00694816"/>
    <w:rsid w:val="00694934"/>
    <w:rsid w:val="006949F1"/>
    <w:rsid w:val="00694B50"/>
    <w:rsid w:val="00695186"/>
    <w:rsid w:val="0069548E"/>
    <w:rsid w:val="006955EB"/>
    <w:rsid w:val="00695658"/>
    <w:rsid w:val="00695EDB"/>
    <w:rsid w:val="006966E8"/>
    <w:rsid w:val="006966F6"/>
    <w:rsid w:val="00696B7C"/>
    <w:rsid w:val="00696C89"/>
    <w:rsid w:val="00696D83"/>
    <w:rsid w:val="00696ECA"/>
    <w:rsid w:val="006970A3"/>
    <w:rsid w:val="006973B9"/>
    <w:rsid w:val="006973C1"/>
    <w:rsid w:val="00697481"/>
    <w:rsid w:val="006974A7"/>
    <w:rsid w:val="0069752B"/>
    <w:rsid w:val="00697642"/>
    <w:rsid w:val="0069797B"/>
    <w:rsid w:val="00697CE0"/>
    <w:rsid w:val="006A0653"/>
    <w:rsid w:val="006A09BA"/>
    <w:rsid w:val="006A0A13"/>
    <w:rsid w:val="006A0C54"/>
    <w:rsid w:val="006A13ED"/>
    <w:rsid w:val="006A1586"/>
    <w:rsid w:val="006A1880"/>
    <w:rsid w:val="006A1D71"/>
    <w:rsid w:val="006A229E"/>
    <w:rsid w:val="006A2AD3"/>
    <w:rsid w:val="006A2E1E"/>
    <w:rsid w:val="006A2F09"/>
    <w:rsid w:val="006A3021"/>
    <w:rsid w:val="006A313D"/>
    <w:rsid w:val="006A3422"/>
    <w:rsid w:val="006A39E0"/>
    <w:rsid w:val="006A3D87"/>
    <w:rsid w:val="006A4369"/>
    <w:rsid w:val="006A4F66"/>
    <w:rsid w:val="006A555F"/>
    <w:rsid w:val="006A57C3"/>
    <w:rsid w:val="006A57D8"/>
    <w:rsid w:val="006A5983"/>
    <w:rsid w:val="006A645B"/>
    <w:rsid w:val="006A65C1"/>
    <w:rsid w:val="006A66C9"/>
    <w:rsid w:val="006A67E1"/>
    <w:rsid w:val="006A6A5A"/>
    <w:rsid w:val="006A6E67"/>
    <w:rsid w:val="006B00DC"/>
    <w:rsid w:val="006B064B"/>
    <w:rsid w:val="006B0805"/>
    <w:rsid w:val="006B0A07"/>
    <w:rsid w:val="006B0CBC"/>
    <w:rsid w:val="006B110C"/>
    <w:rsid w:val="006B16C1"/>
    <w:rsid w:val="006B1804"/>
    <w:rsid w:val="006B1F09"/>
    <w:rsid w:val="006B1FD1"/>
    <w:rsid w:val="006B2073"/>
    <w:rsid w:val="006B21E7"/>
    <w:rsid w:val="006B2601"/>
    <w:rsid w:val="006B2777"/>
    <w:rsid w:val="006B2A5A"/>
    <w:rsid w:val="006B2CF2"/>
    <w:rsid w:val="006B324D"/>
    <w:rsid w:val="006B3584"/>
    <w:rsid w:val="006B3759"/>
    <w:rsid w:val="006B3966"/>
    <w:rsid w:val="006B3AD7"/>
    <w:rsid w:val="006B3C5C"/>
    <w:rsid w:val="006B3E76"/>
    <w:rsid w:val="006B441C"/>
    <w:rsid w:val="006B496B"/>
    <w:rsid w:val="006B4F37"/>
    <w:rsid w:val="006B52F3"/>
    <w:rsid w:val="006B53CD"/>
    <w:rsid w:val="006B56F5"/>
    <w:rsid w:val="006B5DCA"/>
    <w:rsid w:val="006B5E92"/>
    <w:rsid w:val="006B5F0D"/>
    <w:rsid w:val="006B5F9C"/>
    <w:rsid w:val="006B657E"/>
    <w:rsid w:val="006B6A11"/>
    <w:rsid w:val="006B6C23"/>
    <w:rsid w:val="006B6D03"/>
    <w:rsid w:val="006B6D1E"/>
    <w:rsid w:val="006B6F45"/>
    <w:rsid w:val="006B705E"/>
    <w:rsid w:val="006B711A"/>
    <w:rsid w:val="006B7614"/>
    <w:rsid w:val="006B7DE5"/>
    <w:rsid w:val="006B7E1A"/>
    <w:rsid w:val="006C00AB"/>
    <w:rsid w:val="006C01E2"/>
    <w:rsid w:val="006C07AA"/>
    <w:rsid w:val="006C07F8"/>
    <w:rsid w:val="006C0CAC"/>
    <w:rsid w:val="006C20DB"/>
    <w:rsid w:val="006C26CB"/>
    <w:rsid w:val="006C2E8D"/>
    <w:rsid w:val="006C2F2B"/>
    <w:rsid w:val="006C2F76"/>
    <w:rsid w:val="006C2F7B"/>
    <w:rsid w:val="006C305F"/>
    <w:rsid w:val="006C33E6"/>
    <w:rsid w:val="006C379E"/>
    <w:rsid w:val="006C384D"/>
    <w:rsid w:val="006C3C58"/>
    <w:rsid w:val="006C3EB0"/>
    <w:rsid w:val="006C3EB5"/>
    <w:rsid w:val="006C3F51"/>
    <w:rsid w:val="006C47F4"/>
    <w:rsid w:val="006C494B"/>
    <w:rsid w:val="006C49A1"/>
    <w:rsid w:val="006C49EC"/>
    <w:rsid w:val="006C4AE3"/>
    <w:rsid w:val="006C4B4E"/>
    <w:rsid w:val="006C4CBE"/>
    <w:rsid w:val="006C52AC"/>
    <w:rsid w:val="006C5816"/>
    <w:rsid w:val="006C5D72"/>
    <w:rsid w:val="006C5F96"/>
    <w:rsid w:val="006C6011"/>
    <w:rsid w:val="006C610C"/>
    <w:rsid w:val="006C668E"/>
    <w:rsid w:val="006C6B19"/>
    <w:rsid w:val="006C6D06"/>
    <w:rsid w:val="006C6FA1"/>
    <w:rsid w:val="006C714B"/>
    <w:rsid w:val="006C72CC"/>
    <w:rsid w:val="006C7473"/>
    <w:rsid w:val="006C7887"/>
    <w:rsid w:val="006C792C"/>
    <w:rsid w:val="006C7E5B"/>
    <w:rsid w:val="006D028E"/>
    <w:rsid w:val="006D02E8"/>
    <w:rsid w:val="006D051A"/>
    <w:rsid w:val="006D0531"/>
    <w:rsid w:val="006D1002"/>
    <w:rsid w:val="006D1350"/>
    <w:rsid w:val="006D1D8D"/>
    <w:rsid w:val="006D1DB6"/>
    <w:rsid w:val="006D2222"/>
    <w:rsid w:val="006D2293"/>
    <w:rsid w:val="006D2A02"/>
    <w:rsid w:val="006D2D11"/>
    <w:rsid w:val="006D2EF3"/>
    <w:rsid w:val="006D31CA"/>
    <w:rsid w:val="006D38A5"/>
    <w:rsid w:val="006D3988"/>
    <w:rsid w:val="006D39CF"/>
    <w:rsid w:val="006D3AB1"/>
    <w:rsid w:val="006D3DEA"/>
    <w:rsid w:val="006D41D2"/>
    <w:rsid w:val="006D452C"/>
    <w:rsid w:val="006D47BF"/>
    <w:rsid w:val="006D49B3"/>
    <w:rsid w:val="006D4E85"/>
    <w:rsid w:val="006D51D5"/>
    <w:rsid w:val="006D525E"/>
    <w:rsid w:val="006D5AAD"/>
    <w:rsid w:val="006D5D65"/>
    <w:rsid w:val="006D5F80"/>
    <w:rsid w:val="006D64B1"/>
    <w:rsid w:val="006D6872"/>
    <w:rsid w:val="006D6A33"/>
    <w:rsid w:val="006D6CC9"/>
    <w:rsid w:val="006D727D"/>
    <w:rsid w:val="006D7552"/>
    <w:rsid w:val="006D7B80"/>
    <w:rsid w:val="006E0750"/>
    <w:rsid w:val="006E07F3"/>
    <w:rsid w:val="006E081F"/>
    <w:rsid w:val="006E0837"/>
    <w:rsid w:val="006E08F9"/>
    <w:rsid w:val="006E139D"/>
    <w:rsid w:val="006E13E6"/>
    <w:rsid w:val="006E1553"/>
    <w:rsid w:val="006E171A"/>
    <w:rsid w:val="006E178E"/>
    <w:rsid w:val="006E1A10"/>
    <w:rsid w:val="006E1A57"/>
    <w:rsid w:val="006E1AB8"/>
    <w:rsid w:val="006E1EBF"/>
    <w:rsid w:val="006E210A"/>
    <w:rsid w:val="006E2295"/>
    <w:rsid w:val="006E2618"/>
    <w:rsid w:val="006E28B5"/>
    <w:rsid w:val="006E2B2C"/>
    <w:rsid w:val="006E2CBC"/>
    <w:rsid w:val="006E30A4"/>
    <w:rsid w:val="006E30E3"/>
    <w:rsid w:val="006E311B"/>
    <w:rsid w:val="006E379D"/>
    <w:rsid w:val="006E3CA7"/>
    <w:rsid w:val="006E3F8C"/>
    <w:rsid w:val="006E43F2"/>
    <w:rsid w:val="006E48DD"/>
    <w:rsid w:val="006E4C5E"/>
    <w:rsid w:val="006E4E0B"/>
    <w:rsid w:val="006E5436"/>
    <w:rsid w:val="006E55CE"/>
    <w:rsid w:val="006E5ADA"/>
    <w:rsid w:val="006E637B"/>
    <w:rsid w:val="006E6D29"/>
    <w:rsid w:val="006E6D44"/>
    <w:rsid w:val="006E713F"/>
    <w:rsid w:val="006E7157"/>
    <w:rsid w:val="006E732B"/>
    <w:rsid w:val="006E7639"/>
    <w:rsid w:val="006E77EB"/>
    <w:rsid w:val="006E7851"/>
    <w:rsid w:val="006E7A9D"/>
    <w:rsid w:val="006F01F4"/>
    <w:rsid w:val="006F0853"/>
    <w:rsid w:val="006F0CDE"/>
    <w:rsid w:val="006F0D68"/>
    <w:rsid w:val="006F0E8F"/>
    <w:rsid w:val="006F1145"/>
    <w:rsid w:val="006F1155"/>
    <w:rsid w:val="006F1575"/>
    <w:rsid w:val="006F1663"/>
    <w:rsid w:val="006F17CC"/>
    <w:rsid w:val="006F1D4A"/>
    <w:rsid w:val="006F282B"/>
    <w:rsid w:val="006F28D0"/>
    <w:rsid w:val="006F2DBD"/>
    <w:rsid w:val="006F2F63"/>
    <w:rsid w:val="006F2F93"/>
    <w:rsid w:val="006F3330"/>
    <w:rsid w:val="006F356D"/>
    <w:rsid w:val="006F3658"/>
    <w:rsid w:val="006F3D12"/>
    <w:rsid w:val="006F3DEA"/>
    <w:rsid w:val="006F43B8"/>
    <w:rsid w:val="006F44D7"/>
    <w:rsid w:val="006F44D9"/>
    <w:rsid w:val="006F45A8"/>
    <w:rsid w:val="006F4917"/>
    <w:rsid w:val="006F4DBF"/>
    <w:rsid w:val="006F5028"/>
    <w:rsid w:val="006F51F1"/>
    <w:rsid w:val="006F556C"/>
    <w:rsid w:val="006F556D"/>
    <w:rsid w:val="006F587D"/>
    <w:rsid w:val="006F59C7"/>
    <w:rsid w:val="006F5BEA"/>
    <w:rsid w:val="006F60B0"/>
    <w:rsid w:val="006F60E0"/>
    <w:rsid w:val="006F660A"/>
    <w:rsid w:val="006F6676"/>
    <w:rsid w:val="006F6870"/>
    <w:rsid w:val="006F6D49"/>
    <w:rsid w:val="006F7087"/>
    <w:rsid w:val="006F7369"/>
    <w:rsid w:val="006F7949"/>
    <w:rsid w:val="006F7E04"/>
    <w:rsid w:val="007001DB"/>
    <w:rsid w:val="00700840"/>
    <w:rsid w:val="007008FB"/>
    <w:rsid w:val="00700A5A"/>
    <w:rsid w:val="00700DF0"/>
    <w:rsid w:val="00700E79"/>
    <w:rsid w:val="007012A2"/>
    <w:rsid w:val="007013A1"/>
    <w:rsid w:val="007014EC"/>
    <w:rsid w:val="007016D5"/>
    <w:rsid w:val="0070199C"/>
    <w:rsid w:val="007019F2"/>
    <w:rsid w:val="00701A31"/>
    <w:rsid w:val="00701B20"/>
    <w:rsid w:val="00701D47"/>
    <w:rsid w:val="00701FBE"/>
    <w:rsid w:val="00702D72"/>
    <w:rsid w:val="00702F05"/>
    <w:rsid w:val="00702F70"/>
    <w:rsid w:val="007032D4"/>
    <w:rsid w:val="00703644"/>
    <w:rsid w:val="007036DB"/>
    <w:rsid w:val="007041A6"/>
    <w:rsid w:val="0070432E"/>
    <w:rsid w:val="00704439"/>
    <w:rsid w:val="0070449C"/>
    <w:rsid w:val="007045A6"/>
    <w:rsid w:val="007046D8"/>
    <w:rsid w:val="00705110"/>
    <w:rsid w:val="007056A7"/>
    <w:rsid w:val="00705910"/>
    <w:rsid w:val="00705AF5"/>
    <w:rsid w:val="00705EE8"/>
    <w:rsid w:val="00706197"/>
    <w:rsid w:val="0070629B"/>
    <w:rsid w:val="00706302"/>
    <w:rsid w:val="00707209"/>
    <w:rsid w:val="0070777D"/>
    <w:rsid w:val="00707EB6"/>
    <w:rsid w:val="0071001F"/>
    <w:rsid w:val="0071006F"/>
    <w:rsid w:val="007101A0"/>
    <w:rsid w:val="007103C5"/>
    <w:rsid w:val="0071041A"/>
    <w:rsid w:val="00710986"/>
    <w:rsid w:val="00710A46"/>
    <w:rsid w:val="007110FD"/>
    <w:rsid w:val="00711127"/>
    <w:rsid w:val="00711374"/>
    <w:rsid w:val="00711C9D"/>
    <w:rsid w:val="00711E3E"/>
    <w:rsid w:val="00711EC2"/>
    <w:rsid w:val="00711ED3"/>
    <w:rsid w:val="00711F2D"/>
    <w:rsid w:val="00712351"/>
    <w:rsid w:val="0071236A"/>
    <w:rsid w:val="007129A8"/>
    <w:rsid w:val="00712A11"/>
    <w:rsid w:val="00712A92"/>
    <w:rsid w:val="00712DAA"/>
    <w:rsid w:val="00712DDF"/>
    <w:rsid w:val="007130E5"/>
    <w:rsid w:val="00713262"/>
    <w:rsid w:val="00713567"/>
    <w:rsid w:val="00713983"/>
    <w:rsid w:val="00713B4D"/>
    <w:rsid w:val="00713E0C"/>
    <w:rsid w:val="00713F18"/>
    <w:rsid w:val="0071404A"/>
    <w:rsid w:val="00714051"/>
    <w:rsid w:val="007141AA"/>
    <w:rsid w:val="007142A6"/>
    <w:rsid w:val="007142CD"/>
    <w:rsid w:val="00714A56"/>
    <w:rsid w:val="00714B57"/>
    <w:rsid w:val="00714C23"/>
    <w:rsid w:val="00714DED"/>
    <w:rsid w:val="007150EE"/>
    <w:rsid w:val="0071551D"/>
    <w:rsid w:val="0071566F"/>
    <w:rsid w:val="0071578B"/>
    <w:rsid w:val="007157B8"/>
    <w:rsid w:val="007157CD"/>
    <w:rsid w:val="00715CC5"/>
    <w:rsid w:val="00715CE4"/>
    <w:rsid w:val="00715F45"/>
    <w:rsid w:val="00715F97"/>
    <w:rsid w:val="00715FFF"/>
    <w:rsid w:val="00716005"/>
    <w:rsid w:val="007163E5"/>
    <w:rsid w:val="0071645A"/>
    <w:rsid w:val="00716CF1"/>
    <w:rsid w:val="00716EB9"/>
    <w:rsid w:val="00716F09"/>
    <w:rsid w:val="007170ED"/>
    <w:rsid w:val="0071719A"/>
    <w:rsid w:val="007172A3"/>
    <w:rsid w:val="007178D4"/>
    <w:rsid w:val="00717E0E"/>
    <w:rsid w:val="00717ED2"/>
    <w:rsid w:val="0072040C"/>
    <w:rsid w:val="0072097F"/>
    <w:rsid w:val="00720A67"/>
    <w:rsid w:val="00720D03"/>
    <w:rsid w:val="00721255"/>
    <w:rsid w:val="007217EC"/>
    <w:rsid w:val="00721AA4"/>
    <w:rsid w:val="00721F79"/>
    <w:rsid w:val="00721FFC"/>
    <w:rsid w:val="00722011"/>
    <w:rsid w:val="007220B1"/>
    <w:rsid w:val="007223A5"/>
    <w:rsid w:val="0072265B"/>
    <w:rsid w:val="007226D7"/>
    <w:rsid w:val="00722790"/>
    <w:rsid w:val="00722E43"/>
    <w:rsid w:val="00723125"/>
    <w:rsid w:val="00723292"/>
    <w:rsid w:val="007233DB"/>
    <w:rsid w:val="00723821"/>
    <w:rsid w:val="00723DAD"/>
    <w:rsid w:val="0072406E"/>
    <w:rsid w:val="007243AC"/>
    <w:rsid w:val="00724589"/>
    <w:rsid w:val="0072462D"/>
    <w:rsid w:val="00724671"/>
    <w:rsid w:val="00724BF5"/>
    <w:rsid w:val="00724C1B"/>
    <w:rsid w:val="00724E51"/>
    <w:rsid w:val="00724E64"/>
    <w:rsid w:val="00725C73"/>
    <w:rsid w:val="007260B8"/>
    <w:rsid w:val="00726322"/>
    <w:rsid w:val="007264EC"/>
    <w:rsid w:val="00726570"/>
    <w:rsid w:val="007265EE"/>
    <w:rsid w:val="007266ED"/>
    <w:rsid w:val="00726D95"/>
    <w:rsid w:val="007270A6"/>
    <w:rsid w:val="00727134"/>
    <w:rsid w:val="00727787"/>
    <w:rsid w:val="007277E0"/>
    <w:rsid w:val="007278DC"/>
    <w:rsid w:val="00727C28"/>
    <w:rsid w:val="00730135"/>
    <w:rsid w:val="007301D6"/>
    <w:rsid w:val="00730739"/>
    <w:rsid w:val="007307C6"/>
    <w:rsid w:val="00730ECE"/>
    <w:rsid w:val="00731ECD"/>
    <w:rsid w:val="007328E5"/>
    <w:rsid w:val="00732B9F"/>
    <w:rsid w:val="00732E10"/>
    <w:rsid w:val="00733146"/>
    <w:rsid w:val="0073323C"/>
    <w:rsid w:val="00733998"/>
    <w:rsid w:val="00733D71"/>
    <w:rsid w:val="00733FC8"/>
    <w:rsid w:val="007347F3"/>
    <w:rsid w:val="00735225"/>
    <w:rsid w:val="00735AED"/>
    <w:rsid w:val="00735CBD"/>
    <w:rsid w:val="00735ED1"/>
    <w:rsid w:val="00735F9A"/>
    <w:rsid w:val="0073625D"/>
    <w:rsid w:val="007363F3"/>
    <w:rsid w:val="00736BC5"/>
    <w:rsid w:val="00736C06"/>
    <w:rsid w:val="00736C95"/>
    <w:rsid w:val="00736F55"/>
    <w:rsid w:val="007370EE"/>
    <w:rsid w:val="007373EA"/>
    <w:rsid w:val="00737431"/>
    <w:rsid w:val="00737AA2"/>
    <w:rsid w:val="00737B6F"/>
    <w:rsid w:val="00737B77"/>
    <w:rsid w:val="00737CB9"/>
    <w:rsid w:val="00737FD4"/>
    <w:rsid w:val="00740110"/>
    <w:rsid w:val="00740DD6"/>
    <w:rsid w:val="00741819"/>
    <w:rsid w:val="007421BB"/>
    <w:rsid w:val="00742304"/>
    <w:rsid w:val="00742360"/>
    <w:rsid w:val="0074250E"/>
    <w:rsid w:val="00742549"/>
    <w:rsid w:val="0074265E"/>
    <w:rsid w:val="00742F8D"/>
    <w:rsid w:val="00743B65"/>
    <w:rsid w:val="00744663"/>
    <w:rsid w:val="00744C5E"/>
    <w:rsid w:val="00744D8D"/>
    <w:rsid w:val="00744F71"/>
    <w:rsid w:val="0074507F"/>
    <w:rsid w:val="00745897"/>
    <w:rsid w:val="00745927"/>
    <w:rsid w:val="00745DDF"/>
    <w:rsid w:val="00746163"/>
    <w:rsid w:val="007464FA"/>
    <w:rsid w:val="00746C65"/>
    <w:rsid w:val="00746E56"/>
    <w:rsid w:val="007473D7"/>
    <w:rsid w:val="0074755D"/>
    <w:rsid w:val="0074755F"/>
    <w:rsid w:val="00747C21"/>
    <w:rsid w:val="00750228"/>
    <w:rsid w:val="007503F0"/>
    <w:rsid w:val="00750647"/>
    <w:rsid w:val="007506ED"/>
    <w:rsid w:val="00750774"/>
    <w:rsid w:val="00750837"/>
    <w:rsid w:val="007508B2"/>
    <w:rsid w:val="00750C3D"/>
    <w:rsid w:val="00750D3A"/>
    <w:rsid w:val="00751343"/>
    <w:rsid w:val="007517A2"/>
    <w:rsid w:val="0075194D"/>
    <w:rsid w:val="00751AA3"/>
    <w:rsid w:val="00751D3F"/>
    <w:rsid w:val="00751E94"/>
    <w:rsid w:val="00751EA3"/>
    <w:rsid w:val="00752497"/>
    <w:rsid w:val="007524FD"/>
    <w:rsid w:val="00752737"/>
    <w:rsid w:val="00752C44"/>
    <w:rsid w:val="00752E71"/>
    <w:rsid w:val="0075352C"/>
    <w:rsid w:val="00753554"/>
    <w:rsid w:val="00753863"/>
    <w:rsid w:val="007538CE"/>
    <w:rsid w:val="00753925"/>
    <w:rsid w:val="00753AA8"/>
    <w:rsid w:val="00753AF4"/>
    <w:rsid w:val="00753D3B"/>
    <w:rsid w:val="00754078"/>
    <w:rsid w:val="00754377"/>
    <w:rsid w:val="00754468"/>
    <w:rsid w:val="00754551"/>
    <w:rsid w:val="00754666"/>
    <w:rsid w:val="00754C05"/>
    <w:rsid w:val="00754C78"/>
    <w:rsid w:val="00754D44"/>
    <w:rsid w:val="00754E75"/>
    <w:rsid w:val="00754ECE"/>
    <w:rsid w:val="00754F9B"/>
    <w:rsid w:val="007550EA"/>
    <w:rsid w:val="0075533C"/>
    <w:rsid w:val="00755345"/>
    <w:rsid w:val="00755349"/>
    <w:rsid w:val="00755680"/>
    <w:rsid w:val="0075570C"/>
    <w:rsid w:val="00755B62"/>
    <w:rsid w:val="00755B8D"/>
    <w:rsid w:val="00755C72"/>
    <w:rsid w:val="00756018"/>
    <w:rsid w:val="0075634B"/>
    <w:rsid w:val="007568D5"/>
    <w:rsid w:val="00756931"/>
    <w:rsid w:val="00756A0B"/>
    <w:rsid w:val="00756B9C"/>
    <w:rsid w:val="00757424"/>
    <w:rsid w:val="00757636"/>
    <w:rsid w:val="0075777F"/>
    <w:rsid w:val="00757F33"/>
    <w:rsid w:val="00760180"/>
    <w:rsid w:val="00760258"/>
    <w:rsid w:val="00760275"/>
    <w:rsid w:val="0076048F"/>
    <w:rsid w:val="00760611"/>
    <w:rsid w:val="00760A41"/>
    <w:rsid w:val="00760D17"/>
    <w:rsid w:val="0076117F"/>
    <w:rsid w:val="007613A9"/>
    <w:rsid w:val="0076159D"/>
    <w:rsid w:val="007616D3"/>
    <w:rsid w:val="00761A1C"/>
    <w:rsid w:val="00761B75"/>
    <w:rsid w:val="00761C37"/>
    <w:rsid w:val="00761CA6"/>
    <w:rsid w:val="00761F63"/>
    <w:rsid w:val="00761FF7"/>
    <w:rsid w:val="007626EF"/>
    <w:rsid w:val="00762E2C"/>
    <w:rsid w:val="0076338F"/>
    <w:rsid w:val="0076352E"/>
    <w:rsid w:val="00763ADB"/>
    <w:rsid w:val="00763D75"/>
    <w:rsid w:val="00764F63"/>
    <w:rsid w:val="007650FA"/>
    <w:rsid w:val="00765569"/>
    <w:rsid w:val="007655B8"/>
    <w:rsid w:val="00765AFA"/>
    <w:rsid w:val="00765F06"/>
    <w:rsid w:val="0076604F"/>
    <w:rsid w:val="007660E0"/>
    <w:rsid w:val="00766A92"/>
    <w:rsid w:val="00766B72"/>
    <w:rsid w:val="00766D5E"/>
    <w:rsid w:val="00766FDA"/>
    <w:rsid w:val="00767313"/>
    <w:rsid w:val="00767324"/>
    <w:rsid w:val="0076747B"/>
    <w:rsid w:val="00767995"/>
    <w:rsid w:val="00767B74"/>
    <w:rsid w:val="0077017C"/>
    <w:rsid w:val="007703A3"/>
    <w:rsid w:val="00770895"/>
    <w:rsid w:val="007708B6"/>
    <w:rsid w:val="00770947"/>
    <w:rsid w:val="00770A19"/>
    <w:rsid w:val="007716F2"/>
    <w:rsid w:val="007718CA"/>
    <w:rsid w:val="007719E3"/>
    <w:rsid w:val="00771D40"/>
    <w:rsid w:val="007728C4"/>
    <w:rsid w:val="0077297C"/>
    <w:rsid w:val="00772B38"/>
    <w:rsid w:val="007734C9"/>
    <w:rsid w:val="00773ABB"/>
    <w:rsid w:val="00773BB0"/>
    <w:rsid w:val="00773CB1"/>
    <w:rsid w:val="00773D81"/>
    <w:rsid w:val="007740D5"/>
    <w:rsid w:val="0077411D"/>
    <w:rsid w:val="00774287"/>
    <w:rsid w:val="00774EB8"/>
    <w:rsid w:val="00775797"/>
    <w:rsid w:val="007757F0"/>
    <w:rsid w:val="00775B46"/>
    <w:rsid w:val="00775BFA"/>
    <w:rsid w:val="007760A8"/>
    <w:rsid w:val="007764CE"/>
    <w:rsid w:val="007766E5"/>
    <w:rsid w:val="00777000"/>
    <w:rsid w:val="007772FB"/>
    <w:rsid w:val="0077731D"/>
    <w:rsid w:val="007778B4"/>
    <w:rsid w:val="00777CBF"/>
    <w:rsid w:val="00780136"/>
    <w:rsid w:val="00780C97"/>
    <w:rsid w:val="00780DC7"/>
    <w:rsid w:val="00781411"/>
    <w:rsid w:val="007814F4"/>
    <w:rsid w:val="0078150B"/>
    <w:rsid w:val="00781CAE"/>
    <w:rsid w:val="007825CD"/>
    <w:rsid w:val="00782645"/>
    <w:rsid w:val="007829B5"/>
    <w:rsid w:val="00782A8E"/>
    <w:rsid w:val="00782B0E"/>
    <w:rsid w:val="00782FDB"/>
    <w:rsid w:val="0078370F"/>
    <w:rsid w:val="007838E6"/>
    <w:rsid w:val="00783FF2"/>
    <w:rsid w:val="00784143"/>
    <w:rsid w:val="00784185"/>
    <w:rsid w:val="00784354"/>
    <w:rsid w:val="007845BE"/>
    <w:rsid w:val="007847A0"/>
    <w:rsid w:val="007849D2"/>
    <w:rsid w:val="00785130"/>
    <w:rsid w:val="00785779"/>
    <w:rsid w:val="00785851"/>
    <w:rsid w:val="00785EB1"/>
    <w:rsid w:val="007860DC"/>
    <w:rsid w:val="0078621D"/>
    <w:rsid w:val="00786595"/>
    <w:rsid w:val="00786996"/>
    <w:rsid w:val="00786CE7"/>
    <w:rsid w:val="007871FD"/>
    <w:rsid w:val="00787883"/>
    <w:rsid w:val="00787E1D"/>
    <w:rsid w:val="00787F16"/>
    <w:rsid w:val="00787FC6"/>
    <w:rsid w:val="007903C6"/>
    <w:rsid w:val="00790406"/>
    <w:rsid w:val="00790C58"/>
    <w:rsid w:val="007913E7"/>
    <w:rsid w:val="00791AAF"/>
    <w:rsid w:val="00792011"/>
    <w:rsid w:val="007920B6"/>
    <w:rsid w:val="00792243"/>
    <w:rsid w:val="007928F2"/>
    <w:rsid w:val="0079296D"/>
    <w:rsid w:val="00792A7E"/>
    <w:rsid w:val="00792E32"/>
    <w:rsid w:val="00792F28"/>
    <w:rsid w:val="00793436"/>
    <w:rsid w:val="00793631"/>
    <w:rsid w:val="007937CC"/>
    <w:rsid w:val="00793979"/>
    <w:rsid w:val="007943EB"/>
    <w:rsid w:val="00794435"/>
    <w:rsid w:val="007945D0"/>
    <w:rsid w:val="007947C1"/>
    <w:rsid w:val="00794BC8"/>
    <w:rsid w:val="00794C0E"/>
    <w:rsid w:val="00794F06"/>
    <w:rsid w:val="00795651"/>
    <w:rsid w:val="007956CE"/>
    <w:rsid w:val="007956E9"/>
    <w:rsid w:val="007959F1"/>
    <w:rsid w:val="007967C0"/>
    <w:rsid w:val="00796A0D"/>
    <w:rsid w:val="00796E1C"/>
    <w:rsid w:val="00796FA4"/>
    <w:rsid w:val="007973C9"/>
    <w:rsid w:val="00797BA2"/>
    <w:rsid w:val="00797F22"/>
    <w:rsid w:val="00797FAA"/>
    <w:rsid w:val="007A05D1"/>
    <w:rsid w:val="007A0791"/>
    <w:rsid w:val="007A0970"/>
    <w:rsid w:val="007A0E3E"/>
    <w:rsid w:val="007A0EB1"/>
    <w:rsid w:val="007A0F38"/>
    <w:rsid w:val="007A141D"/>
    <w:rsid w:val="007A18D1"/>
    <w:rsid w:val="007A199C"/>
    <w:rsid w:val="007A1D4F"/>
    <w:rsid w:val="007A1E68"/>
    <w:rsid w:val="007A28E6"/>
    <w:rsid w:val="007A28ED"/>
    <w:rsid w:val="007A2BB4"/>
    <w:rsid w:val="007A2CEB"/>
    <w:rsid w:val="007A336F"/>
    <w:rsid w:val="007A33E7"/>
    <w:rsid w:val="007A365F"/>
    <w:rsid w:val="007A3C6B"/>
    <w:rsid w:val="007A4146"/>
    <w:rsid w:val="007A4526"/>
    <w:rsid w:val="007A4B12"/>
    <w:rsid w:val="007A4D70"/>
    <w:rsid w:val="007A52C1"/>
    <w:rsid w:val="007A5AF3"/>
    <w:rsid w:val="007A5C9D"/>
    <w:rsid w:val="007A5E88"/>
    <w:rsid w:val="007A6126"/>
    <w:rsid w:val="007A63CC"/>
    <w:rsid w:val="007A6A1D"/>
    <w:rsid w:val="007A6EAB"/>
    <w:rsid w:val="007A6F94"/>
    <w:rsid w:val="007A71CE"/>
    <w:rsid w:val="007A7249"/>
    <w:rsid w:val="007A7837"/>
    <w:rsid w:val="007A78CD"/>
    <w:rsid w:val="007A7C9B"/>
    <w:rsid w:val="007A7D41"/>
    <w:rsid w:val="007B018E"/>
    <w:rsid w:val="007B05F4"/>
    <w:rsid w:val="007B0748"/>
    <w:rsid w:val="007B0851"/>
    <w:rsid w:val="007B086D"/>
    <w:rsid w:val="007B096D"/>
    <w:rsid w:val="007B166F"/>
    <w:rsid w:val="007B198E"/>
    <w:rsid w:val="007B1A4A"/>
    <w:rsid w:val="007B2509"/>
    <w:rsid w:val="007B260B"/>
    <w:rsid w:val="007B263F"/>
    <w:rsid w:val="007B268A"/>
    <w:rsid w:val="007B2B95"/>
    <w:rsid w:val="007B2D77"/>
    <w:rsid w:val="007B2E9E"/>
    <w:rsid w:val="007B2EC9"/>
    <w:rsid w:val="007B30FA"/>
    <w:rsid w:val="007B32F0"/>
    <w:rsid w:val="007B3C38"/>
    <w:rsid w:val="007B3C9A"/>
    <w:rsid w:val="007B4526"/>
    <w:rsid w:val="007B49CB"/>
    <w:rsid w:val="007B4DDC"/>
    <w:rsid w:val="007B52D3"/>
    <w:rsid w:val="007B5625"/>
    <w:rsid w:val="007B56F1"/>
    <w:rsid w:val="007B5986"/>
    <w:rsid w:val="007B5D05"/>
    <w:rsid w:val="007B60EE"/>
    <w:rsid w:val="007B6356"/>
    <w:rsid w:val="007B642B"/>
    <w:rsid w:val="007B6609"/>
    <w:rsid w:val="007B6628"/>
    <w:rsid w:val="007B6684"/>
    <w:rsid w:val="007B6D04"/>
    <w:rsid w:val="007B6E03"/>
    <w:rsid w:val="007B710D"/>
    <w:rsid w:val="007B71CF"/>
    <w:rsid w:val="007B736B"/>
    <w:rsid w:val="007B7A72"/>
    <w:rsid w:val="007B7EAD"/>
    <w:rsid w:val="007C0473"/>
    <w:rsid w:val="007C0BD3"/>
    <w:rsid w:val="007C0F5D"/>
    <w:rsid w:val="007C0F9C"/>
    <w:rsid w:val="007C1049"/>
    <w:rsid w:val="007C1100"/>
    <w:rsid w:val="007C13B6"/>
    <w:rsid w:val="007C15AB"/>
    <w:rsid w:val="007C180A"/>
    <w:rsid w:val="007C1CAD"/>
    <w:rsid w:val="007C24A9"/>
    <w:rsid w:val="007C28F2"/>
    <w:rsid w:val="007C29CA"/>
    <w:rsid w:val="007C2A0B"/>
    <w:rsid w:val="007C2AB2"/>
    <w:rsid w:val="007C2D2F"/>
    <w:rsid w:val="007C2F9E"/>
    <w:rsid w:val="007C3167"/>
    <w:rsid w:val="007C342A"/>
    <w:rsid w:val="007C343C"/>
    <w:rsid w:val="007C3726"/>
    <w:rsid w:val="007C39D9"/>
    <w:rsid w:val="007C3A1F"/>
    <w:rsid w:val="007C3BE0"/>
    <w:rsid w:val="007C4675"/>
    <w:rsid w:val="007C4753"/>
    <w:rsid w:val="007C47AA"/>
    <w:rsid w:val="007C4AA5"/>
    <w:rsid w:val="007C4AB5"/>
    <w:rsid w:val="007C4B9C"/>
    <w:rsid w:val="007C4C96"/>
    <w:rsid w:val="007C4CAA"/>
    <w:rsid w:val="007C5386"/>
    <w:rsid w:val="007C5594"/>
    <w:rsid w:val="007C56A7"/>
    <w:rsid w:val="007C583D"/>
    <w:rsid w:val="007C58B8"/>
    <w:rsid w:val="007C5C75"/>
    <w:rsid w:val="007C5DE0"/>
    <w:rsid w:val="007C6210"/>
    <w:rsid w:val="007C6747"/>
    <w:rsid w:val="007C6BC0"/>
    <w:rsid w:val="007C6FE5"/>
    <w:rsid w:val="007C72AF"/>
    <w:rsid w:val="007C7C97"/>
    <w:rsid w:val="007D002D"/>
    <w:rsid w:val="007D03C7"/>
    <w:rsid w:val="007D090F"/>
    <w:rsid w:val="007D0B10"/>
    <w:rsid w:val="007D0BDE"/>
    <w:rsid w:val="007D0D8F"/>
    <w:rsid w:val="007D1062"/>
    <w:rsid w:val="007D12C0"/>
    <w:rsid w:val="007D18C5"/>
    <w:rsid w:val="007D1EDC"/>
    <w:rsid w:val="007D1FBC"/>
    <w:rsid w:val="007D20F4"/>
    <w:rsid w:val="007D22A0"/>
    <w:rsid w:val="007D2362"/>
    <w:rsid w:val="007D25E9"/>
    <w:rsid w:val="007D2863"/>
    <w:rsid w:val="007D2BA6"/>
    <w:rsid w:val="007D323B"/>
    <w:rsid w:val="007D34AB"/>
    <w:rsid w:val="007D34C8"/>
    <w:rsid w:val="007D3559"/>
    <w:rsid w:val="007D374F"/>
    <w:rsid w:val="007D39C9"/>
    <w:rsid w:val="007D3C1A"/>
    <w:rsid w:val="007D407C"/>
    <w:rsid w:val="007D421A"/>
    <w:rsid w:val="007D4973"/>
    <w:rsid w:val="007D4CBD"/>
    <w:rsid w:val="007D5108"/>
    <w:rsid w:val="007D5727"/>
    <w:rsid w:val="007D57DD"/>
    <w:rsid w:val="007D682E"/>
    <w:rsid w:val="007D69A9"/>
    <w:rsid w:val="007D72DB"/>
    <w:rsid w:val="007D742B"/>
    <w:rsid w:val="007D7817"/>
    <w:rsid w:val="007D7859"/>
    <w:rsid w:val="007D7C77"/>
    <w:rsid w:val="007E0224"/>
    <w:rsid w:val="007E04F6"/>
    <w:rsid w:val="007E08CE"/>
    <w:rsid w:val="007E09F8"/>
    <w:rsid w:val="007E1037"/>
    <w:rsid w:val="007E13AF"/>
    <w:rsid w:val="007E18EF"/>
    <w:rsid w:val="007E1AD8"/>
    <w:rsid w:val="007E1EEB"/>
    <w:rsid w:val="007E2081"/>
    <w:rsid w:val="007E21E1"/>
    <w:rsid w:val="007E21EB"/>
    <w:rsid w:val="007E246C"/>
    <w:rsid w:val="007E2765"/>
    <w:rsid w:val="007E2830"/>
    <w:rsid w:val="007E2DFD"/>
    <w:rsid w:val="007E31E5"/>
    <w:rsid w:val="007E388F"/>
    <w:rsid w:val="007E3911"/>
    <w:rsid w:val="007E3918"/>
    <w:rsid w:val="007E3C74"/>
    <w:rsid w:val="007E3EB0"/>
    <w:rsid w:val="007E40FB"/>
    <w:rsid w:val="007E41CD"/>
    <w:rsid w:val="007E41E8"/>
    <w:rsid w:val="007E44F2"/>
    <w:rsid w:val="007E4549"/>
    <w:rsid w:val="007E4944"/>
    <w:rsid w:val="007E4DB5"/>
    <w:rsid w:val="007E4F17"/>
    <w:rsid w:val="007E4FD8"/>
    <w:rsid w:val="007E51DB"/>
    <w:rsid w:val="007E5733"/>
    <w:rsid w:val="007E5B85"/>
    <w:rsid w:val="007E5C6D"/>
    <w:rsid w:val="007E5E8D"/>
    <w:rsid w:val="007E616A"/>
    <w:rsid w:val="007E63DA"/>
    <w:rsid w:val="007E6409"/>
    <w:rsid w:val="007E668A"/>
    <w:rsid w:val="007E67F4"/>
    <w:rsid w:val="007E6AE1"/>
    <w:rsid w:val="007E6C00"/>
    <w:rsid w:val="007E6C89"/>
    <w:rsid w:val="007E6DD5"/>
    <w:rsid w:val="007E6E3A"/>
    <w:rsid w:val="007E6EF2"/>
    <w:rsid w:val="007E7007"/>
    <w:rsid w:val="007E7142"/>
    <w:rsid w:val="007E7617"/>
    <w:rsid w:val="007E78CB"/>
    <w:rsid w:val="007E7EB0"/>
    <w:rsid w:val="007E7F4B"/>
    <w:rsid w:val="007F1133"/>
    <w:rsid w:val="007F118A"/>
    <w:rsid w:val="007F13FB"/>
    <w:rsid w:val="007F140F"/>
    <w:rsid w:val="007F1567"/>
    <w:rsid w:val="007F15F0"/>
    <w:rsid w:val="007F1A8B"/>
    <w:rsid w:val="007F1CC4"/>
    <w:rsid w:val="007F2191"/>
    <w:rsid w:val="007F250F"/>
    <w:rsid w:val="007F2DC8"/>
    <w:rsid w:val="007F3017"/>
    <w:rsid w:val="007F31C0"/>
    <w:rsid w:val="007F35DF"/>
    <w:rsid w:val="007F3A6A"/>
    <w:rsid w:val="007F3AA8"/>
    <w:rsid w:val="007F3BC3"/>
    <w:rsid w:val="007F4127"/>
    <w:rsid w:val="007F43AE"/>
    <w:rsid w:val="007F4ABC"/>
    <w:rsid w:val="007F4D8B"/>
    <w:rsid w:val="007F4F71"/>
    <w:rsid w:val="007F4F9D"/>
    <w:rsid w:val="007F51C6"/>
    <w:rsid w:val="007F53B6"/>
    <w:rsid w:val="007F5448"/>
    <w:rsid w:val="007F55F0"/>
    <w:rsid w:val="007F5AFA"/>
    <w:rsid w:val="007F5BB9"/>
    <w:rsid w:val="007F5DDD"/>
    <w:rsid w:val="007F5F1B"/>
    <w:rsid w:val="007F695F"/>
    <w:rsid w:val="007F69C7"/>
    <w:rsid w:val="007F6D0B"/>
    <w:rsid w:val="007F6DEA"/>
    <w:rsid w:val="007F73AB"/>
    <w:rsid w:val="007F78B8"/>
    <w:rsid w:val="007F7D2F"/>
    <w:rsid w:val="007F7ED1"/>
    <w:rsid w:val="007F7F9D"/>
    <w:rsid w:val="008003A6"/>
    <w:rsid w:val="008004FF"/>
    <w:rsid w:val="00800508"/>
    <w:rsid w:val="00800694"/>
    <w:rsid w:val="00800A12"/>
    <w:rsid w:val="00800B81"/>
    <w:rsid w:val="008015BB"/>
    <w:rsid w:val="008018AD"/>
    <w:rsid w:val="008018C2"/>
    <w:rsid w:val="00801930"/>
    <w:rsid w:val="008019F0"/>
    <w:rsid w:val="00801C04"/>
    <w:rsid w:val="00801ED8"/>
    <w:rsid w:val="008021DD"/>
    <w:rsid w:val="0080241D"/>
    <w:rsid w:val="0080274E"/>
    <w:rsid w:val="00802964"/>
    <w:rsid w:val="0080296A"/>
    <w:rsid w:val="00802DFB"/>
    <w:rsid w:val="00803319"/>
    <w:rsid w:val="00803412"/>
    <w:rsid w:val="008038F5"/>
    <w:rsid w:val="00803CBC"/>
    <w:rsid w:val="00804114"/>
    <w:rsid w:val="00804366"/>
    <w:rsid w:val="0080455C"/>
    <w:rsid w:val="00805631"/>
    <w:rsid w:val="00805664"/>
    <w:rsid w:val="00805C33"/>
    <w:rsid w:val="00805D8A"/>
    <w:rsid w:val="00805E24"/>
    <w:rsid w:val="008061EE"/>
    <w:rsid w:val="008063D3"/>
    <w:rsid w:val="00806531"/>
    <w:rsid w:val="00806554"/>
    <w:rsid w:val="00806567"/>
    <w:rsid w:val="008068BE"/>
    <w:rsid w:val="00807336"/>
    <w:rsid w:val="0080770F"/>
    <w:rsid w:val="00810463"/>
    <w:rsid w:val="008108BD"/>
    <w:rsid w:val="00810CA1"/>
    <w:rsid w:val="00810D5D"/>
    <w:rsid w:val="00810FE4"/>
    <w:rsid w:val="0081128F"/>
    <w:rsid w:val="008112E3"/>
    <w:rsid w:val="00811538"/>
    <w:rsid w:val="00811835"/>
    <w:rsid w:val="00811C95"/>
    <w:rsid w:val="008123A3"/>
    <w:rsid w:val="0081245F"/>
    <w:rsid w:val="008125C6"/>
    <w:rsid w:val="00812D85"/>
    <w:rsid w:val="00812ED4"/>
    <w:rsid w:val="00812EF7"/>
    <w:rsid w:val="00813148"/>
    <w:rsid w:val="008131A3"/>
    <w:rsid w:val="00813259"/>
    <w:rsid w:val="008134FF"/>
    <w:rsid w:val="008136C4"/>
    <w:rsid w:val="0081397E"/>
    <w:rsid w:val="00813AAA"/>
    <w:rsid w:val="00813AC2"/>
    <w:rsid w:val="00813D1F"/>
    <w:rsid w:val="008141A3"/>
    <w:rsid w:val="00814537"/>
    <w:rsid w:val="0081481F"/>
    <w:rsid w:val="00814A9A"/>
    <w:rsid w:val="00814ACA"/>
    <w:rsid w:val="00815777"/>
    <w:rsid w:val="0081586C"/>
    <w:rsid w:val="0081590F"/>
    <w:rsid w:val="00815AD4"/>
    <w:rsid w:val="00815C40"/>
    <w:rsid w:val="00816215"/>
    <w:rsid w:val="008162AC"/>
    <w:rsid w:val="008162B0"/>
    <w:rsid w:val="00816345"/>
    <w:rsid w:val="00816AAD"/>
    <w:rsid w:val="00816C13"/>
    <w:rsid w:val="0081713A"/>
    <w:rsid w:val="00817159"/>
    <w:rsid w:val="008177E8"/>
    <w:rsid w:val="00817EC2"/>
    <w:rsid w:val="0082019E"/>
    <w:rsid w:val="008201AA"/>
    <w:rsid w:val="00820474"/>
    <w:rsid w:val="008208C9"/>
    <w:rsid w:val="00820945"/>
    <w:rsid w:val="00820A11"/>
    <w:rsid w:val="00820C82"/>
    <w:rsid w:val="00820FC5"/>
    <w:rsid w:val="008213CF"/>
    <w:rsid w:val="008215DD"/>
    <w:rsid w:val="008219E7"/>
    <w:rsid w:val="00821A7B"/>
    <w:rsid w:val="00821F0C"/>
    <w:rsid w:val="008220A8"/>
    <w:rsid w:val="00822947"/>
    <w:rsid w:val="00822BCF"/>
    <w:rsid w:val="00822FCC"/>
    <w:rsid w:val="00823602"/>
    <w:rsid w:val="008237EA"/>
    <w:rsid w:val="00823935"/>
    <w:rsid w:val="008239A3"/>
    <w:rsid w:val="00824651"/>
    <w:rsid w:val="008248E5"/>
    <w:rsid w:val="00824939"/>
    <w:rsid w:val="00825177"/>
    <w:rsid w:val="008251FD"/>
    <w:rsid w:val="0082520A"/>
    <w:rsid w:val="00825A13"/>
    <w:rsid w:val="00825AE4"/>
    <w:rsid w:val="00825C5A"/>
    <w:rsid w:val="00825F4F"/>
    <w:rsid w:val="00825F65"/>
    <w:rsid w:val="0082603D"/>
    <w:rsid w:val="008263FC"/>
    <w:rsid w:val="008264A4"/>
    <w:rsid w:val="00826765"/>
    <w:rsid w:val="00826B9F"/>
    <w:rsid w:val="00826C05"/>
    <w:rsid w:val="00826F8E"/>
    <w:rsid w:val="008276FA"/>
    <w:rsid w:val="00827879"/>
    <w:rsid w:val="00827C40"/>
    <w:rsid w:val="00827FDF"/>
    <w:rsid w:val="00830255"/>
    <w:rsid w:val="0083025D"/>
    <w:rsid w:val="0083062F"/>
    <w:rsid w:val="00830C64"/>
    <w:rsid w:val="008313FF"/>
    <w:rsid w:val="008314BE"/>
    <w:rsid w:val="0083153A"/>
    <w:rsid w:val="00831647"/>
    <w:rsid w:val="00831F58"/>
    <w:rsid w:val="008322C8"/>
    <w:rsid w:val="008324B4"/>
    <w:rsid w:val="0083261B"/>
    <w:rsid w:val="00832B60"/>
    <w:rsid w:val="00832E5B"/>
    <w:rsid w:val="00833825"/>
    <w:rsid w:val="00833B08"/>
    <w:rsid w:val="00833DF5"/>
    <w:rsid w:val="00833E40"/>
    <w:rsid w:val="008340FE"/>
    <w:rsid w:val="00834637"/>
    <w:rsid w:val="00834787"/>
    <w:rsid w:val="00834819"/>
    <w:rsid w:val="0083499E"/>
    <w:rsid w:val="00834C4A"/>
    <w:rsid w:val="008353A2"/>
    <w:rsid w:val="008355C5"/>
    <w:rsid w:val="00835776"/>
    <w:rsid w:val="00835814"/>
    <w:rsid w:val="00835AF3"/>
    <w:rsid w:val="00835B09"/>
    <w:rsid w:val="00835D07"/>
    <w:rsid w:val="00835D2B"/>
    <w:rsid w:val="00836124"/>
    <w:rsid w:val="008365DD"/>
    <w:rsid w:val="00836AE2"/>
    <w:rsid w:val="00836B15"/>
    <w:rsid w:val="00836C82"/>
    <w:rsid w:val="00836C97"/>
    <w:rsid w:val="00836D3F"/>
    <w:rsid w:val="00836F4F"/>
    <w:rsid w:val="00836FB2"/>
    <w:rsid w:val="0083702C"/>
    <w:rsid w:val="00837335"/>
    <w:rsid w:val="00837435"/>
    <w:rsid w:val="00837AF2"/>
    <w:rsid w:val="00837D0B"/>
    <w:rsid w:val="00837DCD"/>
    <w:rsid w:val="00837FDE"/>
    <w:rsid w:val="008404A1"/>
    <w:rsid w:val="008408FB"/>
    <w:rsid w:val="00841142"/>
    <w:rsid w:val="00841212"/>
    <w:rsid w:val="00841830"/>
    <w:rsid w:val="00841B3B"/>
    <w:rsid w:val="00841CC9"/>
    <w:rsid w:val="008420E3"/>
    <w:rsid w:val="00842233"/>
    <w:rsid w:val="0084228C"/>
    <w:rsid w:val="008423DC"/>
    <w:rsid w:val="00842409"/>
    <w:rsid w:val="008424CB"/>
    <w:rsid w:val="00842AD1"/>
    <w:rsid w:val="00842B72"/>
    <w:rsid w:val="00842DDC"/>
    <w:rsid w:val="00842ECF"/>
    <w:rsid w:val="00842FBD"/>
    <w:rsid w:val="00843135"/>
    <w:rsid w:val="00843230"/>
    <w:rsid w:val="00843567"/>
    <w:rsid w:val="008435E8"/>
    <w:rsid w:val="0084381B"/>
    <w:rsid w:val="00843BB4"/>
    <w:rsid w:val="00844B4C"/>
    <w:rsid w:val="00844FBE"/>
    <w:rsid w:val="0084511D"/>
    <w:rsid w:val="008455FF"/>
    <w:rsid w:val="0084566C"/>
    <w:rsid w:val="008456CA"/>
    <w:rsid w:val="0084575E"/>
    <w:rsid w:val="0084620F"/>
    <w:rsid w:val="008462CF"/>
    <w:rsid w:val="008464CF"/>
    <w:rsid w:val="0084670A"/>
    <w:rsid w:val="0084671F"/>
    <w:rsid w:val="00846FC9"/>
    <w:rsid w:val="008472BA"/>
    <w:rsid w:val="0084799A"/>
    <w:rsid w:val="00847B8B"/>
    <w:rsid w:val="00847CF3"/>
    <w:rsid w:val="00847F6B"/>
    <w:rsid w:val="00847FC4"/>
    <w:rsid w:val="00850169"/>
    <w:rsid w:val="0085033B"/>
    <w:rsid w:val="0085034A"/>
    <w:rsid w:val="00850444"/>
    <w:rsid w:val="008504C3"/>
    <w:rsid w:val="00850727"/>
    <w:rsid w:val="00850A3E"/>
    <w:rsid w:val="00850E49"/>
    <w:rsid w:val="00850E4A"/>
    <w:rsid w:val="0085122D"/>
    <w:rsid w:val="008513BE"/>
    <w:rsid w:val="0085166C"/>
    <w:rsid w:val="008516F0"/>
    <w:rsid w:val="00851AC2"/>
    <w:rsid w:val="00852517"/>
    <w:rsid w:val="0085271A"/>
    <w:rsid w:val="00852727"/>
    <w:rsid w:val="00852865"/>
    <w:rsid w:val="00852B40"/>
    <w:rsid w:val="00852BC9"/>
    <w:rsid w:val="00852E0C"/>
    <w:rsid w:val="00852E61"/>
    <w:rsid w:val="00852F48"/>
    <w:rsid w:val="008537DE"/>
    <w:rsid w:val="008537E5"/>
    <w:rsid w:val="0085395B"/>
    <w:rsid w:val="00853A4C"/>
    <w:rsid w:val="00853D19"/>
    <w:rsid w:val="00853D24"/>
    <w:rsid w:val="00853EE6"/>
    <w:rsid w:val="0085400B"/>
    <w:rsid w:val="00854078"/>
    <w:rsid w:val="00854417"/>
    <w:rsid w:val="00854422"/>
    <w:rsid w:val="0085444B"/>
    <w:rsid w:val="0085454A"/>
    <w:rsid w:val="008547F7"/>
    <w:rsid w:val="008549E8"/>
    <w:rsid w:val="00854A6F"/>
    <w:rsid w:val="00854B18"/>
    <w:rsid w:val="00854FBD"/>
    <w:rsid w:val="0085546E"/>
    <w:rsid w:val="0085581D"/>
    <w:rsid w:val="00855A40"/>
    <w:rsid w:val="00855B4C"/>
    <w:rsid w:val="00855D0D"/>
    <w:rsid w:val="00855E83"/>
    <w:rsid w:val="008561C0"/>
    <w:rsid w:val="0085673A"/>
    <w:rsid w:val="008568B6"/>
    <w:rsid w:val="00856B3A"/>
    <w:rsid w:val="00856E5F"/>
    <w:rsid w:val="00856FC1"/>
    <w:rsid w:val="00856FE0"/>
    <w:rsid w:val="00857242"/>
    <w:rsid w:val="008577B8"/>
    <w:rsid w:val="00857808"/>
    <w:rsid w:val="00857835"/>
    <w:rsid w:val="00857F3F"/>
    <w:rsid w:val="00860253"/>
    <w:rsid w:val="008603D8"/>
    <w:rsid w:val="00860A7C"/>
    <w:rsid w:val="00860C07"/>
    <w:rsid w:val="00860C8C"/>
    <w:rsid w:val="00860D54"/>
    <w:rsid w:val="00861C38"/>
    <w:rsid w:val="00861CAA"/>
    <w:rsid w:val="00861F63"/>
    <w:rsid w:val="00861F7A"/>
    <w:rsid w:val="00862280"/>
    <w:rsid w:val="00862458"/>
    <w:rsid w:val="0086277A"/>
    <w:rsid w:val="008628A0"/>
    <w:rsid w:val="00862B18"/>
    <w:rsid w:val="0086311A"/>
    <w:rsid w:val="00863348"/>
    <w:rsid w:val="008636C4"/>
    <w:rsid w:val="00863758"/>
    <w:rsid w:val="00863839"/>
    <w:rsid w:val="008645D9"/>
    <w:rsid w:val="0086465F"/>
    <w:rsid w:val="0086469C"/>
    <w:rsid w:val="008646CB"/>
    <w:rsid w:val="0086476E"/>
    <w:rsid w:val="00864B55"/>
    <w:rsid w:val="00864BEA"/>
    <w:rsid w:val="008654FD"/>
    <w:rsid w:val="008655B5"/>
    <w:rsid w:val="00865691"/>
    <w:rsid w:val="00865735"/>
    <w:rsid w:val="008657E7"/>
    <w:rsid w:val="008658F0"/>
    <w:rsid w:val="00865C58"/>
    <w:rsid w:val="00865C7D"/>
    <w:rsid w:val="00865EBF"/>
    <w:rsid w:val="00866031"/>
    <w:rsid w:val="00866604"/>
    <w:rsid w:val="008667E0"/>
    <w:rsid w:val="008669F1"/>
    <w:rsid w:val="00866ECE"/>
    <w:rsid w:val="0086713A"/>
    <w:rsid w:val="008671E8"/>
    <w:rsid w:val="008672D2"/>
    <w:rsid w:val="008673CC"/>
    <w:rsid w:val="00867C3F"/>
    <w:rsid w:val="00867E31"/>
    <w:rsid w:val="0087013A"/>
    <w:rsid w:val="0087027B"/>
    <w:rsid w:val="008703A2"/>
    <w:rsid w:val="008707DB"/>
    <w:rsid w:val="00870B13"/>
    <w:rsid w:val="00870C8C"/>
    <w:rsid w:val="00871624"/>
    <w:rsid w:val="00871794"/>
    <w:rsid w:val="008717AA"/>
    <w:rsid w:val="00871C57"/>
    <w:rsid w:val="00872543"/>
    <w:rsid w:val="00872B53"/>
    <w:rsid w:val="00872C7D"/>
    <w:rsid w:val="00872CE9"/>
    <w:rsid w:val="00872DB5"/>
    <w:rsid w:val="00872FEA"/>
    <w:rsid w:val="00873040"/>
    <w:rsid w:val="008735F2"/>
    <w:rsid w:val="00873672"/>
    <w:rsid w:val="00873727"/>
    <w:rsid w:val="00873892"/>
    <w:rsid w:val="008738B1"/>
    <w:rsid w:val="00873D3E"/>
    <w:rsid w:val="008740AE"/>
    <w:rsid w:val="008742CC"/>
    <w:rsid w:val="00874867"/>
    <w:rsid w:val="00874AE7"/>
    <w:rsid w:val="00874B08"/>
    <w:rsid w:val="00874D31"/>
    <w:rsid w:val="00874E16"/>
    <w:rsid w:val="00874FEE"/>
    <w:rsid w:val="008755C9"/>
    <w:rsid w:val="008756DF"/>
    <w:rsid w:val="00875B12"/>
    <w:rsid w:val="00875E17"/>
    <w:rsid w:val="00875ECD"/>
    <w:rsid w:val="008760AF"/>
    <w:rsid w:val="00876500"/>
    <w:rsid w:val="00876A95"/>
    <w:rsid w:val="00876D63"/>
    <w:rsid w:val="00876E0F"/>
    <w:rsid w:val="00876FCC"/>
    <w:rsid w:val="00876FE2"/>
    <w:rsid w:val="00877014"/>
    <w:rsid w:val="008770A1"/>
    <w:rsid w:val="0087716E"/>
    <w:rsid w:val="00877400"/>
    <w:rsid w:val="00880023"/>
    <w:rsid w:val="0088018C"/>
    <w:rsid w:val="008805ED"/>
    <w:rsid w:val="0088085B"/>
    <w:rsid w:val="008809C7"/>
    <w:rsid w:val="008809E9"/>
    <w:rsid w:val="00880D6C"/>
    <w:rsid w:val="00880D86"/>
    <w:rsid w:val="0088104A"/>
    <w:rsid w:val="00881146"/>
    <w:rsid w:val="00881524"/>
    <w:rsid w:val="00881DE1"/>
    <w:rsid w:val="00881FEB"/>
    <w:rsid w:val="008822B3"/>
    <w:rsid w:val="008823A1"/>
    <w:rsid w:val="008825B7"/>
    <w:rsid w:val="008826E3"/>
    <w:rsid w:val="00882ACF"/>
    <w:rsid w:val="00883248"/>
    <w:rsid w:val="0088351C"/>
    <w:rsid w:val="00883638"/>
    <w:rsid w:val="00883831"/>
    <w:rsid w:val="0088391D"/>
    <w:rsid w:val="00883BD6"/>
    <w:rsid w:val="008847CB"/>
    <w:rsid w:val="00884878"/>
    <w:rsid w:val="00884AB7"/>
    <w:rsid w:val="00884BFB"/>
    <w:rsid w:val="00884D8B"/>
    <w:rsid w:val="008856D6"/>
    <w:rsid w:val="008858B2"/>
    <w:rsid w:val="00885C72"/>
    <w:rsid w:val="00885DD4"/>
    <w:rsid w:val="00886309"/>
    <w:rsid w:val="008866A9"/>
    <w:rsid w:val="008869DD"/>
    <w:rsid w:val="00886B03"/>
    <w:rsid w:val="00886B22"/>
    <w:rsid w:val="00886C8B"/>
    <w:rsid w:val="00886E1C"/>
    <w:rsid w:val="008870FE"/>
    <w:rsid w:val="008871B0"/>
    <w:rsid w:val="00887836"/>
    <w:rsid w:val="00887AA2"/>
    <w:rsid w:val="00887C5D"/>
    <w:rsid w:val="0089019E"/>
    <w:rsid w:val="0089082C"/>
    <w:rsid w:val="008908C2"/>
    <w:rsid w:val="00890BF9"/>
    <w:rsid w:val="00891669"/>
    <w:rsid w:val="00891825"/>
    <w:rsid w:val="008919A0"/>
    <w:rsid w:val="00891A19"/>
    <w:rsid w:val="00891ECC"/>
    <w:rsid w:val="00891FD7"/>
    <w:rsid w:val="00892446"/>
    <w:rsid w:val="00892673"/>
    <w:rsid w:val="008927D7"/>
    <w:rsid w:val="008929FC"/>
    <w:rsid w:val="00892A37"/>
    <w:rsid w:val="00892A84"/>
    <w:rsid w:val="00893028"/>
    <w:rsid w:val="00893029"/>
    <w:rsid w:val="008934C9"/>
    <w:rsid w:val="008935D4"/>
    <w:rsid w:val="0089367D"/>
    <w:rsid w:val="0089386B"/>
    <w:rsid w:val="00893914"/>
    <w:rsid w:val="00894214"/>
    <w:rsid w:val="008945E7"/>
    <w:rsid w:val="00894796"/>
    <w:rsid w:val="00894863"/>
    <w:rsid w:val="0089500F"/>
    <w:rsid w:val="008952D7"/>
    <w:rsid w:val="0089530A"/>
    <w:rsid w:val="00895541"/>
    <w:rsid w:val="00895AAB"/>
    <w:rsid w:val="00895DBF"/>
    <w:rsid w:val="00895EF2"/>
    <w:rsid w:val="00895FBA"/>
    <w:rsid w:val="008962D3"/>
    <w:rsid w:val="00896368"/>
    <w:rsid w:val="00896494"/>
    <w:rsid w:val="008966D1"/>
    <w:rsid w:val="00896842"/>
    <w:rsid w:val="00896A4B"/>
    <w:rsid w:val="008972D8"/>
    <w:rsid w:val="00897757"/>
    <w:rsid w:val="00897A36"/>
    <w:rsid w:val="00897B1C"/>
    <w:rsid w:val="00897C08"/>
    <w:rsid w:val="008A00C4"/>
    <w:rsid w:val="008A050C"/>
    <w:rsid w:val="008A05CF"/>
    <w:rsid w:val="008A096B"/>
    <w:rsid w:val="008A0A10"/>
    <w:rsid w:val="008A0A43"/>
    <w:rsid w:val="008A0B29"/>
    <w:rsid w:val="008A1586"/>
    <w:rsid w:val="008A180E"/>
    <w:rsid w:val="008A1905"/>
    <w:rsid w:val="008A1A93"/>
    <w:rsid w:val="008A1E6B"/>
    <w:rsid w:val="008A1F88"/>
    <w:rsid w:val="008A2284"/>
    <w:rsid w:val="008A2735"/>
    <w:rsid w:val="008A29D7"/>
    <w:rsid w:val="008A2CBD"/>
    <w:rsid w:val="008A2EA4"/>
    <w:rsid w:val="008A341C"/>
    <w:rsid w:val="008A357F"/>
    <w:rsid w:val="008A3627"/>
    <w:rsid w:val="008A3BE3"/>
    <w:rsid w:val="008A3CB1"/>
    <w:rsid w:val="008A44B4"/>
    <w:rsid w:val="008A4566"/>
    <w:rsid w:val="008A45D9"/>
    <w:rsid w:val="008A4D53"/>
    <w:rsid w:val="008A5249"/>
    <w:rsid w:val="008A53D2"/>
    <w:rsid w:val="008A545F"/>
    <w:rsid w:val="008A570F"/>
    <w:rsid w:val="008A58A4"/>
    <w:rsid w:val="008A5A64"/>
    <w:rsid w:val="008A5F9F"/>
    <w:rsid w:val="008A6441"/>
    <w:rsid w:val="008A6552"/>
    <w:rsid w:val="008A6A7B"/>
    <w:rsid w:val="008A6D2B"/>
    <w:rsid w:val="008A7371"/>
    <w:rsid w:val="008A7B5C"/>
    <w:rsid w:val="008A7F6E"/>
    <w:rsid w:val="008B0043"/>
    <w:rsid w:val="008B0350"/>
    <w:rsid w:val="008B0456"/>
    <w:rsid w:val="008B05AF"/>
    <w:rsid w:val="008B062A"/>
    <w:rsid w:val="008B06C2"/>
    <w:rsid w:val="008B0762"/>
    <w:rsid w:val="008B088F"/>
    <w:rsid w:val="008B09B7"/>
    <w:rsid w:val="008B0F39"/>
    <w:rsid w:val="008B142B"/>
    <w:rsid w:val="008B18CD"/>
    <w:rsid w:val="008B19A7"/>
    <w:rsid w:val="008B205D"/>
    <w:rsid w:val="008B2191"/>
    <w:rsid w:val="008B2475"/>
    <w:rsid w:val="008B2941"/>
    <w:rsid w:val="008B2C74"/>
    <w:rsid w:val="008B31FE"/>
    <w:rsid w:val="008B379E"/>
    <w:rsid w:val="008B38C4"/>
    <w:rsid w:val="008B3986"/>
    <w:rsid w:val="008B3B62"/>
    <w:rsid w:val="008B3EB2"/>
    <w:rsid w:val="008B3FFC"/>
    <w:rsid w:val="008B456C"/>
    <w:rsid w:val="008B45E8"/>
    <w:rsid w:val="008B4654"/>
    <w:rsid w:val="008B46F9"/>
    <w:rsid w:val="008B4B4B"/>
    <w:rsid w:val="008B4BE6"/>
    <w:rsid w:val="008B4C7B"/>
    <w:rsid w:val="008B4E89"/>
    <w:rsid w:val="008B5030"/>
    <w:rsid w:val="008B5123"/>
    <w:rsid w:val="008B5206"/>
    <w:rsid w:val="008B525A"/>
    <w:rsid w:val="008B5612"/>
    <w:rsid w:val="008B5C72"/>
    <w:rsid w:val="008B5CAC"/>
    <w:rsid w:val="008B6040"/>
    <w:rsid w:val="008B619F"/>
    <w:rsid w:val="008B635D"/>
    <w:rsid w:val="008B69F8"/>
    <w:rsid w:val="008B6A91"/>
    <w:rsid w:val="008B6AF2"/>
    <w:rsid w:val="008B6E36"/>
    <w:rsid w:val="008B75A2"/>
    <w:rsid w:val="008B7954"/>
    <w:rsid w:val="008C0199"/>
    <w:rsid w:val="008C0247"/>
    <w:rsid w:val="008C0765"/>
    <w:rsid w:val="008C0A68"/>
    <w:rsid w:val="008C0F79"/>
    <w:rsid w:val="008C1728"/>
    <w:rsid w:val="008C18B9"/>
    <w:rsid w:val="008C199F"/>
    <w:rsid w:val="008C1F53"/>
    <w:rsid w:val="008C2022"/>
    <w:rsid w:val="008C2041"/>
    <w:rsid w:val="008C21E1"/>
    <w:rsid w:val="008C22FC"/>
    <w:rsid w:val="008C2420"/>
    <w:rsid w:val="008C26B4"/>
    <w:rsid w:val="008C2710"/>
    <w:rsid w:val="008C2848"/>
    <w:rsid w:val="008C2BC5"/>
    <w:rsid w:val="008C2EA1"/>
    <w:rsid w:val="008C32E6"/>
    <w:rsid w:val="008C335B"/>
    <w:rsid w:val="008C33B8"/>
    <w:rsid w:val="008C3798"/>
    <w:rsid w:val="008C379F"/>
    <w:rsid w:val="008C3A7B"/>
    <w:rsid w:val="008C4A18"/>
    <w:rsid w:val="008C4D88"/>
    <w:rsid w:val="008C4E42"/>
    <w:rsid w:val="008C5053"/>
    <w:rsid w:val="008C5085"/>
    <w:rsid w:val="008C53D8"/>
    <w:rsid w:val="008C54AA"/>
    <w:rsid w:val="008C5564"/>
    <w:rsid w:val="008C5622"/>
    <w:rsid w:val="008C5936"/>
    <w:rsid w:val="008C5D35"/>
    <w:rsid w:val="008C5FB1"/>
    <w:rsid w:val="008C649E"/>
    <w:rsid w:val="008C678A"/>
    <w:rsid w:val="008C67DA"/>
    <w:rsid w:val="008C6C5B"/>
    <w:rsid w:val="008C6D2E"/>
    <w:rsid w:val="008C6DF6"/>
    <w:rsid w:val="008C71D2"/>
    <w:rsid w:val="008C729C"/>
    <w:rsid w:val="008C74BF"/>
    <w:rsid w:val="008C76AF"/>
    <w:rsid w:val="008C76CC"/>
    <w:rsid w:val="008C76FE"/>
    <w:rsid w:val="008C77DA"/>
    <w:rsid w:val="008C78BC"/>
    <w:rsid w:val="008C7BEC"/>
    <w:rsid w:val="008C7E9C"/>
    <w:rsid w:val="008C7FF9"/>
    <w:rsid w:val="008D0748"/>
    <w:rsid w:val="008D08F1"/>
    <w:rsid w:val="008D0D9C"/>
    <w:rsid w:val="008D1268"/>
    <w:rsid w:val="008D1357"/>
    <w:rsid w:val="008D13EE"/>
    <w:rsid w:val="008D1572"/>
    <w:rsid w:val="008D1731"/>
    <w:rsid w:val="008D187B"/>
    <w:rsid w:val="008D1A1B"/>
    <w:rsid w:val="008D1AF0"/>
    <w:rsid w:val="008D1B82"/>
    <w:rsid w:val="008D1DFA"/>
    <w:rsid w:val="008D2072"/>
    <w:rsid w:val="008D2279"/>
    <w:rsid w:val="008D2655"/>
    <w:rsid w:val="008D2D31"/>
    <w:rsid w:val="008D3004"/>
    <w:rsid w:val="008D3163"/>
    <w:rsid w:val="008D3510"/>
    <w:rsid w:val="008D37B9"/>
    <w:rsid w:val="008D3C6B"/>
    <w:rsid w:val="008D3DF1"/>
    <w:rsid w:val="008D4068"/>
    <w:rsid w:val="008D4421"/>
    <w:rsid w:val="008D46E7"/>
    <w:rsid w:val="008D4765"/>
    <w:rsid w:val="008D4B0C"/>
    <w:rsid w:val="008D4B23"/>
    <w:rsid w:val="008D4C28"/>
    <w:rsid w:val="008D4C51"/>
    <w:rsid w:val="008D4F94"/>
    <w:rsid w:val="008D50DC"/>
    <w:rsid w:val="008D52A6"/>
    <w:rsid w:val="008D532A"/>
    <w:rsid w:val="008D54B0"/>
    <w:rsid w:val="008D567E"/>
    <w:rsid w:val="008D5AA9"/>
    <w:rsid w:val="008D5DC8"/>
    <w:rsid w:val="008D5E53"/>
    <w:rsid w:val="008D61DA"/>
    <w:rsid w:val="008D621A"/>
    <w:rsid w:val="008D6251"/>
    <w:rsid w:val="008D6293"/>
    <w:rsid w:val="008D69A6"/>
    <w:rsid w:val="008D6B6C"/>
    <w:rsid w:val="008D6B6E"/>
    <w:rsid w:val="008D6C01"/>
    <w:rsid w:val="008D73B2"/>
    <w:rsid w:val="008D759A"/>
    <w:rsid w:val="008D78DE"/>
    <w:rsid w:val="008D79F6"/>
    <w:rsid w:val="008E0343"/>
    <w:rsid w:val="008E09BF"/>
    <w:rsid w:val="008E0ACC"/>
    <w:rsid w:val="008E0CB2"/>
    <w:rsid w:val="008E0D66"/>
    <w:rsid w:val="008E0D81"/>
    <w:rsid w:val="008E1188"/>
    <w:rsid w:val="008E138D"/>
    <w:rsid w:val="008E13BE"/>
    <w:rsid w:val="008E13DD"/>
    <w:rsid w:val="008E140D"/>
    <w:rsid w:val="008E1486"/>
    <w:rsid w:val="008E17F5"/>
    <w:rsid w:val="008E2121"/>
    <w:rsid w:val="008E22C1"/>
    <w:rsid w:val="008E258A"/>
    <w:rsid w:val="008E2596"/>
    <w:rsid w:val="008E27E6"/>
    <w:rsid w:val="008E29AD"/>
    <w:rsid w:val="008E2A53"/>
    <w:rsid w:val="008E2AB7"/>
    <w:rsid w:val="008E2B0F"/>
    <w:rsid w:val="008E2EC4"/>
    <w:rsid w:val="008E3330"/>
    <w:rsid w:val="008E34AC"/>
    <w:rsid w:val="008E36C5"/>
    <w:rsid w:val="008E3899"/>
    <w:rsid w:val="008E392D"/>
    <w:rsid w:val="008E3B86"/>
    <w:rsid w:val="008E3ED4"/>
    <w:rsid w:val="008E3F88"/>
    <w:rsid w:val="008E413A"/>
    <w:rsid w:val="008E4285"/>
    <w:rsid w:val="008E492A"/>
    <w:rsid w:val="008E4B5E"/>
    <w:rsid w:val="008E4F74"/>
    <w:rsid w:val="008E5283"/>
    <w:rsid w:val="008E5912"/>
    <w:rsid w:val="008E594B"/>
    <w:rsid w:val="008E5BF2"/>
    <w:rsid w:val="008E5CE3"/>
    <w:rsid w:val="008E61CD"/>
    <w:rsid w:val="008E647E"/>
    <w:rsid w:val="008E66B5"/>
    <w:rsid w:val="008E6EEB"/>
    <w:rsid w:val="008E7034"/>
    <w:rsid w:val="008E70A4"/>
    <w:rsid w:val="008E74C8"/>
    <w:rsid w:val="008E7510"/>
    <w:rsid w:val="008E7C06"/>
    <w:rsid w:val="008E7CCE"/>
    <w:rsid w:val="008E7CEF"/>
    <w:rsid w:val="008E7E17"/>
    <w:rsid w:val="008F0023"/>
    <w:rsid w:val="008F009A"/>
    <w:rsid w:val="008F02B7"/>
    <w:rsid w:val="008F034B"/>
    <w:rsid w:val="008F03E7"/>
    <w:rsid w:val="008F05EC"/>
    <w:rsid w:val="008F078F"/>
    <w:rsid w:val="008F08C5"/>
    <w:rsid w:val="008F0E2A"/>
    <w:rsid w:val="008F0F1C"/>
    <w:rsid w:val="008F0FD2"/>
    <w:rsid w:val="008F1068"/>
    <w:rsid w:val="008F10B3"/>
    <w:rsid w:val="008F11BB"/>
    <w:rsid w:val="008F12E9"/>
    <w:rsid w:val="008F14C2"/>
    <w:rsid w:val="008F1904"/>
    <w:rsid w:val="008F1CA2"/>
    <w:rsid w:val="008F1E8A"/>
    <w:rsid w:val="008F239C"/>
    <w:rsid w:val="008F286F"/>
    <w:rsid w:val="008F289B"/>
    <w:rsid w:val="008F2A33"/>
    <w:rsid w:val="008F2B1F"/>
    <w:rsid w:val="008F2EED"/>
    <w:rsid w:val="008F30D8"/>
    <w:rsid w:val="008F324D"/>
    <w:rsid w:val="008F337B"/>
    <w:rsid w:val="008F3440"/>
    <w:rsid w:val="008F3516"/>
    <w:rsid w:val="008F3B38"/>
    <w:rsid w:val="008F3E9F"/>
    <w:rsid w:val="008F3F29"/>
    <w:rsid w:val="008F3F2E"/>
    <w:rsid w:val="008F3F6A"/>
    <w:rsid w:val="008F42AD"/>
    <w:rsid w:val="008F490A"/>
    <w:rsid w:val="008F49C8"/>
    <w:rsid w:val="008F5818"/>
    <w:rsid w:val="008F5A52"/>
    <w:rsid w:val="008F66B1"/>
    <w:rsid w:val="008F6783"/>
    <w:rsid w:val="008F6959"/>
    <w:rsid w:val="008F6BF8"/>
    <w:rsid w:val="008F734B"/>
    <w:rsid w:val="008F75E3"/>
    <w:rsid w:val="008F7DA4"/>
    <w:rsid w:val="00900171"/>
    <w:rsid w:val="009003A5"/>
    <w:rsid w:val="009008FF"/>
    <w:rsid w:val="00900C0F"/>
    <w:rsid w:val="00900C3D"/>
    <w:rsid w:val="00900F96"/>
    <w:rsid w:val="0090160D"/>
    <w:rsid w:val="00901B78"/>
    <w:rsid w:val="00901C1E"/>
    <w:rsid w:val="00901CCB"/>
    <w:rsid w:val="00901CF0"/>
    <w:rsid w:val="0090230A"/>
    <w:rsid w:val="00902421"/>
    <w:rsid w:val="009024C1"/>
    <w:rsid w:val="009029F0"/>
    <w:rsid w:val="00903010"/>
    <w:rsid w:val="00903778"/>
    <w:rsid w:val="009039F7"/>
    <w:rsid w:val="00903E5E"/>
    <w:rsid w:val="00904257"/>
    <w:rsid w:val="00904522"/>
    <w:rsid w:val="009045AB"/>
    <w:rsid w:val="00904910"/>
    <w:rsid w:val="00904B28"/>
    <w:rsid w:val="00905247"/>
    <w:rsid w:val="0090589B"/>
    <w:rsid w:val="009058CD"/>
    <w:rsid w:val="00905F1A"/>
    <w:rsid w:val="009062A2"/>
    <w:rsid w:val="009064B6"/>
    <w:rsid w:val="00906831"/>
    <w:rsid w:val="00906A69"/>
    <w:rsid w:val="00906E8C"/>
    <w:rsid w:val="00906F15"/>
    <w:rsid w:val="00907633"/>
    <w:rsid w:val="00907D3E"/>
    <w:rsid w:val="00907D7F"/>
    <w:rsid w:val="00910190"/>
    <w:rsid w:val="00910542"/>
    <w:rsid w:val="0091149C"/>
    <w:rsid w:val="0091177B"/>
    <w:rsid w:val="00911A50"/>
    <w:rsid w:val="00911F1B"/>
    <w:rsid w:val="00912452"/>
    <w:rsid w:val="00912ACC"/>
    <w:rsid w:val="00912FD0"/>
    <w:rsid w:val="00913216"/>
    <w:rsid w:val="009133F7"/>
    <w:rsid w:val="00913514"/>
    <w:rsid w:val="0091358E"/>
    <w:rsid w:val="00913890"/>
    <w:rsid w:val="00913897"/>
    <w:rsid w:val="00913D1E"/>
    <w:rsid w:val="0091405A"/>
    <w:rsid w:val="009145A5"/>
    <w:rsid w:val="00914790"/>
    <w:rsid w:val="00914FC6"/>
    <w:rsid w:val="009150CB"/>
    <w:rsid w:val="009159BC"/>
    <w:rsid w:val="00915AA0"/>
    <w:rsid w:val="00915C75"/>
    <w:rsid w:val="00915CE5"/>
    <w:rsid w:val="00915DF0"/>
    <w:rsid w:val="0091619D"/>
    <w:rsid w:val="00916448"/>
    <w:rsid w:val="00916772"/>
    <w:rsid w:val="00917040"/>
    <w:rsid w:val="009171D5"/>
    <w:rsid w:val="00917284"/>
    <w:rsid w:val="0091745E"/>
    <w:rsid w:val="00917961"/>
    <w:rsid w:val="00917A10"/>
    <w:rsid w:val="00917DE0"/>
    <w:rsid w:val="00920287"/>
    <w:rsid w:val="00920514"/>
    <w:rsid w:val="00920824"/>
    <w:rsid w:val="00920A8B"/>
    <w:rsid w:val="00920AFA"/>
    <w:rsid w:val="00920D8A"/>
    <w:rsid w:val="009211CD"/>
    <w:rsid w:val="00921BF6"/>
    <w:rsid w:val="00921DC7"/>
    <w:rsid w:val="00921F3C"/>
    <w:rsid w:val="009222EC"/>
    <w:rsid w:val="0092245C"/>
    <w:rsid w:val="00922679"/>
    <w:rsid w:val="00922DE5"/>
    <w:rsid w:val="00923075"/>
    <w:rsid w:val="0092332E"/>
    <w:rsid w:val="0092336C"/>
    <w:rsid w:val="00923496"/>
    <w:rsid w:val="00923584"/>
    <w:rsid w:val="009236A0"/>
    <w:rsid w:val="00923960"/>
    <w:rsid w:val="00923F1D"/>
    <w:rsid w:val="00924218"/>
    <w:rsid w:val="00924980"/>
    <w:rsid w:val="00924B24"/>
    <w:rsid w:val="00924C07"/>
    <w:rsid w:val="00924C77"/>
    <w:rsid w:val="009253E2"/>
    <w:rsid w:val="00925756"/>
    <w:rsid w:val="00925827"/>
    <w:rsid w:val="009259ED"/>
    <w:rsid w:val="00925E7B"/>
    <w:rsid w:val="00926339"/>
    <w:rsid w:val="00926479"/>
    <w:rsid w:val="00926874"/>
    <w:rsid w:val="00926A10"/>
    <w:rsid w:val="00926AA5"/>
    <w:rsid w:val="00926B02"/>
    <w:rsid w:val="00926D40"/>
    <w:rsid w:val="00926EBD"/>
    <w:rsid w:val="00926F81"/>
    <w:rsid w:val="00926FCC"/>
    <w:rsid w:val="0092749F"/>
    <w:rsid w:val="00927572"/>
    <w:rsid w:val="0092764D"/>
    <w:rsid w:val="009276FF"/>
    <w:rsid w:val="00927725"/>
    <w:rsid w:val="00927A70"/>
    <w:rsid w:val="00927B7B"/>
    <w:rsid w:val="00927D39"/>
    <w:rsid w:val="009300C2"/>
    <w:rsid w:val="00930568"/>
    <w:rsid w:val="00930730"/>
    <w:rsid w:val="00930883"/>
    <w:rsid w:val="009308F2"/>
    <w:rsid w:val="00930A1E"/>
    <w:rsid w:val="00930CB3"/>
    <w:rsid w:val="00930F3B"/>
    <w:rsid w:val="00931237"/>
    <w:rsid w:val="009317AC"/>
    <w:rsid w:val="00931A00"/>
    <w:rsid w:val="00931CD0"/>
    <w:rsid w:val="0093207C"/>
    <w:rsid w:val="00932566"/>
    <w:rsid w:val="0093260F"/>
    <w:rsid w:val="009329B8"/>
    <w:rsid w:val="00932B9F"/>
    <w:rsid w:val="00932EE7"/>
    <w:rsid w:val="009334A1"/>
    <w:rsid w:val="00933BC4"/>
    <w:rsid w:val="00933F5F"/>
    <w:rsid w:val="009349D4"/>
    <w:rsid w:val="009354C9"/>
    <w:rsid w:val="00935CA7"/>
    <w:rsid w:val="00935ED2"/>
    <w:rsid w:val="00936564"/>
    <w:rsid w:val="00936F73"/>
    <w:rsid w:val="009372FB"/>
    <w:rsid w:val="00937D32"/>
    <w:rsid w:val="00937D77"/>
    <w:rsid w:val="00937D85"/>
    <w:rsid w:val="00937E0F"/>
    <w:rsid w:val="0094050B"/>
    <w:rsid w:val="009405A1"/>
    <w:rsid w:val="0094131E"/>
    <w:rsid w:val="009419F2"/>
    <w:rsid w:val="00942064"/>
    <w:rsid w:val="00942B0E"/>
    <w:rsid w:val="00942BDF"/>
    <w:rsid w:val="009430FB"/>
    <w:rsid w:val="0094312A"/>
    <w:rsid w:val="0094323C"/>
    <w:rsid w:val="00943422"/>
    <w:rsid w:val="009434C5"/>
    <w:rsid w:val="009435DF"/>
    <w:rsid w:val="009436B1"/>
    <w:rsid w:val="009436F2"/>
    <w:rsid w:val="0094398B"/>
    <w:rsid w:val="00943999"/>
    <w:rsid w:val="00944136"/>
    <w:rsid w:val="00944379"/>
    <w:rsid w:val="00944473"/>
    <w:rsid w:val="009444AE"/>
    <w:rsid w:val="0094453E"/>
    <w:rsid w:val="009447E2"/>
    <w:rsid w:val="009448B4"/>
    <w:rsid w:val="00944A79"/>
    <w:rsid w:val="00944F19"/>
    <w:rsid w:val="00945315"/>
    <w:rsid w:val="00945409"/>
    <w:rsid w:val="0094564C"/>
    <w:rsid w:val="009457B8"/>
    <w:rsid w:val="00945C85"/>
    <w:rsid w:val="00945FD1"/>
    <w:rsid w:val="009462AE"/>
    <w:rsid w:val="00946849"/>
    <w:rsid w:val="0094688A"/>
    <w:rsid w:val="009472FA"/>
    <w:rsid w:val="00947B1A"/>
    <w:rsid w:val="00947F00"/>
    <w:rsid w:val="009500FE"/>
    <w:rsid w:val="009501D4"/>
    <w:rsid w:val="00950340"/>
    <w:rsid w:val="009505CA"/>
    <w:rsid w:val="0095070E"/>
    <w:rsid w:val="009507C6"/>
    <w:rsid w:val="00950892"/>
    <w:rsid w:val="00950907"/>
    <w:rsid w:val="00950D3F"/>
    <w:rsid w:val="00950FA6"/>
    <w:rsid w:val="009519DB"/>
    <w:rsid w:val="00951A9C"/>
    <w:rsid w:val="00951AEE"/>
    <w:rsid w:val="00951B5B"/>
    <w:rsid w:val="0095201F"/>
    <w:rsid w:val="0095206C"/>
    <w:rsid w:val="00952140"/>
    <w:rsid w:val="00952218"/>
    <w:rsid w:val="00952245"/>
    <w:rsid w:val="0095272B"/>
    <w:rsid w:val="0095274E"/>
    <w:rsid w:val="009529AE"/>
    <w:rsid w:val="00952B69"/>
    <w:rsid w:val="0095322C"/>
    <w:rsid w:val="00953571"/>
    <w:rsid w:val="00953C1F"/>
    <w:rsid w:val="00953D08"/>
    <w:rsid w:val="00953D2B"/>
    <w:rsid w:val="00954541"/>
    <w:rsid w:val="0095462F"/>
    <w:rsid w:val="00954659"/>
    <w:rsid w:val="0095469A"/>
    <w:rsid w:val="009548B5"/>
    <w:rsid w:val="009548E6"/>
    <w:rsid w:val="00954D60"/>
    <w:rsid w:val="00954D65"/>
    <w:rsid w:val="00954F63"/>
    <w:rsid w:val="009550B7"/>
    <w:rsid w:val="0095590A"/>
    <w:rsid w:val="00955966"/>
    <w:rsid w:val="00955A27"/>
    <w:rsid w:val="00955A7F"/>
    <w:rsid w:val="00955BFF"/>
    <w:rsid w:val="00955C0A"/>
    <w:rsid w:val="00955EE3"/>
    <w:rsid w:val="00956276"/>
    <w:rsid w:val="009565B3"/>
    <w:rsid w:val="00956906"/>
    <w:rsid w:val="00956A68"/>
    <w:rsid w:val="00956E9D"/>
    <w:rsid w:val="00957077"/>
    <w:rsid w:val="00957296"/>
    <w:rsid w:val="0095752B"/>
    <w:rsid w:val="0095753D"/>
    <w:rsid w:val="0095777D"/>
    <w:rsid w:val="00957C48"/>
    <w:rsid w:val="00960147"/>
    <w:rsid w:val="009603C9"/>
    <w:rsid w:val="00960498"/>
    <w:rsid w:val="009610B6"/>
    <w:rsid w:val="00961739"/>
    <w:rsid w:val="00961B25"/>
    <w:rsid w:val="00962281"/>
    <w:rsid w:val="009622DC"/>
    <w:rsid w:val="009622E3"/>
    <w:rsid w:val="00962628"/>
    <w:rsid w:val="00962839"/>
    <w:rsid w:val="00962F20"/>
    <w:rsid w:val="0096301B"/>
    <w:rsid w:val="0096308F"/>
    <w:rsid w:val="0096331B"/>
    <w:rsid w:val="0096341C"/>
    <w:rsid w:val="0096354D"/>
    <w:rsid w:val="009636C3"/>
    <w:rsid w:val="009636F8"/>
    <w:rsid w:val="0096384B"/>
    <w:rsid w:val="00964605"/>
    <w:rsid w:val="00964CEA"/>
    <w:rsid w:val="00964E36"/>
    <w:rsid w:val="00964E58"/>
    <w:rsid w:val="00964F54"/>
    <w:rsid w:val="00965569"/>
    <w:rsid w:val="00965718"/>
    <w:rsid w:val="00965A69"/>
    <w:rsid w:val="00965ADA"/>
    <w:rsid w:val="00966060"/>
    <w:rsid w:val="0096622D"/>
    <w:rsid w:val="00966265"/>
    <w:rsid w:val="009662BE"/>
    <w:rsid w:val="009662FD"/>
    <w:rsid w:val="00966300"/>
    <w:rsid w:val="009668AE"/>
    <w:rsid w:val="00966BEF"/>
    <w:rsid w:val="00966E0B"/>
    <w:rsid w:val="00966F84"/>
    <w:rsid w:val="009670DA"/>
    <w:rsid w:val="00967168"/>
    <w:rsid w:val="0096735B"/>
    <w:rsid w:val="009674DF"/>
    <w:rsid w:val="009677DA"/>
    <w:rsid w:val="00967927"/>
    <w:rsid w:val="00967B2E"/>
    <w:rsid w:val="00967BD4"/>
    <w:rsid w:val="00967D70"/>
    <w:rsid w:val="00967DC6"/>
    <w:rsid w:val="00967E2E"/>
    <w:rsid w:val="009701EB"/>
    <w:rsid w:val="00970C92"/>
    <w:rsid w:val="00970E50"/>
    <w:rsid w:val="0097120D"/>
    <w:rsid w:val="0097178E"/>
    <w:rsid w:val="00971B0E"/>
    <w:rsid w:val="00971D6F"/>
    <w:rsid w:val="00972484"/>
    <w:rsid w:val="0097254A"/>
    <w:rsid w:val="00972967"/>
    <w:rsid w:val="00972C01"/>
    <w:rsid w:val="00972C3B"/>
    <w:rsid w:val="00972CA3"/>
    <w:rsid w:val="00972D41"/>
    <w:rsid w:val="00972F4F"/>
    <w:rsid w:val="0097324C"/>
    <w:rsid w:val="009732BC"/>
    <w:rsid w:val="009732E7"/>
    <w:rsid w:val="009735F6"/>
    <w:rsid w:val="00973615"/>
    <w:rsid w:val="00973735"/>
    <w:rsid w:val="00973B4B"/>
    <w:rsid w:val="00973B50"/>
    <w:rsid w:val="00974571"/>
    <w:rsid w:val="0097472F"/>
    <w:rsid w:val="00974EE3"/>
    <w:rsid w:val="009753DA"/>
    <w:rsid w:val="0097552E"/>
    <w:rsid w:val="0097565E"/>
    <w:rsid w:val="00975C7D"/>
    <w:rsid w:val="009766E8"/>
    <w:rsid w:val="00976B18"/>
    <w:rsid w:val="00976F20"/>
    <w:rsid w:val="00977112"/>
    <w:rsid w:val="009771BA"/>
    <w:rsid w:val="009774B3"/>
    <w:rsid w:val="0097765A"/>
    <w:rsid w:val="00977AB4"/>
    <w:rsid w:val="00977BA3"/>
    <w:rsid w:val="009800C7"/>
    <w:rsid w:val="00980110"/>
    <w:rsid w:val="00980651"/>
    <w:rsid w:val="00980B2C"/>
    <w:rsid w:val="00980E93"/>
    <w:rsid w:val="009812FE"/>
    <w:rsid w:val="009816D0"/>
    <w:rsid w:val="00981DF7"/>
    <w:rsid w:val="009824D3"/>
    <w:rsid w:val="0098250F"/>
    <w:rsid w:val="00982762"/>
    <w:rsid w:val="00982A12"/>
    <w:rsid w:val="00982CFD"/>
    <w:rsid w:val="00982EF5"/>
    <w:rsid w:val="00982F52"/>
    <w:rsid w:val="009830BA"/>
    <w:rsid w:val="009832CC"/>
    <w:rsid w:val="0098351F"/>
    <w:rsid w:val="009835E3"/>
    <w:rsid w:val="0098369A"/>
    <w:rsid w:val="00983708"/>
    <w:rsid w:val="00983772"/>
    <w:rsid w:val="009839F6"/>
    <w:rsid w:val="00983BFA"/>
    <w:rsid w:val="00983ED5"/>
    <w:rsid w:val="00983EDC"/>
    <w:rsid w:val="00983FF6"/>
    <w:rsid w:val="00984027"/>
    <w:rsid w:val="0098439A"/>
    <w:rsid w:val="00984653"/>
    <w:rsid w:val="009846C0"/>
    <w:rsid w:val="00984E35"/>
    <w:rsid w:val="00985054"/>
    <w:rsid w:val="009852B8"/>
    <w:rsid w:val="00985302"/>
    <w:rsid w:val="00985D87"/>
    <w:rsid w:val="00985EFF"/>
    <w:rsid w:val="00986703"/>
    <w:rsid w:val="00986A5C"/>
    <w:rsid w:val="00986C06"/>
    <w:rsid w:val="00986DC9"/>
    <w:rsid w:val="00987038"/>
    <w:rsid w:val="00987779"/>
    <w:rsid w:val="0098779A"/>
    <w:rsid w:val="00987E17"/>
    <w:rsid w:val="00987E7E"/>
    <w:rsid w:val="00987F08"/>
    <w:rsid w:val="00990136"/>
    <w:rsid w:val="00990373"/>
    <w:rsid w:val="009903B8"/>
    <w:rsid w:val="0099087B"/>
    <w:rsid w:val="00990A40"/>
    <w:rsid w:val="00990B4D"/>
    <w:rsid w:val="00990D51"/>
    <w:rsid w:val="00990EF3"/>
    <w:rsid w:val="00991424"/>
    <w:rsid w:val="00991608"/>
    <w:rsid w:val="00991618"/>
    <w:rsid w:val="00991714"/>
    <w:rsid w:val="00991730"/>
    <w:rsid w:val="00991D58"/>
    <w:rsid w:val="00991FC1"/>
    <w:rsid w:val="009924EA"/>
    <w:rsid w:val="0099252D"/>
    <w:rsid w:val="009925C6"/>
    <w:rsid w:val="00992BF3"/>
    <w:rsid w:val="00993438"/>
    <w:rsid w:val="00993BD8"/>
    <w:rsid w:val="00993FBB"/>
    <w:rsid w:val="0099409C"/>
    <w:rsid w:val="00994163"/>
    <w:rsid w:val="009942A2"/>
    <w:rsid w:val="00994475"/>
    <w:rsid w:val="00994684"/>
    <w:rsid w:val="0099468C"/>
    <w:rsid w:val="00994839"/>
    <w:rsid w:val="00994937"/>
    <w:rsid w:val="00994B7F"/>
    <w:rsid w:val="00994CB9"/>
    <w:rsid w:val="00995BE6"/>
    <w:rsid w:val="00995EA0"/>
    <w:rsid w:val="009963F4"/>
    <w:rsid w:val="009964CE"/>
    <w:rsid w:val="00996A42"/>
    <w:rsid w:val="00996B41"/>
    <w:rsid w:val="00996B52"/>
    <w:rsid w:val="009974B0"/>
    <w:rsid w:val="009974F4"/>
    <w:rsid w:val="00997573"/>
    <w:rsid w:val="0099792B"/>
    <w:rsid w:val="0099799B"/>
    <w:rsid w:val="00997CCD"/>
    <w:rsid w:val="00997F7F"/>
    <w:rsid w:val="00997FB1"/>
    <w:rsid w:val="009A0801"/>
    <w:rsid w:val="009A0BEC"/>
    <w:rsid w:val="009A12D1"/>
    <w:rsid w:val="009A16B2"/>
    <w:rsid w:val="009A16BD"/>
    <w:rsid w:val="009A1970"/>
    <w:rsid w:val="009A19E9"/>
    <w:rsid w:val="009A1CBF"/>
    <w:rsid w:val="009A230B"/>
    <w:rsid w:val="009A248A"/>
    <w:rsid w:val="009A2717"/>
    <w:rsid w:val="009A27A6"/>
    <w:rsid w:val="009A2969"/>
    <w:rsid w:val="009A29A2"/>
    <w:rsid w:val="009A2AD5"/>
    <w:rsid w:val="009A3136"/>
    <w:rsid w:val="009A323D"/>
    <w:rsid w:val="009A35E7"/>
    <w:rsid w:val="009A375F"/>
    <w:rsid w:val="009A3B35"/>
    <w:rsid w:val="009A3BF0"/>
    <w:rsid w:val="009A3CEF"/>
    <w:rsid w:val="009A432D"/>
    <w:rsid w:val="009A4587"/>
    <w:rsid w:val="009A4970"/>
    <w:rsid w:val="009A4DFC"/>
    <w:rsid w:val="009A4E58"/>
    <w:rsid w:val="009A4F80"/>
    <w:rsid w:val="009A53AF"/>
    <w:rsid w:val="009A53D2"/>
    <w:rsid w:val="009A565F"/>
    <w:rsid w:val="009A57D2"/>
    <w:rsid w:val="009A58C0"/>
    <w:rsid w:val="009A59ED"/>
    <w:rsid w:val="009A5BDD"/>
    <w:rsid w:val="009A5CF5"/>
    <w:rsid w:val="009A62BE"/>
    <w:rsid w:val="009A644D"/>
    <w:rsid w:val="009A662C"/>
    <w:rsid w:val="009A6650"/>
    <w:rsid w:val="009A675B"/>
    <w:rsid w:val="009A7075"/>
    <w:rsid w:val="009A7271"/>
    <w:rsid w:val="009A72BE"/>
    <w:rsid w:val="009A7674"/>
    <w:rsid w:val="009A7853"/>
    <w:rsid w:val="009A7B6D"/>
    <w:rsid w:val="009A7F10"/>
    <w:rsid w:val="009B03A2"/>
    <w:rsid w:val="009B0727"/>
    <w:rsid w:val="009B07E2"/>
    <w:rsid w:val="009B0F89"/>
    <w:rsid w:val="009B100A"/>
    <w:rsid w:val="009B119F"/>
    <w:rsid w:val="009B12B9"/>
    <w:rsid w:val="009B1351"/>
    <w:rsid w:val="009B16FA"/>
    <w:rsid w:val="009B1A0E"/>
    <w:rsid w:val="009B1EB8"/>
    <w:rsid w:val="009B1FF9"/>
    <w:rsid w:val="009B2972"/>
    <w:rsid w:val="009B315E"/>
    <w:rsid w:val="009B3243"/>
    <w:rsid w:val="009B3271"/>
    <w:rsid w:val="009B361E"/>
    <w:rsid w:val="009B3744"/>
    <w:rsid w:val="009B39B9"/>
    <w:rsid w:val="009B3A4A"/>
    <w:rsid w:val="009B4541"/>
    <w:rsid w:val="009B455F"/>
    <w:rsid w:val="009B484B"/>
    <w:rsid w:val="009B51AE"/>
    <w:rsid w:val="009B5A6D"/>
    <w:rsid w:val="009B5B3E"/>
    <w:rsid w:val="009B5DDC"/>
    <w:rsid w:val="009B5F07"/>
    <w:rsid w:val="009B600E"/>
    <w:rsid w:val="009B612D"/>
    <w:rsid w:val="009B6562"/>
    <w:rsid w:val="009B656C"/>
    <w:rsid w:val="009B6CC0"/>
    <w:rsid w:val="009B6F61"/>
    <w:rsid w:val="009B70C6"/>
    <w:rsid w:val="009B71D9"/>
    <w:rsid w:val="009B76C5"/>
    <w:rsid w:val="009B78DA"/>
    <w:rsid w:val="009B7B0C"/>
    <w:rsid w:val="009B7B86"/>
    <w:rsid w:val="009C0198"/>
    <w:rsid w:val="009C020C"/>
    <w:rsid w:val="009C0659"/>
    <w:rsid w:val="009C07EC"/>
    <w:rsid w:val="009C0934"/>
    <w:rsid w:val="009C094D"/>
    <w:rsid w:val="009C134B"/>
    <w:rsid w:val="009C135C"/>
    <w:rsid w:val="009C16C6"/>
    <w:rsid w:val="009C17E6"/>
    <w:rsid w:val="009C1921"/>
    <w:rsid w:val="009C1BA2"/>
    <w:rsid w:val="009C1CC7"/>
    <w:rsid w:val="009C2209"/>
    <w:rsid w:val="009C235D"/>
    <w:rsid w:val="009C2718"/>
    <w:rsid w:val="009C275F"/>
    <w:rsid w:val="009C2D92"/>
    <w:rsid w:val="009C327A"/>
    <w:rsid w:val="009C42AA"/>
    <w:rsid w:val="009C4A24"/>
    <w:rsid w:val="009C4B02"/>
    <w:rsid w:val="009C4D50"/>
    <w:rsid w:val="009C560E"/>
    <w:rsid w:val="009C578C"/>
    <w:rsid w:val="009C58B2"/>
    <w:rsid w:val="009C59AE"/>
    <w:rsid w:val="009C5A8F"/>
    <w:rsid w:val="009C6086"/>
    <w:rsid w:val="009C60C3"/>
    <w:rsid w:val="009C6171"/>
    <w:rsid w:val="009C6281"/>
    <w:rsid w:val="009C62F4"/>
    <w:rsid w:val="009C6405"/>
    <w:rsid w:val="009C643D"/>
    <w:rsid w:val="009C6C1E"/>
    <w:rsid w:val="009C6E7E"/>
    <w:rsid w:val="009C7618"/>
    <w:rsid w:val="009C774B"/>
    <w:rsid w:val="009C7E62"/>
    <w:rsid w:val="009D01A1"/>
    <w:rsid w:val="009D02A5"/>
    <w:rsid w:val="009D07EB"/>
    <w:rsid w:val="009D07FE"/>
    <w:rsid w:val="009D0AA9"/>
    <w:rsid w:val="009D0B40"/>
    <w:rsid w:val="009D0C48"/>
    <w:rsid w:val="009D11A4"/>
    <w:rsid w:val="009D1261"/>
    <w:rsid w:val="009D1829"/>
    <w:rsid w:val="009D1BB1"/>
    <w:rsid w:val="009D1C09"/>
    <w:rsid w:val="009D2088"/>
    <w:rsid w:val="009D24D9"/>
    <w:rsid w:val="009D2727"/>
    <w:rsid w:val="009D2D2D"/>
    <w:rsid w:val="009D2D79"/>
    <w:rsid w:val="009D2E61"/>
    <w:rsid w:val="009D2F00"/>
    <w:rsid w:val="009D3069"/>
    <w:rsid w:val="009D30BB"/>
    <w:rsid w:val="009D312D"/>
    <w:rsid w:val="009D3152"/>
    <w:rsid w:val="009D36F8"/>
    <w:rsid w:val="009D375B"/>
    <w:rsid w:val="009D3778"/>
    <w:rsid w:val="009D383B"/>
    <w:rsid w:val="009D39E3"/>
    <w:rsid w:val="009D3BF5"/>
    <w:rsid w:val="009D4521"/>
    <w:rsid w:val="009D4960"/>
    <w:rsid w:val="009D49FE"/>
    <w:rsid w:val="009D4C9C"/>
    <w:rsid w:val="009D4CD2"/>
    <w:rsid w:val="009D54FE"/>
    <w:rsid w:val="009D567A"/>
    <w:rsid w:val="009D56D0"/>
    <w:rsid w:val="009D60D1"/>
    <w:rsid w:val="009D6964"/>
    <w:rsid w:val="009D6BB6"/>
    <w:rsid w:val="009D6D2F"/>
    <w:rsid w:val="009D716E"/>
    <w:rsid w:val="009D748E"/>
    <w:rsid w:val="009D7649"/>
    <w:rsid w:val="009D7741"/>
    <w:rsid w:val="009D776E"/>
    <w:rsid w:val="009D7CE2"/>
    <w:rsid w:val="009D7F58"/>
    <w:rsid w:val="009D7FD2"/>
    <w:rsid w:val="009E022B"/>
    <w:rsid w:val="009E03AC"/>
    <w:rsid w:val="009E04C0"/>
    <w:rsid w:val="009E0CAE"/>
    <w:rsid w:val="009E0EC4"/>
    <w:rsid w:val="009E129E"/>
    <w:rsid w:val="009E1526"/>
    <w:rsid w:val="009E159F"/>
    <w:rsid w:val="009E184F"/>
    <w:rsid w:val="009E2213"/>
    <w:rsid w:val="009E22CC"/>
    <w:rsid w:val="009E2369"/>
    <w:rsid w:val="009E26AF"/>
    <w:rsid w:val="009E293E"/>
    <w:rsid w:val="009E2A8A"/>
    <w:rsid w:val="009E2A93"/>
    <w:rsid w:val="009E2C0A"/>
    <w:rsid w:val="009E2E65"/>
    <w:rsid w:val="009E35DB"/>
    <w:rsid w:val="009E365F"/>
    <w:rsid w:val="009E3784"/>
    <w:rsid w:val="009E3835"/>
    <w:rsid w:val="009E38BE"/>
    <w:rsid w:val="009E3952"/>
    <w:rsid w:val="009E3C96"/>
    <w:rsid w:val="009E3C9D"/>
    <w:rsid w:val="009E470F"/>
    <w:rsid w:val="009E4846"/>
    <w:rsid w:val="009E4D1B"/>
    <w:rsid w:val="009E4D7F"/>
    <w:rsid w:val="009E4F25"/>
    <w:rsid w:val="009E5793"/>
    <w:rsid w:val="009E57B7"/>
    <w:rsid w:val="009E6E40"/>
    <w:rsid w:val="009E6FEA"/>
    <w:rsid w:val="009E7141"/>
    <w:rsid w:val="009E7174"/>
    <w:rsid w:val="009E72D0"/>
    <w:rsid w:val="009E72ED"/>
    <w:rsid w:val="009E7742"/>
    <w:rsid w:val="009E7A8D"/>
    <w:rsid w:val="009F049B"/>
    <w:rsid w:val="009F07BF"/>
    <w:rsid w:val="009F14BC"/>
    <w:rsid w:val="009F14F6"/>
    <w:rsid w:val="009F1874"/>
    <w:rsid w:val="009F21FD"/>
    <w:rsid w:val="009F264D"/>
    <w:rsid w:val="009F282E"/>
    <w:rsid w:val="009F2BE1"/>
    <w:rsid w:val="009F2C1E"/>
    <w:rsid w:val="009F2CFD"/>
    <w:rsid w:val="009F3160"/>
    <w:rsid w:val="009F375F"/>
    <w:rsid w:val="009F3941"/>
    <w:rsid w:val="009F3F2B"/>
    <w:rsid w:val="009F3FA9"/>
    <w:rsid w:val="009F3FE6"/>
    <w:rsid w:val="009F4297"/>
    <w:rsid w:val="009F44E3"/>
    <w:rsid w:val="009F4E2D"/>
    <w:rsid w:val="009F4F82"/>
    <w:rsid w:val="009F5984"/>
    <w:rsid w:val="009F5A90"/>
    <w:rsid w:val="009F61CF"/>
    <w:rsid w:val="009F6574"/>
    <w:rsid w:val="009F697D"/>
    <w:rsid w:val="009F6A6B"/>
    <w:rsid w:val="009F6EC3"/>
    <w:rsid w:val="009F75FF"/>
    <w:rsid w:val="009F7908"/>
    <w:rsid w:val="009F79DF"/>
    <w:rsid w:val="009F7A53"/>
    <w:rsid w:val="009F7BFB"/>
    <w:rsid w:val="009F7DB7"/>
    <w:rsid w:val="009F7E09"/>
    <w:rsid w:val="00A00281"/>
    <w:rsid w:val="00A0029B"/>
    <w:rsid w:val="00A00368"/>
    <w:rsid w:val="00A008BE"/>
    <w:rsid w:val="00A00CAC"/>
    <w:rsid w:val="00A00F49"/>
    <w:rsid w:val="00A01509"/>
    <w:rsid w:val="00A01529"/>
    <w:rsid w:val="00A0170A"/>
    <w:rsid w:val="00A01CC4"/>
    <w:rsid w:val="00A0201A"/>
    <w:rsid w:val="00A028F9"/>
    <w:rsid w:val="00A02987"/>
    <w:rsid w:val="00A02AB8"/>
    <w:rsid w:val="00A02BD8"/>
    <w:rsid w:val="00A03147"/>
    <w:rsid w:val="00A03F8C"/>
    <w:rsid w:val="00A0427E"/>
    <w:rsid w:val="00A0435F"/>
    <w:rsid w:val="00A0490F"/>
    <w:rsid w:val="00A04947"/>
    <w:rsid w:val="00A04DD7"/>
    <w:rsid w:val="00A04FE6"/>
    <w:rsid w:val="00A050DE"/>
    <w:rsid w:val="00A051A3"/>
    <w:rsid w:val="00A05451"/>
    <w:rsid w:val="00A0597B"/>
    <w:rsid w:val="00A06319"/>
    <w:rsid w:val="00A067E2"/>
    <w:rsid w:val="00A06BA1"/>
    <w:rsid w:val="00A07418"/>
    <w:rsid w:val="00A0748C"/>
    <w:rsid w:val="00A0790C"/>
    <w:rsid w:val="00A07B38"/>
    <w:rsid w:val="00A07B40"/>
    <w:rsid w:val="00A07C07"/>
    <w:rsid w:val="00A07CB0"/>
    <w:rsid w:val="00A07E91"/>
    <w:rsid w:val="00A10096"/>
    <w:rsid w:val="00A10620"/>
    <w:rsid w:val="00A11394"/>
    <w:rsid w:val="00A1193C"/>
    <w:rsid w:val="00A11E97"/>
    <w:rsid w:val="00A1205B"/>
    <w:rsid w:val="00A120E8"/>
    <w:rsid w:val="00A12340"/>
    <w:rsid w:val="00A127CC"/>
    <w:rsid w:val="00A12B43"/>
    <w:rsid w:val="00A12BB7"/>
    <w:rsid w:val="00A12C02"/>
    <w:rsid w:val="00A12C9A"/>
    <w:rsid w:val="00A13DA1"/>
    <w:rsid w:val="00A13EDE"/>
    <w:rsid w:val="00A14051"/>
    <w:rsid w:val="00A141D1"/>
    <w:rsid w:val="00A142F7"/>
    <w:rsid w:val="00A14721"/>
    <w:rsid w:val="00A14782"/>
    <w:rsid w:val="00A14792"/>
    <w:rsid w:val="00A1487F"/>
    <w:rsid w:val="00A14B65"/>
    <w:rsid w:val="00A14CEC"/>
    <w:rsid w:val="00A15179"/>
    <w:rsid w:val="00A1530E"/>
    <w:rsid w:val="00A156FB"/>
    <w:rsid w:val="00A15D54"/>
    <w:rsid w:val="00A15ECA"/>
    <w:rsid w:val="00A16048"/>
    <w:rsid w:val="00A16127"/>
    <w:rsid w:val="00A16B17"/>
    <w:rsid w:val="00A16DBC"/>
    <w:rsid w:val="00A170DC"/>
    <w:rsid w:val="00A17432"/>
    <w:rsid w:val="00A176D0"/>
    <w:rsid w:val="00A17774"/>
    <w:rsid w:val="00A17CF7"/>
    <w:rsid w:val="00A17D3D"/>
    <w:rsid w:val="00A17EBB"/>
    <w:rsid w:val="00A17EE7"/>
    <w:rsid w:val="00A17F8C"/>
    <w:rsid w:val="00A17FF2"/>
    <w:rsid w:val="00A2010D"/>
    <w:rsid w:val="00A20393"/>
    <w:rsid w:val="00A20399"/>
    <w:rsid w:val="00A203F6"/>
    <w:rsid w:val="00A20982"/>
    <w:rsid w:val="00A20C55"/>
    <w:rsid w:val="00A20F13"/>
    <w:rsid w:val="00A21084"/>
    <w:rsid w:val="00A21124"/>
    <w:rsid w:val="00A21274"/>
    <w:rsid w:val="00A212A1"/>
    <w:rsid w:val="00A217CA"/>
    <w:rsid w:val="00A218B0"/>
    <w:rsid w:val="00A21F01"/>
    <w:rsid w:val="00A222F9"/>
    <w:rsid w:val="00A234A4"/>
    <w:rsid w:val="00A23688"/>
    <w:rsid w:val="00A237B2"/>
    <w:rsid w:val="00A23806"/>
    <w:rsid w:val="00A23893"/>
    <w:rsid w:val="00A23B5F"/>
    <w:rsid w:val="00A23EB9"/>
    <w:rsid w:val="00A23EDE"/>
    <w:rsid w:val="00A23F62"/>
    <w:rsid w:val="00A241D5"/>
    <w:rsid w:val="00A243C8"/>
    <w:rsid w:val="00A243FC"/>
    <w:rsid w:val="00A246C0"/>
    <w:rsid w:val="00A24EED"/>
    <w:rsid w:val="00A25021"/>
    <w:rsid w:val="00A25240"/>
    <w:rsid w:val="00A253F7"/>
    <w:rsid w:val="00A25410"/>
    <w:rsid w:val="00A2550B"/>
    <w:rsid w:val="00A25688"/>
    <w:rsid w:val="00A2587E"/>
    <w:rsid w:val="00A258A8"/>
    <w:rsid w:val="00A259D4"/>
    <w:rsid w:val="00A25D0E"/>
    <w:rsid w:val="00A25DAF"/>
    <w:rsid w:val="00A25E63"/>
    <w:rsid w:val="00A2606F"/>
    <w:rsid w:val="00A26391"/>
    <w:rsid w:val="00A26413"/>
    <w:rsid w:val="00A266C8"/>
    <w:rsid w:val="00A266DE"/>
    <w:rsid w:val="00A26A15"/>
    <w:rsid w:val="00A26DB6"/>
    <w:rsid w:val="00A26E01"/>
    <w:rsid w:val="00A26F84"/>
    <w:rsid w:val="00A271B6"/>
    <w:rsid w:val="00A274AA"/>
    <w:rsid w:val="00A27538"/>
    <w:rsid w:val="00A27612"/>
    <w:rsid w:val="00A276BB"/>
    <w:rsid w:val="00A277FB"/>
    <w:rsid w:val="00A278D4"/>
    <w:rsid w:val="00A27A83"/>
    <w:rsid w:val="00A303AF"/>
    <w:rsid w:val="00A309B4"/>
    <w:rsid w:val="00A30AD0"/>
    <w:rsid w:val="00A30BEF"/>
    <w:rsid w:val="00A30DB5"/>
    <w:rsid w:val="00A30E6B"/>
    <w:rsid w:val="00A30FD2"/>
    <w:rsid w:val="00A3183A"/>
    <w:rsid w:val="00A319BC"/>
    <w:rsid w:val="00A31B81"/>
    <w:rsid w:val="00A320B1"/>
    <w:rsid w:val="00A3214A"/>
    <w:rsid w:val="00A32ACE"/>
    <w:rsid w:val="00A33215"/>
    <w:rsid w:val="00A33EB1"/>
    <w:rsid w:val="00A341EA"/>
    <w:rsid w:val="00A3456E"/>
    <w:rsid w:val="00A348C7"/>
    <w:rsid w:val="00A34C14"/>
    <w:rsid w:val="00A34D00"/>
    <w:rsid w:val="00A34D99"/>
    <w:rsid w:val="00A355A7"/>
    <w:rsid w:val="00A3575C"/>
    <w:rsid w:val="00A35D07"/>
    <w:rsid w:val="00A35D86"/>
    <w:rsid w:val="00A35E9C"/>
    <w:rsid w:val="00A36003"/>
    <w:rsid w:val="00A36318"/>
    <w:rsid w:val="00A365DB"/>
    <w:rsid w:val="00A36B0A"/>
    <w:rsid w:val="00A36B29"/>
    <w:rsid w:val="00A36C1F"/>
    <w:rsid w:val="00A36E39"/>
    <w:rsid w:val="00A371A3"/>
    <w:rsid w:val="00A3761E"/>
    <w:rsid w:val="00A377F4"/>
    <w:rsid w:val="00A37877"/>
    <w:rsid w:val="00A3794D"/>
    <w:rsid w:val="00A37EAA"/>
    <w:rsid w:val="00A4018F"/>
    <w:rsid w:val="00A404D2"/>
    <w:rsid w:val="00A40977"/>
    <w:rsid w:val="00A40A63"/>
    <w:rsid w:val="00A40C8A"/>
    <w:rsid w:val="00A40DAE"/>
    <w:rsid w:val="00A40FF1"/>
    <w:rsid w:val="00A410D9"/>
    <w:rsid w:val="00A410EC"/>
    <w:rsid w:val="00A4134B"/>
    <w:rsid w:val="00A413F8"/>
    <w:rsid w:val="00A41424"/>
    <w:rsid w:val="00A41485"/>
    <w:rsid w:val="00A41579"/>
    <w:rsid w:val="00A41583"/>
    <w:rsid w:val="00A41A63"/>
    <w:rsid w:val="00A420B6"/>
    <w:rsid w:val="00A423E8"/>
    <w:rsid w:val="00A42423"/>
    <w:rsid w:val="00A424B6"/>
    <w:rsid w:val="00A4256D"/>
    <w:rsid w:val="00A4303C"/>
    <w:rsid w:val="00A430A5"/>
    <w:rsid w:val="00A431C3"/>
    <w:rsid w:val="00A43420"/>
    <w:rsid w:val="00A43494"/>
    <w:rsid w:val="00A435DB"/>
    <w:rsid w:val="00A438E3"/>
    <w:rsid w:val="00A43900"/>
    <w:rsid w:val="00A4396B"/>
    <w:rsid w:val="00A43C62"/>
    <w:rsid w:val="00A43CC9"/>
    <w:rsid w:val="00A44294"/>
    <w:rsid w:val="00A449E8"/>
    <w:rsid w:val="00A44CFC"/>
    <w:rsid w:val="00A44F81"/>
    <w:rsid w:val="00A45A3F"/>
    <w:rsid w:val="00A45DC7"/>
    <w:rsid w:val="00A46220"/>
    <w:rsid w:val="00A46AB1"/>
    <w:rsid w:val="00A46BFA"/>
    <w:rsid w:val="00A46C6B"/>
    <w:rsid w:val="00A46D3A"/>
    <w:rsid w:val="00A46E36"/>
    <w:rsid w:val="00A471EE"/>
    <w:rsid w:val="00A476D4"/>
    <w:rsid w:val="00A47822"/>
    <w:rsid w:val="00A479A8"/>
    <w:rsid w:val="00A47E55"/>
    <w:rsid w:val="00A50302"/>
    <w:rsid w:val="00A506E4"/>
    <w:rsid w:val="00A509E9"/>
    <w:rsid w:val="00A50A69"/>
    <w:rsid w:val="00A50E1D"/>
    <w:rsid w:val="00A50E88"/>
    <w:rsid w:val="00A50F2A"/>
    <w:rsid w:val="00A50FFB"/>
    <w:rsid w:val="00A516B0"/>
    <w:rsid w:val="00A51C96"/>
    <w:rsid w:val="00A51CF1"/>
    <w:rsid w:val="00A5201C"/>
    <w:rsid w:val="00A5274A"/>
    <w:rsid w:val="00A5284E"/>
    <w:rsid w:val="00A528D6"/>
    <w:rsid w:val="00A52B09"/>
    <w:rsid w:val="00A52C94"/>
    <w:rsid w:val="00A52F5C"/>
    <w:rsid w:val="00A53018"/>
    <w:rsid w:val="00A53278"/>
    <w:rsid w:val="00A535E2"/>
    <w:rsid w:val="00A53974"/>
    <w:rsid w:val="00A53BBB"/>
    <w:rsid w:val="00A53CCA"/>
    <w:rsid w:val="00A53FE8"/>
    <w:rsid w:val="00A546F0"/>
    <w:rsid w:val="00A54789"/>
    <w:rsid w:val="00A5482E"/>
    <w:rsid w:val="00A54854"/>
    <w:rsid w:val="00A550F2"/>
    <w:rsid w:val="00A55210"/>
    <w:rsid w:val="00A55355"/>
    <w:rsid w:val="00A554A1"/>
    <w:rsid w:val="00A557D8"/>
    <w:rsid w:val="00A55C25"/>
    <w:rsid w:val="00A55C80"/>
    <w:rsid w:val="00A567D1"/>
    <w:rsid w:val="00A56D94"/>
    <w:rsid w:val="00A56EA2"/>
    <w:rsid w:val="00A5732B"/>
    <w:rsid w:val="00A57392"/>
    <w:rsid w:val="00A577D6"/>
    <w:rsid w:val="00A57DBD"/>
    <w:rsid w:val="00A57EE1"/>
    <w:rsid w:val="00A60829"/>
    <w:rsid w:val="00A60C45"/>
    <w:rsid w:val="00A613CB"/>
    <w:rsid w:val="00A621AD"/>
    <w:rsid w:val="00A6240F"/>
    <w:rsid w:val="00A62495"/>
    <w:rsid w:val="00A62535"/>
    <w:rsid w:val="00A62AA3"/>
    <w:rsid w:val="00A62BDC"/>
    <w:rsid w:val="00A62DBA"/>
    <w:rsid w:val="00A62E20"/>
    <w:rsid w:val="00A63037"/>
    <w:rsid w:val="00A6306A"/>
    <w:rsid w:val="00A6312F"/>
    <w:rsid w:val="00A6316C"/>
    <w:rsid w:val="00A63636"/>
    <w:rsid w:val="00A64622"/>
    <w:rsid w:val="00A6485B"/>
    <w:rsid w:val="00A64A45"/>
    <w:rsid w:val="00A64BBF"/>
    <w:rsid w:val="00A64D9E"/>
    <w:rsid w:val="00A64DB9"/>
    <w:rsid w:val="00A65600"/>
    <w:rsid w:val="00A658CE"/>
    <w:rsid w:val="00A6600C"/>
    <w:rsid w:val="00A66114"/>
    <w:rsid w:val="00A66165"/>
    <w:rsid w:val="00A67042"/>
    <w:rsid w:val="00A67385"/>
    <w:rsid w:val="00A674DA"/>
    <w:rsid w:val="00A674FD"/>
    <w:rsid w:val="00A6795E"/>
    <w:rsid w:val="00A6799E"/>
    <w:rsid w:val="00A7002C"/>
    <w:rsid w:val="00A70102"/>
    <w:rsid w:val="00A7075D"/>
    <w:rsid w:val="00A707D5"/>
    <w:rsid w:val="00A7095E"/>
    <w:rsid w:val="00A70AE9"/>
    <w:rsid w:val="00A70AEC"/>
    <w:rsid w:val="00A7104F"/>
    <w:rsid w:val="00A712EC"/>
    <w:rsid w:val="00A71A8D"/>
    <w:rsid w:val="00A71BD8"/>
    <w:rsid w:val="00A71E2B"/>
    <w:rsid w:val="00A723C1"/>
    <w:rsid w:val="00A73961"/>
    <w:rsid w:val="00A740D3"/>
    <w:rsid w:val="00A745DD"/>
    <w:rsid w:val="00A7483C"/>
    <w:rsid w:val="00A748B2"/>
    <w:rsid w:val="00A7498D"/>
    <w:rsid w:val="00A74BC8"/>
    <w:rsid w:val="00A74BED"/>
    <w:rsid w:val="00A7501B"/>
    <w:rsid w:val="00A752AD"/>
    <w:rsid w:val="00A753A3"/>
    <w:rsid w:val="00A755F2"/>
    <w:rsid w:val="00A75B2C"/>
    <w:rsid w:val="00A75C12"/>
    <w:rsid w:val="00A75EBA"/>
    <w:rsid w:val="00A75FBE"/>
    <w:rsid w:val="00A760B6"/>
    <w:rsid w:val="00A76848"/>
    <w:rsid w:val="00A77013"/>
    <w:rsid w:val="00A77260"/>
    <w:rsid w:val="00A776C7"/>
    <w:rsid w:val="00A801A3"/>
    <w:rsid w:val="00A804FA"/>
    <w:rsid w:val="00A80503"/>
    <w:rsid w:val="00A8052D"/>
    <w:rsid w:val="00A80729"/>
    <w:rsid w:val="00A80F74"/>
    <w:rsid w:val="00A81093"/>
    <w:rsid w:val="00A814A3"/>
    <w:rsid w:val="00A81D93"/>
    <w:rsid w:val="00A82186"/>
    <w:rsid w:val="00A82408"/>
    <w:rsid w:val="00A826D2"/>
    <w:rsid w:val="00A828FA"/>
    <w:rsid w:val="00A82F34"/>
    <w:rsid w:val="00A83097"/>
    <w:rsid w:val="00A83420"/>
    <w:rsid w:val="00A835D0"/>
    <w:rsid w:val="00A837D0"/>
    <w:rsid w:val="00A83987"/>
    <w:rsid w:val="00A83AC6"/>
    <w:rsid w:val="00A83B53"/>
    <w:rsid w:val="00A84106"/>
    <w:rsid w:val="00A8417B"/>
    <w:rsid w:val="00A842DA"/>
    <w:rsid w:val="00A84471"/>
    <w:rsid w:val="00A84B77"/>
    <w:rsid w:val="00A84C4F"/>
    <w:rsid w:val="00A84E5D"/>
    <w:rsid w:val="00A850F1"/>
    <w:rsid w:val="00A85603"/>
    <w:rsid w:val="00A85844"/>
    <w:rsid w:val="00A85AFE"/>
    <w:rsid w:val="00A85BF4"/>
    <w:rsid w:val="00A85CC6"/>
    <w:rsid w:val="00A85F38"/>
    <w:rsid w:val="00A86002"/>
    <w:rsid w:val="00A86086"/>
    <w:rsid w:val="00A86493"/>
    <w:rsid w:val="00A872B4"/>
    <w:rsid w:val="00A872F4"/>
    <w:rsid w:val="00A87407"/>
    <w:rsid w:val="00A878D7"/>
    <w:rsid w:val="00A87D28"/>
    <w:rsid w:val="00A901A6"/>
    <w:rsid w:val="00A901BA"/>
    <w:rsid w:val="00A90561"/>
    <w:rsid w:val="00A90765"/>
    <w:rsid w:val="00A90AFD"/>
    <w:rsid w:val="00A90E4D"/>
    <w:rsid w:val="00A90ED9"/>
    <w:rsid w:val="00A914AF"/>
    <w:rsid w:val="00A91C53"/>
    <w:rsid w:val="00A91E26"/>
    <w:rsid w:val="00A91FAD"/>
    <w:rsid w:val="00A92054"/>
    <w:rsid w:val="00A92059"/>
    <w:rsid w:val="00A92090"/>
    <w:rsid w:val="00A9227B"/>
    <w:rsid w:val="00A9229A"/>
    <w:rsid w:val="00A92555"/>
    <w:rsid w:val="00A926DB"/>
    <w:rsid w:val="00A92735"/>
    <w:rsid w:val="00A92DF3"/>
    <w:rsid w:val="00A92F34"/>
    <w:rsid w:val="00A92F7E"/>
    <w:rsid w:val="00A93003"/>
    <w:rsid w:val="00A93051"/>
    <w:rsid w:val="00A93297"/>
    <w:rsid w:val="00A933BA"/>
    <w:rsid w:val="00A93775"/>
    <w:rsid w:val="00A93E5C"/>
    <w:rsid w:val="00A93ECD"/>
    <w:rsid w:val="00A94068"/>
    <w:rsid w:val="00A9406F"/>
    <w:rsid w:val="00A941DF"/>
    <w:rsid w:val="00A94765"/>
    <w:rsid w:val="00A9495F"/>
    <w:rsid w:val="00A94BBA"/>
    <w:rsid w:val="00A95606"/>
    <w:rsid w:val="00A959ED"/>
    <w:rsid w:val="00A95CFE"/>
    <w:rsid w:val="00A96021"/>
    <w:rsid w:val="00A96071"/>
    <w:rsid w:val="00A9641C"/>
    <w:rsid w:val="00A96638"/>
    <w:rsid w:val="00A96689"/>
    <w:rsid w:val="00A967CB"/>
    <w:rsid w:val="00A9682A"/>
    <w:rsid w:val="00A9682C"/>
    <w:rsid w:val="00A9691D"/>
    <w:rsid w:val="00A9693E"/>
    <w:rsid w:val="00A96A8D"/>
    <w:rsid w:val="00A96DF2"/>
    <w:rsid w:val="00A96F5A"/>
    <w:rsid w:val="00A96F80"/>
    <w:rsid w:val="00A97211"/>
    <w:rsid w:val="00A9721F"/>
    <w:rsid w:val="00A97530"/>
    <w:rsid w:val="00A97BF0"/>
    <w:rsid w:val="00AA02B9"/>
    <w:rsid w:val="00AA08F3"/>
    <w:rsid w:val="00AA0A95"/>
    <w:rsid w:val="00AA0F2F"/>
    <w:rsid w:val="00AA1186"/>
    <w:rsid w:val="00AA136D"/>
    <w:rsid w:val="00AA1775"/>
    <w:rsid w:val="00AA1779"/>
    <w:rsid w:val="00AA199C"/>
    <w:rsid w:val="00AA1CDB"/>
    <w:rsid w:val="00AA1D17"/>
    <w:rsid w:val="00AA1D8D"/>
    <w:rsid w:val="00AA20FA"/>
    <w:rsid w:val="00AA21C5"/>
    <w:rsid w:val="00AA2213"/>
    <w:rsid w:val="00AA221B"/>
    <w:rsid w:val="00AA2582"/>
    <w:rsid w:val="00AA271C"/>
    <w:rsid w:val="00AA29FE"/>
    <w:rsid w:val="00AA2A23"/>
    <w:rsid w:val="00AA2B24"/>
    <w:rsid w:val="00AA31C5"/>
    <w:rsid w:val="00AA3526"/>
    <w:rsid w:val="00AA36E7"/>
    <w:rsid w:val="00AA39D3"/>
    <w:rsid w:val="00AA3BA8"/>
    <w:rsid w:val="00AA3DB0"/>
    <w:rsid w:val="00AA4508"/>
    <w:rsid w:val="00AA4658"/>
    <w:rsid w:val="00AA49A0"/>
    <w:rsid w:val="00AA4CD8"/>
    <w:rsid w:val="00AA4E64"/>
    <w:rsid w:val="00AA5611"/>
    <w:rsid w:val="00AA5AAA"/>
    <w:rsid w:val="00AA5AC2"/>
    <w:rsid w:val="00AA5EBB"/>
    <w:rsid w:val="00AA61F5"/>
    <w:rsid w:val="00AA6642"/>
    <w:rsid w:val="00AA66A1"/>
    <w:rsid w:val="00AA6706"/>
    <w:rsid w:val="00AA6C88"/>
    <w:rsid w:val="00AA6EEB"/>
    <w:rsid w:val="00AA7779"/>
    <w:rsid w:val="00AA7786"/>
    <w:rsid w:val="00AA7E9E"/>
    <w:rsid w:val="00AA7EEF"/>
    <w:rsid w:val="00AA7FFD"/>
    <w:rsid w:val="00AB0F03"/>
    <w:rsid w:val="00AB0F29"/>
    <w:rsid w:val="00AB0F53"/>
    <w:rsid w:val="00AB14E1"/>
    <w:rsid w:val="00AB16D7"/>
    <w:rsid w:val="00AB181F"/>
    <w:rsid w:val="00AB19B1"/>
    <w:rsid w:val="00AB1CAD"/>
    <w:rsid w:val="00AB1CBB"/>
    <w:rsid w:val="00AB1D77"/>
    <w:rsid w:val="00AB1FA8"/>
    <w:rsid w:val="00AB2303"/>
    <w:rsid w:val="00AB2BE1"/>
    <w:rsid w:val="00AB2D40"/>
    <w:rsid w:val="00AB2DFA"/>
    <w:rsid w:val="00AB2F2B"/>
    <w:rsid w:val="00AB31DA"/>
    <w:rsid w:val="00AB3457"/>
    <w:rsid w:val="00AB3820"/>
    <w:rsid w:val="00AB3BEF"/>
    <w:rsid w:val="00AB447D"/>
    <w:rsid w:val="00AB4596"/>
    <w:rsid w:val="00AB489C"/>
    <w:rsid w:val="00AB4AC8"/>
    <w:rsid w:val="00AB4B37"/>
    <w:rsid w:val="00AB4D00"/>
    <w:rsid w:val="00AB4D18"/>
    <w:rsid w:val="00AB5272"/>
    <w:rsid w:val="00AB541C"/>
    <w:rsid w:val="00AB5F46"/>
    <w:rsid w:val="00AB5FE2"/>
    <w:rsid w:val="00AB6146"/>
    <w:rsid w:val="00AB6640"/>
    <w:rsid w:val="00AB6C24"/>
    <w:rsid w:val="00AB6CB7"/>
    <w:rsid w:val="00AB6CC6"/>
    <w:rsid w:val="00AB7035"/>
    <w:rsid w:val="00AB7135"/>
    <w:rsid w:val="00AB718F"/>
    <w:rsid w:val="00AB77D9"/>
    <w:rsid w:val="00AB7984"/>
    <w:rsid w:val="00AB7B42"/>
    <w:rsid w:val="00AC0229"/>
    <w:rsid w:val="00AC0459"/>
    <w:rsid w:val="00AC04B1"/>
    <w:rsid w:val="00AC0727"/>
    <w:rsid w:val="00AC0773"/>
    <w:rsid w:val="00AC0CA6"/>
    <w:rsid w:val="00AC0E9C"/>
    <w:rsid w:val="00AC10BB"/>
    <w:rsid w:val="00AC10FE"/>
    <w:rsid w:val="00AC1547"/>
    <w:rsid w:val="00AC15AC"/>
    <w:rsid w:val="00AC1855"/>
    <w:rsid w:val="00AC1BB4"/>
    <w:rsid w:val="00AC1BFB"/>
    <w:rsid w:val="00AC1C70"/>
    <w:rsid w:val="00AC1FE5"/>
    <w:rsid w:val="00AC2190"/>
    <w:rsid w:val="00AC22C7"/>
    <w:rsid w:val="00AC246F"/>
    <w:rsid w:val="00AC2682"/>
    <w:rsid w:val="00AC2C6D"/>
    <w:rsid w:val="00AC2EB0"/>
    <w:rsid w:val="00AC2EB8"/>
    <w:rsid w:val="00AC350A"/>
    <w:rsid w:val="00AC39B2"/>
    <w:rsid w:val="00AC3A4F"/>
    <w:rsid w:val="00AC4262"/>
    <w:rsid w:val="00AC4677"/>
    <w:rsid w:val="00AC473F"/>
    <w:rsid w:val="00AC4879"/>
    <w:rsid w:val="00AC4982"/>
    <w:rsid w:val="00AC5197"/>
    <w:rsid w:val="00AC5322"/>
    <w:rsid w:val="00AC546E"/>
    <w:rsid w:val="00AC57C0"/>
    <w:rsid w:val="00AC5C5E"/>
    <w:rsid w:val="00AC60BB"/>
    <w:rsid w:val="00AC64BC"/>
    <w:rsid w:val="00AC65BB"/>
    <w:rsid w:val="00AC66B5"/>
    <w:rsid w:val="00AC6834"/>
    <w:rsid w:val="00AC6BBA"/>
    <w:rsid w:val="00AC7011"/>
    <w:rsid w:val="00AC71DE"/>
    <w:rsid w:val="00AC767F"/>
    <w:rsid w:val="00AC78A6"/>
    <w:rsid w:val="00AC7A1B"/>
    <w:rsid w:val="00AC7CBE"/>
    <w:rsid w:val="00AC7E6C"/>
    <w:rsid w:val="00AD0419"/>
    <w:rsid w:val="00AD047C"/>
    <w:rsid w:val="00AD0691"/>
    <w:rsid w:val="00AD08A7"/>
    <w:rsid w:val="00AD08CE"/>
    <w:rsid w:val="00AD0AB7"/>
    <w:rsid w:val="00AD0B33"/>
    <w:rsid w:val="00AD0CFF"/>
    <w:rsid w:val="00AD0FED"/>
    <w:rsid w:val="00AD11BF"/>
    <w:rsid w:val="00AD12F8"/>
    <w:rsid w:val="00AD1389"/>
    <w:rsid w:val="00AD1423"/>
    <w:rsid w:val="00AD1C62"/>
    <w:rsid w:val="00AD23D8"/>
    <w:rsid w:val="00AD2784"/>
    <w:rsid w:val="00AD279B"/>
    <w:rsid w:val="00AD2C16"/>
    <w:rsid w:val="00AD2FDC"/>
    <w:rsid w:val="00AD3078"/>
    <w:rsid w:val="00AD321C"/>
    <w:rsid w:val="00AD3622"/>
    <w:rsid w:val="00AD3BB3"/>
    <w:rsid w:val="00AD4206"/>
    <w:rsid w:val="00AD42FF"/>
    <w:rsid w:val="00AD477B"/>
    <w:rsid w:val="00AD4846"/>
    <w:rsid w:val="00AD489C"/>
    <w:rsid w:val="00AD4994"/>
    <w:rsid w:val="00AD49F3"/>
    <w:rsid w:val="00AD533C"/>
    <w:rsid w:val="00AD53CF"/>
    <w:rsid w:val="00AD56ED"/>
    <w:rsid w:val="00AD5831"/>
    <w:rsid w:val="00AD5D0F"/>
    <w:rsid w:val="00AD5D18"/>
    <w:rsid w:val="00AD62DA"/>
    <w:rsid w:val="00AD6310"/>
    <w:rsid w:val="00AD6459"/>
    <w:rsid w:val="00AD6A19"/>
    <w:rsid w:val="00AD6C96"/>
    <w:rsid w:val="00AD6EEF"/>
    <w:rsid w:val="00AD711C"/>
    <w:rsid w:val="00AD75ED"/>
    <w:rsid w:val="00AD775D"/>
    <w:rsid w:val="00AD79A6"/>
    <w:rsid w:val="00AD7EA6"/>
    <w:rsid w:val="00AE0072"/>
    <w:rsid w:val="00AE05C8"/>
    <w:rsid w:val="00AE05D9"/>
    <w:rsid w:val="00AE07B4"/>
    <w:rsid w:val="00AE0B11"/>
    <w:rsid w:val="00AE0B2D"/>
    <w:rsid w:val="00AE0E64"/>
    <w:rsid w:val="00AE0EF4"/>
    <w:rsid w:val="00AE0F00"/>
    <w:rsid w:val="00AE1758"/>
    <w:rsid w:val="00AE1851"/>
    <w:rsid w:val="00AE1924"/>
    <w:rsid w:val="00AE1A76"/>
    <w:rsid w:val="00AE1D5D"/>
    <w:rsid w:val="00AE2533"/>
    <w:rsid w:val="00AE264B"/>
    <w:rsid w:val="00AE3433"/>
    <w:rsid w:val="00AE348B"/>
    <w:rsid w:val="00AE34D7"/>
    <w:rsid w:val="00AE3653"/>
    <w:rsid w:val="00AE37E1"/>
    <w:rsid w:val="00AE3A41"/>
    <w:rsid w:val="00AE3E09"/>
    <w:rsid w:val="00AE3F16"/>
    <w:rsid w:val="00AE42CA"/>
    <w:rsid w:val="00AE43B7"/>
    <w:rsid w:val="00AE44E3"/>
    <w:rsid w:val="00AE47D3"/>
    <w:rsid w:val="00AE4A19"/>
    <w:rsid w:val="00AE4CF2"/>
    <w:rsid w:val="00AE4F96"/>
    <w:rsid w:val="00AE56AF"/>
    <w:rsid w:val="00AE5D7D"/>
    <w:rsid w:val="00AE656F"/>
    <w:rsid w:val="00AE6B6A"/>
    <w:rsid w:val="00AE72BF"/>
    <w:rsid w:val="00AE730F"/>
    <w:rsid w:val="00AE7337"/>
    <w:rsid w:val="00AE7974"/>
    <w:rsid w:val="00AF03D2"/>
    <w:rsid w:val="00AF0D0D"/>
    <w:rsid w:val="00AF0E2E"/>
    <w:rsid w:val="00AF0FDA"/>
    <w:rsid w:val="00AF1706"/>
    <w:rsid w:val="00AF180C"/>
    <w:rsid w:val="00AF19D2"/>
    <w:rsid w:val="00AF1C21"/>
    <w:rsid w:val="00AF1D65"/>
    <w:rsid w:val="00AF1DFC"/>
    <w:rsid w:val="00AF2034"/>
    <w:rsid w:val="00AF24D1"/>
    <w:rsid w:val="00AF2605"/>
    <w:rsid w:val="00AF2765"/>
    <w:rsid w:val="00AF2B2A"/>
    <w:rsid w:val="00AF2BBC"/>
    <w:rsid w:val="00AF343A"/>
    <w:rsid w:val="00AF3FA1"/>
    <w:rsid w:val="00AF4214"/>
    <w:rsid w:val="00AF4600"/>
    <w:rsid w:val="00AF48C1"/>
    <w:rsid w:val="00AF4908"/>
    <w:rsid w:val="00AF4959"/>
    <w:rsid w:val="00AF4A6E"/>
    <w:rsid w:val="00AF4C2D"/>
    <w:rsid w:val="00AF5674"/>
    <w:rsid w:val="00AF5C4A"/>
    <w:rsid w:val="00AF6DCE"/>
    <w:rsid w:val="00AF6E8E"/>
    <w:rsid w:val="00AF6FD7"/>
    <w:rsid w:val="00AF769E"/>
    <w:rsid w:val="00B00177"/>
    <w:rsid w:val="00B002C8"/>
    <w:rsid w:val="00B00339"/>
    <w:rsid w:val="00B00376"/>
    <w:rsid w:val="00B004FC"/>
    <w:rsid w:val="00B007B8"/>
    <w:rsid w:val="00B00B17"/>
    <w:rsid w:val="00B00C20"/>
    <w:rsid w:val="00B00EA9"/>
    <w:rsid w:val="00B00EF0"/>
    <w:rsid w:val="00B00F4D"/>
    <w:rsid w:val="00B0168F"/>
    <w:rsid w:val="00B0171C"/>
    <w:rsid w:val="00B01D73"/>
    <w:rsid w:val="00B01FC7"/>
    <w:rsid w:val="00B0251E"/>
    <w:rsid w:val="00B02684"/>
    <w:rsid w:val="00B027DC"/>
    <w:rsid w:val="00B02992"/>
    <w:rsid w:val="00B02CBA"/>
    <w:rsid w:val="00B02DBA"/>
    <w:rsid w:val="00B02F58"/>
    <w:rsid w:val="00B0335A"/>
    <w:rsid w:val="00B0348C"/>
    <w:rsid w:val="00B0390D"/>
    <w:rsid w:val="00B03984"/>
    <w:rsid w:val="00B03B22"/>
    <w:rsid w:val="00B041DC"/>
    <w:rsid w:val="00B04254"/>
    <w:rsid w:val="00B04284"/>
    <w:rsid w:val="00B04383"/>
    <w:rsid w:val="00B04616"/>
    <w:rsid w:val="00B04A85"/>
    <w:rsid w:val="00B04CA3"/>
    <w:rsid w:val="00B0564C"/>
    <w:rsid w:val="00B05B69"/>
    <w:rsid w:val="00B05D2F"/>
    <w:rsid w:val="00B05DAD"/>
    <w:rsid w:val="00B05EA1"/>
    <w:rsid w:val="00B05F22"/>
    <w:rsid w:val="00B0605A"/>
    <w:rsid w:val="00B061B6"/>
    <w:rsid w:val="00B0655C"/>
    <w:rsid w:val="00B0669E"/>
    <w:rsid w:val="00B06F87"/>
    <w:rsid w:val="00B07BAC"/>
    <w:rsid w:val="00B07EC0"/>
    <w:rsid w:val="00B07FE3"/>
    <w:rsid w:val="00B1014C"/>
    <w:rsid w:val="00B103D5"/>
    <w:rsid w:val="00B10672"/>
    <w:rsid w:val="00B10BF9"/>
    <w:rsid w:val="00B10D29"/>
    <w:rsid w:val="00B10E29"/>
    <w:rsid w:val="00B10F54"/>
    <w:rsid w:val="00B1151A"/>
    <w:rsid w:val="00B115DB"/>
    <w:rsid w:val="00B1179E"/>
    <w:rsid w:val="00B11CAB"/>
    <w:rsid w:val="00B11E50"/>
    <w:rsid w:val="00B1203B"/>
    <w:rsid w:val="00B12281"/>
    <w:rsid w:val="00B12322"/>
    <w:rsid w:val="00B12761"/>
    <w:rsid w:val="00B12887"/>
    <w:rsid w:val="00B12A45"/>
    <w:rsid w:val="00B12F78"/>
    <w:rsid w:val="00B12F7D"/>
    <w:rsid w:val="00B13003"/>
    <w:rsid w:val="00B136DB"/>
    <w:rsid w:val="00B138F9"/>
    <w:rsid w:val="00B13D4C"/>
    <w:rsid w:val="00B1407B"/>
    <w:rsid w:val="00B1410C"/>
    <w:rsid w:val="00B14236"/>
    <w:rsid w:val="00B146EA"/>
    <w:rsid w:val="00B14BCE"/>
    <w:rsid w:val="00B14D5C"/>
    <w:rsid w:val="00B15623"/>
    <w:rsid w:val="00B15B17"/>
    <w:rsid w:val="00B15BAC"/>
    <w:rsid w:val="00B162B4"/>
    <w:rsid w:val="00B163A2"/>
    <w:rsid w:val="00B166B4"/>
    <w:rsid w:val="00B16A75"/>
    <w:rsid w:val="00B16DCE"/>
    <w:rsid w:val="00B16E7C"/>
    <w:rsid w:val="00B16FA0"/>
    <w:rsid w:val="00B17275"/>
    <w:rsid w:val="00B172D5"/>
    <w:rsid w:val="00B17755"/>
    <w:rsid w:val="00B17974"/>
    <w:rsid w:val="00B17C2F"/>
    <w:rsid w:val="00B17E63"/>
    <w:rsid w:val="00B17E92"/>
    <w:rsid w:val="00B20330"/>
    <w:rsid w:val="00B203D8"/>
    <w:rsid w:val="00B204F9"/>
    <w:rsid w:val="00B205A1"/>
    <w:rsid w:val="00B20851"/>
    <w:rsid w:val="00B20A01"/>
    <w:rsid w:val="00B20D78"/>
    <w:rsid w:val="00B20E31"/>
    <w:rsid w:val="00B20FFF"/>
    <w:rsid w:val="00B2118E"/>
    <w:rsid w:val="00B214A0"/>
    <w:rsid w:val="00B218C3"/>
    <w:rsid w:val="00B21E6E"/>
    <w:rsid w:val="00B2232B"/>
    <w:rsid w:val="00B227ED"/>
    <w:rsid w:val="00B2283F"/>
    <w:rsid w:val="00B22AB1"/>
    <w:rsid w:val="00B22AEE"/>
    <w:rsid w:val="00B22AFB"/>
    <w:rsid w:val="00B22B97"/>
    <w:rsid w:val="00B23703"/>
    <w:rsid w:val="00B238B8"/>
    <w:rsid w:val="00B23B6E"/>
    <w:rsid w:val="00B23E1D"/>
    <w:rsid w:val="00B23EF8"/>
    <w:rsid w:val="00B24046"/>
    <w:rsid w:val="00B24A6D"/>
    <w:rsid w:val="00B24CC1"/>
    <w:rsid w:val="00B251DA"/>
    <w:rsid w:val="00B25565"/>
    <w:rsid w:val="00B259D0"/>
    <w:rsid w:val="00B25AF6"/>
    <w:rsid w:val="00B25DC7"/>
    <w:rsid w:val="00B25F29"/>
    <w:rsid w:val="00B2630B"/>
    <w:rsid w:val="00B26CD6"/>
    <w:rsid w:val="00B27138"/>
    <w:rsid w:val="00B27329"/>
    <w:rsid w:val="00B2752C"/>
    <w:rsid w:val="00B27736"/>
    <w:rsid w:val="00B278B2"/>
    <w:rsid w:val="00B27905"/>
    <w:rsid w:val="00B301B0"/>
    <w:rsid w:val="00B30986"/>
    <w:rsid w:val="00B30A09"/>
    <w:rsid w:val="00B30B49"/>
    <w:rsid w:val="00B30D92"/>
    <w:rsid w:val="00B30E02"/>
    <w:rsid w:val="00B31110"/>
    <w:rsid w:val="00B314EE"/>
    <w:rsid w:val="00B31911"/>
    <w:rsid w:val="00B31DB5"/>
    <w:rsid w:val="00B31F75"/>
    <w:rsid w:val="00B320A7"/>
    <w:rsid w:val="00B32677"/>
    <w:rsid w:val="00B32764"/>
    <w:rsid w:val="00B3278F"/>
    <w:rsid w:val="00B32AC5"/>
    <w:rsid w:val="00B334DD"/>
    <w:rsid w:val="00B33665"/>
    <w:rsid w:val="00B33B94"/>
    <w:rsid w:val="00B33CB0"/>
    <w:rsid w:val="00B34470"/>
    <w:rsid w:val="00B346E5"/>
    <w:rsid w:val="00B34BC0"/>
    <w:rsid w:val="00B34D7C"/>
    <w:rsid w:val="00B34E3D"/>
    <w:rsid w:val="00B34EB0"/>
    <w:rsid w:val="00B35366"/>
    <w:rsid w:val="00B35899"/>
    <w:rsid w:val="00B35ABD"/>
    <w:rsid w:val="00B35B2F"/>
    <w:rsid w:val="00B35E52"/>
    <w:rsid w:val="00B3602F"/>
    <w:rsid w:val="00B3616B"/>
    <w:rsid w:val="00B361B9"/>
    <w:rsid w:val="00B3668C"/>
    <w:rsid w:val="00B36758"/>
    <w:rsid w:val="00B36B50"/>
    <w:rsid w:val="00B37092"/>
    <w:rsid w:val="00B371B1"/>
    <w:rsid w:val="00B37F5D"/>
    <w:rsid w:val="00B40550"/>
    <w:rsid w:val="00B40631"/>
    <w:rsid w:val="00B40663"/>
    <w:rsid w:val="00B407DA"/>
    <w:rsid w:val="00B40B24"/>
    <w:rsid w:val="00B41E36"/>
    <w:rsid w:val="00B41FB6"/>
    <w:rsid w:val="00B422AA"/>
    <w:rsid w:val="00B4276E"/>
    <w:rsid w:val="00B427A8"/>
    <w:rsid w:val="00B42951"/>
    <w:rsid w:val="00B42D7E"/>
    <w:rsid w:val="00B42DED"/>
    <w:rsid w:val="00B43073"/>
    <w:rsid w:val="00B43223"/>
    <w:rsid w:val="00B43808"/>
    <w:rsid w:val="00B43B08"/>
    <w:rsid w:val="00B43DCA"/>
    <w:rsid w:val="00B443C5"/>
    <w:rsid w:val="00B44408"/>
    <w:rsid w:val="00B446BA"/>
    <w:rsid w:val="00B44A56"/>
    <w:rsid w:val="00B44B5E"/>
    <w:rsid w:val="00B45180"/>
    <w:rsid w:val="00B4590B"/>
    <w:rsid w:val="00B45D6E"/>
    <w:rsid w:val="00B45DFB"/>
    <w:rsid w:val="00B4645A"/>
    <w:rsid w:val="00B468CF"/>
    <w:rsid w:val="00B46C26"/>
    <w:rsid w:val="00B46D17"/>
    <w:rsid w:val="00B470FA"/>
    <w:rsid w:val="00B47278"/>
    <w:rsid w:val="00B4766D"/>
    <w:rsid w:val="00B479E3"/>
    <w:rsid w:val="00B47D8A"/>
    <w:rsid w:val="00B47F53"/>
    <w:rsid w:val="00B47FCF"/>
    <w:rsid w:val="00B5014E"/>
    <w:rsid w:val="00B50310"/>
    <w:rsid w:val="00B50425"/>
    <w:rsid w:val="00B50CCE"/>
    <w:rsid w:val="00B50D09"/>
    <w:rsid w:val="00B5104C"/>
    <w:rsid w:val="00B5107F"/>
    <w:rsid w:val="00B510D2"/>
    <w:rsid w:val="00B515C9"/>
    <w:rsid w:val="00B5173F"/>
    <w:rsid w:val="00B518F9"/>
    <w:rsid w:val="00B51E88"/>
    <w:rsid w:val="00B523F1"/>
    <w:rsid w:val="00B52464"/>
    <w:rsid w:val="00B5255C"/>
    <w:rsid w:val="00B5259A"/>
    <w:rsid w:val="00B529B2"/>
    <w:rsid w:val="00B52C30"/>
    <w:rsid w:val="00B530C2"/>
    <w:rsid w:val="00B530FF"/>
    <w:rsid w:val="00B53346"/>
    <w:rsid w:val="00B533B5"/>
    <w:rsid w:val="00B533E3"/>
    <w:rsid w:val="00B5346D"/>
    <w:rsid w:val="00B53783"/>
    <w:rsid w:val="00B53BA9"/>
    <w:rsid w:val="00B53DBD"/>
    <w:rsid w:val="00B53EAF"/>
    <w:rsid w:val="00B54AE1"/>
    <w:rsid w:val="00B54EE8"/>
    <w:rsid w:val="00B54FB6"/>
    <w:rsid w:val="00B558F8"/>
    <w:rsid w:val="00B55CD9"/>
    <w:rsid w:val="00B55D86"/>
    <w:rsid w:val="00B55E30"/>
    <w:rsid w:val="00B56059"/>
    <w:rsid w:val="00B560CC"/>
    <w:rsid w:val="00B56330"/>
    <w:rsid w:val="00B567F9"/>
    <w:rsid w:val="00B56CCC"/>
    <w:rsid w:val="00B56FEA"/>
    <w:rsid w:val="00B57531"/>
    <w:rsid w:val="00B57589"/>
    <w:rsid w:val="00B5773A"/>
    <w:rsid w:val="00B577AF"/>
    <w:rsid w:val="00B57ECD"/>
    <w:rsid w:val="00B601F1"/>
    <w:rsid w:val="00B60744"/>
    <w:rsid w:val="00B6086B"/>
    <w:rsid w:val="00B6095A"/>
    <w:rsid w:val="00B60B48"/>
    <w:rsid w:val="00B61196"/>
    <w:rsid w:val="00B61217"/>
    <w:rsid w:val="00B6134A"/>
    <w:rsid w:val="00B6149C"/>
    <w:rsid w:val="00B61F92"/>
    <w:rsid w:val="00B61FBB"/>
    <w:rsid w:val="00B621BD"/>
    <w:rsid w:val="00B6255F"/>
    <w:rsid w:val="00B62F11"/>
    <w:rsid w:val="00B63011"/>
    <w:rsid w:val="00B6335A"/>
    <w:rsid w:val="00B634DF"/>
    <w:rsid w:val="00B63977"/>
    <w:rsid w:val="00B639BF"/>
    <w:rsid w:val="00B63CEA"/>
    <w:rsid w:val="00B63FF4"/>
    <w:rsid w:val="00B64B00"/>
    <w:rsid w:val="00B64BA0"/>
    <w:rsid w:val="00B64C94"/>
    <w:rsid w:val="00B6524F"/>
    <w:rsid w:val="00B65501"/>
    <w:rsid w:val="00B658D1"/>
    <w:rsid w:val="00B65FC4"/>
    <w:rsid w:val="00B66301"/>
    <w:rsid w:val="00B66CB1"/>
    <w:rsid w:val="00B66F07"/>
    <w:rsid w:val="00B67203"/>
    <w:rsid w:val="00B672BA"/>
    <w:rsid w:val="00B67D9B"/>
    <w:rsid w:val="00B702BC"/>
    <w:rsid w:val="00B7065C"/>
    <w:rsid w:val="00B7074B"/>
    <w:rsid w:val="00B708CB"/>
    <w:rsid w:val="00B708F5"/>
    <w:rsid w:val="00B70C98"/>
    <w:rsid w:val="00B7125A"/>
    <w:rsid w:val="00B71341"/>
    <w:rsid w:val="00B714A0"/>
    <w:rsid w:val="00B714BB"/>
    <w:rsid w:val="00B71507"/>
    <w:rsid w:val="00B71511"/>
    <w:rsid w:val="00B715C5"/>
    <w:rsid w:val="00B71629"/>
    <w:rsid w:val="00B71D24"/>
    <w:rsid w:val="00B72100"/>
    <w:rsid w:val="00B7221C"/>
    <w:rsid w:val="00B72440"/>
    <w:rsid w:val="00B725BB"/>
    <w:rsid w:val="00B72860"/>
    <w:rsid w:val="00B728A4"/>
    <w:rsid w:val="00B72E97"/>
    <w:rsid w:val="00B72F95"/>
    <w:rsid w:val="00B73821"/>
    <w:rsid w:val="00B739E1"/>
    <w:rsid w:val="00B73AA3"/>
    <w:rsid w:val="00B73CB4"/>
    <w:rsid w:val="00B73E61"/>
    <w:rsid w:val="00B7433A"/>
    <w:rsid w:val="00B74BC1"/>
    <w:rsid w:val="00B74CDD"/>
    <w:rsid w:val="00B74FC2"/>
    <w:rsid w:val="00B75123"/>
    <w:rsid w:val="00B7520B"/>
    <w:rsid w:val="00B75489"/>
    <w:rsid w:val="00B7553A"/>
    <w:rsid w:val="00B75728"/>
    <w:rsid w:val="00B75B69"/>
    <w:rsid w:val="00B75BFF"/>
    <w:rsid w:val="00B75E74"/>
    <w:rsid w:val="00B7627E"/>
    <w:rsid w:val="00B76360"/>
    <w:rsid w:val="00B76A7A"/>
    <w:rsid w:val="00B76C01"/>
    <w:rsid w:val="00B76E85"/>
    <w:rsid w:val="00B77326"/>
    <w:rsid w:val="00B775B9"/>
    <w:rsid w:val="00B77641"/>
    <w:rsid w:val="00B77D4A"/>
    <w:rsid w:val="00B77ED6"/>
    <w:rsid w:val="00B80280"/>
    <w:rsid w:val="00B802E5"/>
    <w:rsid w:val="00B807B9"/>
    <w:rsid w:val="00B80AD8"/>
    <w:rsid w:val="00B80B5B"/>
    <w:rsid w:val="00B80CBA"/>
    <w:rsid w:val="00B80D9A"/>
    <w:rsid w:val="00B80E08"/>
    <w:rsid w:val="00B81530"/>
    <w:rsid w:val="00B81622"/>
    <w:rsid w:val="00B8163C"/>
    <w:rsid w:val="00B81857"/>
    <w:rsid w:val="00B81BC5"/>
    <w:rsid w:val="00B81F57"/>
    <w:rsid w:val="00B82253"/>
    <w:rsid w:val="00B822A7"/>
    <w:rsid w:val="00B823E7"/>
    <w:rsid w:val="00B8271A"/>
    <w:rsid w:val="00B82B65"/>
    <w:rsid w:val="00B82C36"/>
    <w:rsid w:val="00B8313C"/>
    <w:rsid w:val="00B83333"/>
    <w:rsid w:val="00B8339B"/>
    <w:rsid w:val="00B833E4"/>
    <w:rsid w:val="00B83657"/>
    <w:rsid w:val="00B83B6D"/>
    <w:rsid w:val="00B83F99"/>
    <w:rsid w:val="00B83F9F"/>
    <w:rsid w:val="00B8461D"/>
    <w:rsid w:val="00B8476E"/>
    <w:rsid w:val="00B84E1E"/>
    <w:rsid w:val="00B84EA6"/>
    <w:rsid w:val="00B853B4"/>
    <w:rsid w:val="00B85557"/>
    <w:rsid w:val="00B859E9"/>
    <w:rsid w:val="00B85A8A"/>
    <w:rsid w:val="00B85ED8"/>
    <w:rsid w:val="00B86687"/>
    <w:rsid w:val="00B86C10"/>
    <w:rsid w:val="00B875C9"/>
    <w:rsid w:val="00B87D7A"/>
    <w:rsid w:val="00B87F52"/>
    <w:rsid w:val="00B90044"/>
    <w:rsid w:val="00B902BD"/>
    <w:rsid w:val="00B904D9"/>
    <w:rsid w:val="00B908A6"/>
    <w:rsid w:val="00B90AE6"/>
    <w:rsid w:val="00B90E41"/>
    <w:rsid w:val="00B90E90"/>
    <w:rsid w:val="00B90F36"/>
    <w:rsid w:val="00B91305"/>
    <w:rsid w:val="00B91439"/>
    <w:rsid w:val="00B91638"/>
    <w:rsid w:val="00B91C67"/>
    <w:rsid w:val="00B9211C"/>
    <w:rsid w:val="00B9249A"/>
    <w:rsid w:val="00B92742"/>
    <w:rsid w:val="00B9289D"/>
    <w:rsid w:val="00B928E9"/>
    <w:rsid w:val="00B92908"/>
    <w:rsid w:val="00B929E6"/>
    <w:rsid w:val="00B92CA0"/>
    <w:rsid w:val="00B92E97"/>
    <w:rsid w:val="00B933EC"/>
    <w:rsid w:val="00B9366D"/>
    <w:rsid w:val="00B93804"/>
    <w:rsid w:val="00B93A69"/>
    <w:rsid w:val="00B93E2D"/>
    <w:rsid w:val="00B93F43"/>
    <w:rsid w:val="00B93FF7"/>
    <w:rsid w:val="00B943F5"/>
    <w:rsid w:val="00B94812"/>
    <w:rsid w:val="00B95026"/>
    <w:rsid w:val="00B952A3"/>
    <w:rsid w:val="00B956C7"/>
    <w:rsid w:val="00B9583B"/>
    <w:rsid w:val="00B95A81"/>
    <w:rsid w:val="00B95B17"/>
    <w:rsid w:val="00B95D2B"/>
    <w:rsid w:val="00B9659D"/>
    <w:rsid w:val="00B96755"/>
    <w:rsid w:val="00B96BA1"/>
    <w:rsid w:val="00B9701B"/>
    <w:rsid w:val="00B9709C"/>
    <w:rsid w:val="00B9709F"/>
    <w:rsid w:val="00B97738"/>
    <w:rsid w:val="00B9798A"/>
    <w:rsid w:val="00B97A93"/>
    <w:rsid w:val="00B97C41"/>
    <w:rsid w:val="00B97DE4"/>
    <w:rsid w:val="00BA00EE"/>
    <w:rsid w:val="00BA015D"/>
    <w:rsid w:val="00BA080B"/>
    <w:rsid w:val="00BA087C"/>
    <w:rsid w:val="00BA08F2"/>
    <w:rsid w:val="00BA0AD7"/>
    <w:rsid w:val="00BA0B09"/>
    <w:rsid w:val="00BA0EB1"/>
    <w:rsid w:val="00BA1248"/>
    <w:rsid w:val="00BA1B48"/>
    <w:rsid w:val="00BA21D4"/>
    <w:rsid w:val="00BA2A69"/>
    <w:rsid w:val="00BA2D39"/>
    <w:rsid w:val="00BA2DAB"/>
    <w:rsid w:val="00BA2FBE"/>
    <w:rsid w:val="00BA308A"/>
    <w:rsid w:val="00BA354B"/>
    <w:rsid w:val="00BA3705"/>
    <w:rsid w:val="00BA3DA9"/>
    <w:rsid w:val="00BA3EA2"/>
    <w:rsid w:val="00BA4188"/>
    <w:rsid w:val="00BA41F8"/>
    <w:rsid w:val="00BA455E"/>
    <w:rsid w:val="00BA46A7"/>
    <w:rsid w:val="00BA5362"/>
    <w:rsid w:val="00BA546A"/>
    <w:rsid w:val="00BA5524"/>
    <w:rsid w:val="00BA59AA"/>
    <w:rsid w:val="00BA5B07"/>
    <w:rsid w:val="00BA5BFF"/>
    <w:rsid w:val="00BA5D7B"/>
    <w:rsid w:val="00BA5EA0"/>
    <w:rsid w:val="00BA610A"/>
    <w:rsid w:val="00BA62D4"/>
    <w:rsid w:val="00BA63DF"/>
    <w:rsid w:val="00BA68ED"/>
    <w:rsid w:val="00BA6941"/>
    <w:rsid w:val="00BA6CCC"/>
    <w:rsid w:val="00BA6F1C"/>
    <w:rsid w:val="00BA6F8B"/>
    <w:rsid w:val="00BA707E"/>
    <w:rsid w:val="00BA71C8"/>
    <w:rsid w:val="00BA755E"/>
    <w:rsid w:val="00BA75B5"/>
    <w:rsid w:val="00BA75EF"/>
    <w:rsid w:val="00BA7AE7"/>
    <w:rsid w:val="00BA7F31"/>
    <w:rsid w:val="00BB00E8"/>
    <w:rsid w:val="00BB0842"/>
    <w:rsid w:val="00BB0890"/>
    <w:rsid w:val="00BB0A63"/>
    <w:rsid w:val="00BB0E0E"/>
    <w:rsid w:val="00BB16B6"/>
    <w:rsid w:val="00BB1B4C"/>
    <w:rsid w:val="00BB1C1C"/>
    <w:rsid w:val="00BB200E"/>
    <w:rsid w:val="00BB214F"/>
    <w:rsid w:val="00BB231B"/>
    <w:rsid w:val="00BB2385"/>
    <w:rsid w:val="00BB2487"/>
    <w:rsid w:val="00BB24B2"/>
    <w:rsid w:val="00BB25DC"/>
    <w:rsid w:val="00BB2748"/>
    <w:rsid w:val="00BB2FBD"/>
    <w:rsid w:val="00BB379F"/>
    <w:rsid w:val="00BB3835"/>
    <w:rsid w:val="00BB39EB"/>
    <w:rsid w:val="00BB3A28"/>
    <w:rsid w:val="00BB3A6D"/>
    <w:rsid w:val="00BB3FEC"/>
    <w:rsid w:val="00BB42B1"/>
    <w:rsid w:val="00BB43BA"/>
    <w:rsid w:val="00BB45BD"/>
    <w:rsid w:val="00BB47BC"/>
    <w:rsid w:val="00BB49E9"/>
    <w:rsid w:val="00BB4BF8"/>
    <w:rsid w:val="00BB4D86"/>
    <w:rsid w:val="00BB52A8"/>
    <w:rsid w:val="00BB557D"/>
    <w:rsid w:val="00BB5ACB"/>
    <w:rsid w:val="00BB64C4"/>
    <w:rsid w:val="00BB677B"/>
    <w:rsid w:val="00BB68A8"/>
    <w:rsid w:val="00BB6A46"/>
    <w:rsid w:val="00BB7024"/>
    <w:rsid w:val="00BB769C"/>
    <w:rsid w:val="00BB76F6"/>
    <w:rsid w:val="00BB7906"/>
    <w:rsid w:val="00BB7AF4"/>
    <w:rsid w:val="00BB7CBE"/>
    <w:rsid w:val="00BC041C"/>
    <w:rsid w:val="00BC08F0"/>
    <w:rsid w:val="00BC0B2F"/>
    <w:rsid w:val="00BC0B3A"/>
    <w:rsid w:val="00BC15FD"/>
    <w:rsid w:val="00BC168F"/>
    <w:rsid w:val="00BC17A5"/>
    <w:rsid w:val="00BC1F34"/>
    <w:rsid w:val="00BC2126"/>
    <w:rsid w:val="00BC21B2"/>
    <w:rsid w:val="00BC2A07"/>
    <w:rsid w:val="00BC34B8"/>
    <w:rsid w:val="00BC3788"/>
    <w:rsid w:val="00BC388A"/>
    <w:rsid w:val="00BC3C89"/>
    <w:rsid w:val="00BC3C9A"/>
    <w:rsid w:val="00BC40D6"/>
    <w:rsid w:val="00BC4966"/>
    <w:rsid w:val="00BC4ACE"/>
    <w:rsid w:val="00BC4D9B"/>
    <w:rsid w:val="00BC4E71"/>
    <w:rsid w:val="00BC4FCF"/>
    <w:rsid w:val="00BC5370"/>
    <w:rsid w:val="00BC549C"/>
    <w:rsid w:val="00BC5C61"/>
    <w:rsid w:val="00BC5CCB"/>
    <w:rsid w:val="00BC66B9"/>
    <w:rsid w:val="00BC678C"/>
    <w:rsid w:val="00BC6965"/>
    <w:rsid w:val="00BC69EA"/>
    <w:rsid w:val="00BC6B40"/>
    <w:rsid w:val="00BC799B"/>
    <w:rsid w:val="00BC7E36"/>
    <w:rsid w:val="00BD05B9"/>
    <w:rsid w:val="00BD09E6"/>
    <w:rsid w:val="00BD0B02"/>
    <w:rsid w:val="00BD0DBA"/>
    <w:rsid w:val="00BD0FD6"/>
    <w:rsid w:val="00BD0FEE"/>
    <w:rsid w:val="00BD12E6"/>
    <w:rsid w:val="00BD17B2"/>
    <w:rsid w:val="00BD18C5"/>
    <w:rsid w:val="00BD20E7"/>
    <w:rsid w:val="00BD277D"/>
    <w:rsid w:val="00BD27A0"/>
    <w:rsid w:val="00BD2EB7"/>
    <w:rsid w:val="00BD2ECA"/>
    <w:rsid w:val="00BD3148"/>
    <w:rsid w:val="00BD32C2"/>
    <w:rsid w:val="00BD3348"/>
    <w:rsid w:val="00BD3924"/>
    <w:rsid w:val="00BD3B2A"/>
    <w:rsid w:val="00BD3E3C"/>
    <w:rsid w:val="00BD3E84"/>
    <w:rsid w:val="00BD3EC6"/>
    <w:rsid w:val="00BD41FF"/>
    <w:rsid w:val="00BD4205"/>
    <w:rsid w:val="00BD4513"/>
    <w:rsid w:val="00BD4AB2"/>
    <w:rsid w:val="00BD4BBB"/>
    <w:rsid w:val="00BD4D91"/>
    <w:rsid w:val="00BD5036"/>
    <w:rsid w:val="00BD51D7"/>
    <w:rsid w:val="00BD51FB"/>
    <w:rsid w:val="00BD53B9"/>
    <w:rsid w:val="00BD5518"/>
    <w:rsid w:val="00BD5837"/>
    <w:rsid w:val="00BD5978"/>
    <w:rsid w:val="00BD5C53"/>
    <w:rsid w:val="00BD5CDE"/>
    <w:rsid w:val="00BD5D89"/>
    <w:rsid w:val="00BD60F5"/>
    <w:rsid w:val="00BD659E"/>
    <w:rsid w:val="00BD66E2"/>
    <w:rsid w:val="00BD6715"/>
    <w:rsid w:val="00BD6CCE"/>
    <w:rsid w:val="00BD6EAC"/>
    <w:rsid w:val="00BD708D"/>
    <w:rsid w:val="00BD7138"/>
    <w:rsid w:val="00BD7F61"/>
    <w:rsid w:val="00BE0688"/>
    <w:rsid w:val="00BE0702"/>
    <w:rsid w:val="00BE0800"/>
    <w:rsid w:val="00BE0828"/>
    <w:rsid w:val="00BE1004"/>
    <w:rsid w:val="00BE12E7"/>
    <w:rsid w:val="00BE15B0"/>
    <w:rsid w:val="00BE16A1"/>
    <w:rsid w:val="00BE2275"/>
    <w:rsid w:val="00BE2517"/>
    <w:rsid w:val="00BE26A7"/>
    <w:rsid w:val="00BE2FC7"/>
    <w:rsid w:val="00BE3065"/>
    <w:rsid w:val="00BE3267"/>
    <w:rsid w:val="00BE35B8"/>
    <w:rsid w:val="00BE3619"/>
    <w:rsid w:val="00BE3BEC"/>
    <w:rsid w:val="00BE3E60"/>
    <w:rsid w:val="00BE4295"/>
    <w:rsid w:val="00BE461B"/>
    <w:rsid w:val="00BE46B9"/>
    <w:rsid w:val="00BE4791"/>
    <w:rsid w:val="00BE49F3"/>
    <w:rsid w:val="00BE4A93"/>
    <w:rsid w:val="00BE4C54"/>
    <w:rsid w:val="00BE4ECD"/>
    <w:rsid w:val="00BE51D5"/>
    <w:rsid w:val="00BE58DE"/>
    <w:rsid w:val="00BE59B5"/>
    <w:rsid w:val="00BE5D7F"/>
    <w:rsid w:val="00BE5FB7"/>
    <w:rsid w:val="00BE6227"/>
    <w:rsid w:val="00BE6396"/>
    <w:rsid w:val="00BE65C1"/>
    <w:rsid w:val="00BE6722"/>
    <w:rsid w:val="00BE6723"/>
    <w:rsid w:val="00BE6749"/>
    <w:rsid w:val="00BE7136"/>
    <w:rsid w:val="00BE71F5"/>
    <w:rsid w:val="00BE7975"/>
    <w:rsid w:val="00BF00C5"/>
    <w:rsid w:val="00BF0216"/>
    <w:rsid w:val="00BF0A4E"/>
    <w:rsid w:val="00BF0DA4"/>
    <w:rsid w:val="00BF0DB8"/>
    <w:rsid w:val="00BF1291"/>
    <w:rsid w:val="00BF1366"/>
    <w:rsid w:val="00BF18C8"/>
    <w:rsid w:val="00BF202E"/>
    <w:rsid w:val="00BF235D"/>
    <w:rsid w:val="00BF2B2E"/>
    <w:rsid w:val="00BF2D37"/>
    <w:rsid w:val="00BF2DA4"/>
    <w:rsid w:val="00BF2F0C"/>
    <w:rsid w:val="00BF3211"/>
    <w:rsid w:val="00BF3243"/>
    <w:rsid w:val="00BF3246"/>
    <w:rsid w:val="00BF32E7"/>
    <w:rsid w:val="00BF3AD0"/>
    <w:rsid w:val="00BF3BAA"/>
    <w:rsid w:val="00BF4157"/>
    <w:rsid w:val="00BF4521"/>
    <w:rsid w:val="00BF4655"/>
    <w:rsid w:val="00BF4AA4"/>
    <w:rsid w:val="00BF507D"/>
    <w:rsid w:val="00BF52C1"/>
    <w:rsid w:val="00BF5540"/>
    <w:rsid w:val="00BF56D1"/>
    <w:rsid w:val="00BF5868"/>
    <w:rsid w:val="00BF59B0"/>
    <w:rsid w:val="00BF5ABE"/>
    <w:rsid w:val="00BF5D2F"/>
    <w:rsid w:val="00BF6125"/>
    <w:rsid w:val="00BF634B"/>
    <w:rsid w:val="00BF65D7"/>
    <w:rsid w:val="00BF6629"/>
    <w:rsid w:val="00BF6663"/>
    <w:rsid w:val="00BF6892"/>
    <w:rsid w:val="00BF6A64"/>
    <w:rsid w:val="00BF6F76"/>
    <w:rsid w:val="00BF744C"/>
    <w:rsid w:val="00BF75A5"/>
    <w:rsid w:val="00BF77D3"/>
    <w:rsid w:val="00BF78E0"/>
    <w:rsid w:val="00BF7C7B"/>
    <w:rsid w:val="00C00563"/>
    <w:rsid w:val="00C005FC"/>
    <w:rsid w:val="00C00939"/>
    <w:rsid w:val="00C01460"/>
    <w:rsid w:val="00C017A9"/>
    <w:rsid w:val="00C01AEE"/>
    <w:rsid w:val="00C01CD7"/>
    <w:rsid w:val="00C01EA6"/>
    <w:rsid w:val="00C02026"/>
    <w:rsid w:val="00C0251F"/>
    <w:rsid w:val="00C0293B"/>
    <w:rsid w:val="00C02D5D"/>
    <w:rsid w:val="00C02E5E"/>
    <w:rsid w:val="00C030CA"/>
    <w:rsid w:val="00C0368D"/>
    <w:rsid w:val="00C03993"/>
    <w:rsid w:val="00C039E0"/>
    <w:rsid w:val="00C03BF5"/>
    <w:rsid w:val="00C03D86"/>
    <w:rsid w:val="00C03F8C"/>
    <w:rsid w:val="00C041D8"/>
    <w:rsid w:val="00C04200"/>
    <w:rsid w:val="00C04902"/>
    <w:rsid w:val="00C04A07"/>
    <w:rsid w:val="00C04FE9"/>
    <w:rsid w:val="00C05036"/>
    <w:rsid w:val="00C05089"/>
    <w:rsid w:val="00C05140"/>
    <w:rsid w:val="00C053A1"/>
    <w:rsid w:val="00C05A88"/>
    <w:rsid w:val="00C05C1C"/>
    <w:rsid w:val="00C05D77"/>
    <w:rsid w:val="00C05F01"/>
    <w:rsid w:val="00C06328"/>
    <w:rsid w:val="00C0632E"/>
    <w:rsid w:val="00C06371"/>
    <w:rsid w:val="00C06BE3"/>
    <w:rsid w:val="00C06C31"/>
    <w:rsid w:val="00C07613"/>
    <w:rsid w:val="00C078E6"/>
    <w:rsid w:val="00C07A0F"/>
    <w:rsid w:val="00C07A8F"/>
    <w:rsid w:val="00C07D51"/>
    <w:rsid w:val="00C07FAC"/>
    <w:rsid w:val="00C10290"/>
    <w:rsid w:val="00C103DC"/>
    <w:rsid w:val="00C10719"/>
    <w:rsid w:val="00C10970"/>
    <w:rsid w:val="00C10B35"/>
    <w:rsid w:val="00C10CC4"/>
    <w:rsid w:val="00C10CFE"/>
    <w:rsid w:val="00C10E73"/>
    <w:rsid w:val="00C10ED6"/>
    <w:rsid w:val="00C10F95"/>
    <w:rsid w:val="00C1107E"/>
    <w:rsid w:val="00C1123B"/>
    <w:rsid w:val="00C115FF"/>
    <w:rsid w:val="00C11DAF"/>
    <w:rsid w:val="00C11DF9"/>
    <w:rsid w:val="00C12366"/>
    <w:rsid w:val="00C1295D"/>
    <w:rsid w:val="00C12A58"/>
    <w:rsid w:val="00C133FB"/>
    <w:rsid w:val="00C137EE"/>
    <w:rsid w:val="00C13D1D"/>
    <w:rsid w:val="00C13FA3"/>
    <w:rsid w:val="00C143B3"/>
    <w:rsid w:val="00C14F3D"/>
    <w:rsid w:val="00C14F7F"/>
    <w:rsid w:val="00C14F9B"/>
    <w:rsid w:val="00C15091"/>
    <w:rsid w:val="00C156FE"/>
    <w:rsid w:val="00C15BB5"/>
    <w:rsid w:val="00C15C9B"/>
    <w:rsid w:val="00C15CC2"/>
    <w:rsid w:val="00C15DFA"/>
    <w:rsid w:val="00C160CA"/>
    <w:rsid w:val="00C16685"/>
    <w:rsid w:val="00C16984"/>
    <w:rsid w:val="00C16B54"/>
    <w:rsid w:val="00C16D66"/>
    <w:rsid w:val="00C17331"/>
    <w:rsid w:val="00C17349"/>
    <w:rsid w:val="00C173F7"/>
    <w:rsid w:val="00C175A7"/>
    <w:rsid w:val="00C175CB"/>
    <w:rsid w:val="00C17C85"/>
    <w:rsid w:val="00C17FEC"/>
    <w:rsid w:val="00C20069"/>
    <w:rsid w:val="00C2022B"/>
    <w:rsid w:val="00C2108F"/>
    <w:rsid w:val="00C211BF"/>
    <w:rsid w:val="00C2128D"/>
    <w:rsid w:val="00C21405"/>
    <w:rsid w:val="00C21827"/>
    <w:rsid w:val="00C218D0"/>
    <w:rsid w:val="00C21D2B"/>
    <w:rsid w:val="00C21E6A"/>
    <w:rsid w:val="00C21EAF"/>
    <w:rsid w:val="00C2227D"/>
    <w:rsid w:val="00C223FF"/>
    <w:rsid w:val="00C2274F"/>
    <w:rsid w:val="00C22ED5"/>
    <w:rsid w:val="00C23016"/>
    <w:rsid w:val="00C23045"/>
    <w:rsid w:val="00C235DA"/>
    <w:rsid w:val="00C23751"/>
    <w:rsid w:val="00C2378E"/>
    <w:rsid w:val="00C2387B"/>
    <w:rsid w:val="00C23BAE"/>
    <w:rsid w:val="00C23D0D"/>
    <w:rsid w:val="00C23D2C"/>
    <w:rsid w:val="00C23D52"/>
    <w:rsid w:val="00C23E7D"/>
    <w:rsid w:val="00C23FEA"/>
    <w:rsid w:val="00C24552"/>
    <w:rsid w:val="00C248A5"/>
    <w:rsid w:val="00C24AC9"/>
    <w:rsid w:val="00C24DA2"/>
    <w:rsid w:val="00C24E3F"/>
    <w:rsid w:val="00C24EFD"/>
    <w:rsid w:val="00C25157"/>
    <w:rsid w:val="00C25313"/>
    <w:rsid w:val="00C25667"/>
    <w:rsid w:val="00C256C8"/>
    <w:rsid w:val="00C256D8"/>
    <w:rsid w:val="00C257EE"/>
    <w:rsid w:val="00C258C4"/>
    <w:rsid w:val="00C25A1F"/>
    <w:rsid w:val="00C25B28"/>
    <w:rsid w:val="00C261AB"/>
    <w:rsid w:val="00C26221"/>
    <w:rsid w:val="00C26432"/>
    <w:rsid w:val="00C2646A"/>
    <w:rsid w:val="00C264DF"/>
    <w:rsid w:val="00C26BC8"/>
    <w:rsid w:val="00C26D98"/>
    <w:rsid w:val="00C26E6C"/>
    <w:rsid w:val="00C2714A"/>
    <w:rsid w:val="00C274B5"/>
    <w:rsid w:val="00C274BC"/>
    <w:rsid w:val="00C27B5D"/>
    <w:rsid w:val="00C27C5A"/>
    <w:rsid w:val="00C27C83"/>
    <w:rsid w:val="00C27E09"/>
    <w:rsid w:val="00C30120"/>
    <w:rsid w:val="00C3045D"/>
    <w:rsid w:val="00C306E0"/>
    <w:rsid w:val="00C30759"/>
    <w:rsid w:val="00C30977"/>
    <w:rsid w:val="00C309A1"/>
    <w:rsid w:val="00C30AA1"/>
    <w:rsid w:val="00C31BB2"/>
    <w:rsid w:val="00C31DBA"/>
    <w:rsid w:val="00C32193"/>
    <w:rsid w:val="00C32243"/>
    <w:rsid w:val="00C322A9"/>
    <w:rsid w:val="00C324B0"/>
    <w:rsid w:val="00C325CC"/>
    <w:rsid w:val="00C33147"/>
    <w:rsid w:val="00C336F9"/>
    <w:rsid w:val="00C339DA"/>
    <w:rsid w:val="00C34232"/>
    <w:rsid w:val="00C342BF"/>
    <w:rsid w:val="00C3481A"/>
    <w:rsid w:val="00C349C5"/>
    <w:rsid w:val="00C34BA7"/>
    <w:rsid w:val="00C352C7"/>
    <w:rsid w:val="00C353B4"/>
    <w:rsid w:val="00C353E0"/>
    <w:rsid w:val="00C35472"/>
    <w:rsid w:val="00C355BE"/>
    <w:rsid w:val="00C35C5D"/>
    <w:rsid w:val="00C35E58"/>
    <w:rsid w:val="00C360C0"/>
    <w:rsid w:val="00C36294"/>
    <w:rsid w:val="00C3641C"/>
    <w:rsid w:val="00C36428"/>
    <w:rsid w:val="00C36FB0"/>
    <w:rsid w:val="00C371D7"/>
    <w:rsid w:val="00C372E4"/>
    <w:rsid w:val="00C373D5"/>
    <w:rsid w:val="00C3745D"/>
    <w:rsid w:val="00C37CE9"/>
    <w:rsid w:val="00C37CF7"/>
    <w:rsid w:val="00C37EAE"/>
    <w:rsid w:val="00C37EEA"/>
    <w:rsid w:val="00C40262"/>
    <w:rsid w:val="00C405BF"/>
    <w:rsid w:val="00C4091F"/>
    <w:rsid w:val="00C40A40"/>
    <w:rsid w:val="00C41178"/>
    <w:rsid w:val="00C4166D"/>
    <w:rsid w:val="00C41C53"/>
    <w:rsid w:val="00C41F04"/>
    <w:rsid w:val="00C42084"/>
    <w:rsid w:val="00C42097"/>
    <w:rsid w:val="00C422AE"/>
    <w:rsid w:val="00C4232D"/>
    <w:rsid w:val="00C427BE"/>
    <w:rsid w:val="00C42CC8"/>
    <w:rsid w:val="00C42D04"/>
    <w:rsid w:val="00C42F7D"/>
    <w:rsid w:val="00C4310A"/>
    <w:rsid w:val="00C4385A"/>
    <w:rsid w:val="00C43E7D"/>
    <w:rsid w:val="00C44444"/>
    <w:rsid w:val="00C44794"/>
    <w:rsid w:val="00C4489C"/>
    <w:rsid w:val="00C44A31"/>
    <w:rsid w:val="00C4507E"/>
    <w:rsid w:val="00C451EB"/>
    <w:rsid w:val="00C45709"/>
    <w:rsid w:val="00C45945"/>
    <w:rsid w:val="00C45975"/>
    <w:rsid w:val="00C459D6"/>
    <w:rsid w:val="00C45A46"/>
    <w:rsid w:val="00C45D5E"/>
    <w:rsid w:val="00C45E12"/>
    <w:rsid w:val="00C45ED9"/>
    <w:rsid w:val="00C460F3"/>
    <w:rsid w:val="00C461BB"/>
    <w:rsid w:val="00C46A0A"/>
    <w:rsid w:val="00C46AED"/>
    <w:rsid w:val="00C46C47"/>
    <w:rsid w:val="00C47028"/>
    <w:rsid w:val="00C47069"/>
    <w:rsid w:val="00C47655"/>
    <w:rsid w:val="00C501D6"/>
    <w:rsid w:val="00C5045D"/>
    <w:rsid w:val="00C50931"/>
    <w:rsid w:val="00C509FD"/>
    <w:rsid w:val="00C50D3E"/>
    <w:rsid w:val="00C50E9B"/>
    <w:rsid w:val="00C50F79"/>
    <w:rsid w:val="00C510CA"/>
    <w:rsid w:val="00C510DB"/>
    <w:rsid w:val="00C513E4"/>
    <w:rsid w:val="00C51FB4"/>
    <w:rsid w:val="00C5265A"/>
    <w:rsid w:val="00C52A1C"/>
    <w:rsid w:val="00C52F24"/>
    <w:rsid w:val="00C532A0"/>
    <w:rsid w:val="00C53337"/>
    <w:rsid w:val="00C536A4"/>
    <w:rsid w:val="00C53E43"/>
    <w:rsid w:val="00C54429"/>
    <w:rsid w:val="00C54644"/>
    <w:rsid w:val="00C54D09"/>
    <w:rsid w:val="00C54D13"/>
    <w:rsid w:val="00C54EE2"/>
    <w:rsid w:val="00C54F08"/>
    <w:rsid w:val="00C55359"/>
    <w:rsid w:val="00C55C01"/>
    <w:rsid w:val="00C55DCF"/>
    <w:rsid w:val="00C55E65"/>
    <w:rsid w:val="00C5687E"/>
    <w:rsid w:val="00C57061"/>
    <w:rsid w:val="00C57063"/>
    <w:rsid w:val="00C57173"/>
    <w:rsid w:val="00C5778D"/>
    <w:rsid w:val="00C577F1"/>
    <w:rsid w:val="00C57A97"/>
    <w:rsid w:val="00C57DC8"/>
    <w:rsid w:val="00C600ED"/>
    <w:rsid w:val="00C601D3"/>
    <w:rsid w:val="00C604BC"/>
    <w:rsid w:val="00C60699"/>
    <w:rsid w:val="00C60D38"/>
    <w:rsid w:val="00C60D82"/>
    <w:rsid w:val="00C616F3"/>
    <w:rsid w:val="00C61943"/>
    <w:rsid w:val="00C619A4"/>
    <w:rsid w:val="00C61DA9"/>
    <w:rsid w:val="00C628EF"/>
    <w:rsid w:val="00C62D76"/>
    <w:rsid w:val="00C63320"/>
    <w:rsid w:val="00C63568"/>
    <w:rsid w:val="00C6359B"/>
    <w:rsid w:val="00C63906"/>
    <w:rsid w:val="00C63975"/>
    <w:rsid w:val="00C63A01"/>
    <w:rsid w:val="00C63D04"/>
    <w:rsid w:val="00C63DD6"/>
    <w:rsid w:val="00C641BD"/>
    <w:rsid w:val="00C64224"/>
    <w:rsid w:val="00C644B7"/>
    <w:rsid w:val="00C6487A"/>
    <w:rsid w:val="00C64E6F"/>
    <w:rsid w:val="00C64FC4"/>
    <w:rsid w:val="00C65083"/>
    <w:rsid w:val="00C65146"/>
    <w:rsid w:val="00C65248"/>
    <w:rsid w:val="00C6536F"/>
    <w:rsid w:val="00C657B8"/>
    <w:rsid w:val="00C658E5"/>
    <w:rsid w:val="00C661BC"/>
    <w:rsid w:val="00C663A7"/>
    <w:rsid w:val="00C66667"/>
    <w:rsid w:val="00C669ED"/>
    <w:rsid w:val="00C66AEB"/>
    <w:rsid w:val="00C66CC8"/>
    <w:rsid w:val="00C672F2"/>
    <w:rsid w:val="00C6747F"/>
    <w:rsid w:val="00C678B4"/>
    <w:rsid w:val="00C6790C"/>
    <w:rsid w:val="00C67EE6"/>
    <w:rsid w:val="00C67F2D"/>
    <w:rsid w:val="00C7001B"/>
    <w:rsid w:val="00C70885"/>
    <w:rsid w:val="00C70F9D"/>
    <w:rsid w:val="00C71095"/>
    <w:rsid w:val="00C710A9"/>
    <w:rsid w:val="00C710E7"/>
    <w:rsid w:val="00C71285"/>
    <w:rsid w:val="00C712EC"/>
    <w:rsid w:val="00C713D8"/>
    <w:rsid w:val="00C71604"/>
    <w:rsid w:val="00C718E5"/>
    <w:rsid w:val="00C71C07"/>
    <w:rsid w:val="00C72362"/>
    <w:rsid w:val="00C72550"/>
    <w:rsid w:val="00C72663"/>
    <w:rsid w:val="00C72756"/>
    <w:rsid w:val="00C72BDB"/>
    <w:rsid w:val="00C72C61"/>
    <w:rsid w:val="00C72CEF"/>
    <w:rsid w:val="00C72F73"/>
    <w:rsid w:val="00C7307E"/>
    <w:rsid w:val="00C733A5"/>
    <w:rsid w:val="00C733F9"/>
    <w:rsid w:val="00C7349F"/>
    <w:rsid w:val="00C737D0"/>
    <w:rsid w:val="00C738F4"/>
    <w:rsid w:val="00C739B8"/>
    <w:rsid w:val="00C73A74"/>
    <w:rsid w:val="00C73B88"/>
    <w:rsid w:val="00C73C21"/>
    <w:rsid w:val="00C73EA4"/>
    <w:rsid w:val="00C7400D"/>
    <w:rsid w:val="00C7465A"/>
    <w:rsid w:val="00C75764"/>
    <w:rsid w:val="00C7580A"/>
    <w:rsid w:val="00C75991"/>
    <w:rsid w:val="00C75FCE"/>
    <w:rsid w:val="00C7610B"/>
    <w:rsid w:val="00C765AF"/>
    <w:rsid w:val="00C76781"/>
    <w:rsid w:val="00C768F0"/>
    <w:rsid w:val="00C769A6"/>
    <w:rsid w:val="00C76F40"/>
    <w:rsid w:val="00C76FB9"/>
    <w:rsid w:val="00C77231"/>
    <w:rsid w:val="00C77524"/>
    <w:rsid w:val="00C77616"/>
    <w:rsid w:val="00C77708"/>
    <w:rsid w:val="00C77E30"/>
    <w:rsid w:val="00C8094D"/>
    <w:rsid w:val="00C80C75"/>
    <w:rsid w:val="00C80F3F"/>
    <w:rsid w:val="00C810C6"/>
    <w:rsid w:val="00C81435"/>
    <w:rsid w:val="00C8154D"/>
    <w:rsid w:val="00C81743"/>
    <w:rsid w:val="00C818B9"/>
    <w:rsid w:val="00C819B6"/>
    <w:rsid w:val="00C81A63"/>
    <w:rsid w:val="00C81B39"/>
    <w:rsid w:val="00C81D72"/>
    <w:rsid w:val="00C82505"/>
    <w:rsid w:val="00C828F2"/>
    <w:rsid w:val="00C82DB7"/>
    <w:rsid w:val="00C83077"/>
    <w:rsid w:val="00C83DF6"/>
    <w:rsid w:val="00C841F5"/>
    <w:rsid w:val="00C84238"/>
    <w:rsid w:val="00C8430F"/>
    <w:rsid w:val="00C84387"/>
    <w:rsid w:val="00C84C7A"/>
    <w:rsid w:val="00C84E7E"/>
    <w:rsid w:val="00C84FAC"/>
    <w:rsid w:val="00C85050"/>
    <w:rsid w:val="00C850D7"/>
    <w:rsid w:val="00C8511E"/>
    <w:rsid w:val="00C851EC"/>
    <w:rsid w:val="00C85848"/>
    <w:rsid w:val="00C85A3A"/>
    <w:rsid w:val="00C85AE2"/>
    <w:rsid w:val="00C85F6F"/>
    <w:rsid w:val="00C862C2"/>
    <w:rsid w:val="00C8632B"/>
    <w:rsid w:val="00C864AF"/>
    <w:rsid w:val="00C86A63"/>
    <w:rsid w:val="00C86AE0"/>
    <w:rsid w:val="00C86DF8"/>
    <w:rsid w:val="00C8731B"/>
    <w:rsid w:val="00C87467"/>
    <w:rsid w:val="00C87640"/>
    <w:rsid w:val="00C876D9"/>
    <w:rsid w:val="00C8776E"/>
    <w:rsid w:val="00C878EF"/>
    <w:rsid w:val="00C87ADF"/>
    <w:rsid w:val="00C87ED1"/>
    <w:rsid w:val="00C87F16"/>
    <w:rsid w:val="00C90915"/>
    <w:rsid w:val="00C90C24"/>
    <w:rsid w:val="00C90CC7"/>
    <w:rsid w:val="00C90D8F"/>
    <w:rsid w:val="00C90DD2"/>
    <w:rsid w:val="00C91822"/>
    <w:rsid w:val="00C918BD"/>
    <w:rsid w:val="00C91946"/>
    <w:rsid w:val="00C919B6"/>
    <w:rsid w:val="00C919B7"/>
    <w:rsid w:val="00C91B43"/>
    <w:rsid w:val="00C91BA5"/>
    <w:rsid w:val="00C92307"/>
    <w:rsid w:val="00C92597"/>
    <w:rsid w:val="00C92B8D"/>
    <w:rsid w:val="00C92EAF"/>
    <w:rsid w:val="00C93021"/>
    <w:rsid w:val="00C9309D"/>
    <w:rsid w:val="00C93329"/>
    <w:rsid w:val="00C93454"/>
    <w:rsid w:val="00C93455"/>
    <w:rsid w:val="00C934D4"/>
    <w:rsid w:val="00C93C17"/>
    <w:rsid w:val="00C93C78"/>
    <w:rsid w:val="00C93E11"/>
    <w:rsid w:val="00C93E36"/>
    <w:rsid w:val="00C93F5A"/>
    <w:rsid w:val="00C94663"/>
    <w:rsid w:val="00C94AEC"/>
    <w:rsid w:val="00C94F9A"/>
    <w:rsid w:val="00C95016"/>
    <w:rsid w:val="00C9536C"/>
    <w:rsid w:val="00C95A84"/>
    <w:rsid w:val="00C95DE2"/>
    <w:rsid w:val="00C95FA0"/>
    <w:rsid w:val="00C9608C"/>
    <w:rsid w:val="00C961EE"/>
    <w:rsid w:val="00C9620D"/>
    <w:rsid w:val="00C96FE3"/>
    <w:rsid w:val="00C97123"/>
    <w:rsid w:val="00C975CA"/>
    <w:rsid w:val="00CA09B9"/>
    <w:rsid w:val="00CA0D6E"/>
    <w:rsid w:val="00CA0FA2"/>
    <w:rsid w:val="00CA1177"/>
    <w:rsid w:val="00CA16AF"/>
    <w:rsid w:val="00CA16F4"/>
    <w:rsid w:val="00CA17BF"/>
    <w:rsid w:val="00CA1926"/>
    <w:rsid w:val="00CA1DAA"/>
    <w:rsid w:val="00CA2243"/>
    <w:rsid w:val="00CA2566"/>
    <w:rsid w:val="00CA27F0"/>
    <w:rsid w:val="00CA2AC5"/>
    <w:rsid w:val="00CA2AE3"/>
    <w:rsid w:val="00CA2CF0"/>
    <w:rsid w:val="00CA3262"/>
    <w:rsid w:val="00CA33E3"/>
    <w:rsid w:val="00CA3426"/>
    <w:rsid w:val="00CA36FB"/>
    <w:rsid w:val="00CA3856"/>
    <w:rsid w:val="00CA4224"/>
    <w:rsid w:val="00CA4318"/>
    <w:rsid w:val="00CA443E"/>
    <w:rsid w:val="00CA4532"/>
    <w:rsid w:val="00CA463A"/>
    <w:rsid w:val="00CA4861"/>
    <w:rsid w:val="00CA4FB7"/>
    <w:rsid w:val="00CA5198"/>
    <w:rsid w:val="00CA6429"/>
    <w:rsid w:val="00CA6449"/>
    <w:rsid w:val="00CA689E"/>
    <w:rsid w:val="00CA745B"/>
    <w:rsid w:val="00CA790A"/>
    <w:rsid w:val="00CA7EBA"/>
    <w:rsid w:val="00CB0147"/>
    <w:rsid w:val="00CB015D"/>
    <w:rsid w:val="00CB0276"/>
    <w:rsid w:val="00CB0317"/>
    <w:rsid w:val="00CB0455"/>
    <w:rsid w:val="00CB04B0"/>
    <w:rsid w:val="00CB0556"/>
    <w:rsid w:val="00CB08AE"/>
    <w:rsid w:val="00CB0A82"/>
    <w:rsid w:val="00CB0C1A"/>
    <w:rsid w:val="00CB0E7C"/>
    <w:rsid w:val="00CB0F7D"/>
    <w:rsid w:val="00CB17CC"/>
    <w:rsid w:val="00CB1985"/>
    <w:rsid w:val="00CB1A08"/>
    <w:rsid w:val="00CB1F00"/>
    <w:rsid w:val="00CB1FFD"/>
    <w:rsid w:val="00CB24DA"/>
    <w:rsid w:val="00CB2A8D"/>
    <w:rsid w:val="00CB2A9F"/>
    <w:rsid w:val="00CB2B20"/>
    <w:rsid w:val="00CB3039"/>
    <w:rsid w:val="00CB30BA"/>
    <w:rsid w:val="00CB30C7"/>
    <w:rsid w:val="00CB331A"/>
    <w:rsid w:val="00CB3440"/>
    <w:rsid w:val="00CB34BF"/>
    <w:rsid w:val="00CB3540"/>
    <w:rsid w:val="00CB365E"/>
    <w:rsid w:val="00CB3820"/>
    <w:rsid w:val="00CB3BB4"/>
    <w:rsid w:val="00CB3D3D"/>
    <w:rsid w:val="00CB3FE8"/>
    <w:rsid w:val="00CB45E0"/>
    <w:rsid w:val="00CB4807"/>
    <w:rsid w:val="00CB4928"/>
    <w:rsid w:val="00CB54E3"/>
    <w:rsid w:val="00CB5587"/>
    <w:rsid w:val="00CB562E"/>
    <w:rsid w:val="00CB5AD7"/>
    <w:rsid w:val="00CB61C4"/>
    <w:rsid w:val="00CB6272"/>
    <w:rsid w:val="00CB647C"/>
    <w:rsid w:val="00CB6793"/>
    <w:rsid w:val="00CB69F1"/>
    <w:rsid w:val="00CB6CE3"/>
    <w:rsid w:val="00CB7453"/>
    <w:rsid w:val="00CB747C"/>
    <w:rsid w:val="00CB7C5C"/>
    <w:rsid w:val="00CB7C60"/>
    <w:rsid w:val="00CB7C84"/>
    <w:rsid w:val="00CC0900"/>
    <w:rsid w:val="00CC0AA0"/>
    <w:rsid w:val="00CC0AD2"/>
    <w:rsid w:val="00CC0C8C"/>
    <w:rsid w:val="00CC0FB5"/>
    <w:rsid w:val="00CC101B"/>
    <w:rsid w:val="00CC14FC"/>
    <w:rsid w:val="00CC15C2"/>
    <w:rsid w:val="00CC1673"/>
    <w:rsid w:val="00CC168F"/>
    <w:rsid w:val="00CC1729"/>
    <w:rsid w:val="00CC1978"/>
    <w:rsid w:val="00CC1A0F"/>
    <w:rsid w:val="00CC1AB7"/>
    <w:rsid w:val="00CC1CC0"/>
    <w:rsid w:val="00CC212A"/>
    <w:rsid w:val="00CC22D0"/>
    <w:rsid w:val="00CC2483"/>
    <w:rsid w:val="00CC2880"/>
    <w:rsid w:val="00CC2A33"/>
    <w:rsid w:val="00CC32B0"/>
    <w:rsid w:val="00CC3554"/>
    <w:rsid w:val="00CC3693"/>
    <w:rsid w:val="00CC3724"/>
    <w:rsid w:val="00CC37D6"/>
    <w:rsid w:val="00CC3888"/>
    <w:rsid w:val="00CC3902"/>
    <w:rsid w:val="00CC3A80"/>
    <w:rsid w:val="00CC456C"/>
    <w:rsid w:val="00CC47DD"/>
    <w:rsid w:val="00CC4BAC"/>
    <w:rsid w:val="00CC5051"/>
    <w:rsid w:val="00CC5324"/>
    <w:rsid w:val="00CC5549"/>
    <w:rsid w:val="00CC560F"/>
    <w:rsid w:val="00CC569D"/>
    <w:rsid w:val="00CC5705"/>
    <w:rsid w:val="00CC59AD"/>
    <w:rsid w:val="00CC5AF7"/>
    <w:rsid w:val="00CC5F82"/>
    <w:rsid w:val="00CC6246"/>
    <w:rsid w:val="00CC6A65"/>
    <w:rsid w:val="00CC6ABC"/>
    <w:rsid w:val="00CC6BBF"/>
    <w:rsid w:val="00CC6C0D"/>
    <w:rsid w:val="00CC6C1B"/>
    <w:rsid w:val="00CC6CDB"/>
    <w:rsid w:val="00CC6EE3"/>
    <w:rsid w:val="00CC6F88"/>
    <w:rsid w:val="00CC6F93"/>
    <w:rsid w:val="00CC73CE"/>
    <w:rsid w:val="00CC7638"/>
    <w:rsid w:val="00CC76CA"/>
    <w:rsid w:val="00CC790F"/>
    <w:rsid w:val="00CD069B"/>
    <w:rsid w:val="00CD0902"/>
    <w:rsid w:val="00CD0B00"/>
    <w:rsid w:val="00CD0CCC"/>
    <w:rsid w:val="00CD0E05"/>
    <w:rsid w:val="00CD1250"/>
    <w:rsid w:val="00CD1340"/>
    <w:rsid w:val="00CD14C1"/>
    <w:rsid w:val="00CD1560"/>
    <w:rsid w:val="00CD18B1"/>
    <w:rsid w:val="00CD1BF4"/>
    <w:rsid w:val="00CD1F7A"/>
    <w:rsid w:val="00CD20B2"/>
    <w:rsid w:val="00CD25A0"/>
    <w:rsid w:val="00CD2733"/>
    <w:rsid w:val="00CD291F"/>
    <w:rsid w:val="00CD2C17"/>
    <w:rsid w:val="00CD2DA4"/>
    <w:rsid w:val="00CD31C4"/>
    <w:rsid w:val="00CD347B"/>
    <w:rsid w:val="00CD351A"/>
    <w:rsid w:val="00CD39C0"/>
    <w:rsid w:val="00CD3A75"/>
    <w:rsid w:val="00CD41C8"/>
    <w:rsid w:val="00CD48D2"/>
    <w:rsid w:val="00CD492C"/>
    <w:rsid w:val="00CD4A1D"/>
    <w:rsid w:val="00CD4CF1"/>
    <w:rsid w:val="00CD4E8D"/>
    <w:rsid w:val="00CD5003"/>
    <w:rsid w:val="00CD528D"/>
    <w:rsid w:val="00CD52EA"/>
    <w:rsid w:val="00CD543D"/>
    <w:rsid w:val="00CD566E"/>
    <w:rsid w:val="00CD570E"/>
    <w:rsid w:val="00CD6175"/>
    <w:rsid w:val="00CD6244"/>
    <w:rsid w:val="00CD6454"/>
    <w:rsid w:val="00CD64C4"/>
    <w:rsid w:val="00CD652C"/>
    <w:rsid w:val="00CD67AF"/>
    <w:rsid w:val="00CD688C"/>
    <w:rsid w:val="00CD6DAB"/>
    <w:rsid w:val="00CD6E79"/>
    <w:rsid w:val="00CD6FC0"/>
    <w:rsid w:val="00CD70C5"/>
    <w:rsid w:val="00CD72E2"/>
    <w:rsid w:val="00CD7317"/>
    <w:rsid w:val="00CD7A03"/>
    <w:rsid w:val="00CD7F62"/>
    <w:rsid w:val="00CE008B"/>
    <w:rsid w:val="00CE02D1"/>
    <w:rsid w:val="00CE0344"/>
    <w:rsid w:val="00CE03FE"/>
    <w:rsid w:val="00CE0757"/>
    <w:rsid w:val="00CE0852"/>
    <w:rsid w:val="00CE0966"/>
    <w:rsid w:val="00CE0D44"/>
    <w:rsid w:val="00CE11BC"/>
    <w:rsid w:val="00CE1B7B"/>
    <w:rsid w:val="00CE2090"/>
    <w:rsid w:val="00CE28CE"/>
    <w:rsid w:val="00CE28F5"/>
    <w:rsid w:val="00CE2966"/>
    <w:rsid w:val="00CE2B83"/>
    <w:rsid w:val="00CE2C18"/>
    <w:rsid w:val="00CE30F7"/>
    <w:rsid w:val="00CE3171"/>
    <w:rsid w:val="00CE328A"/>
    <w:rsid w:val="00CE32FD"/>
    <w:rsid w:val="00CE3349"/>
    <w:rsid w:val="00CE3A2B"/>
    <w:rsid w:val="00CE3A72"/>
    <w:rsid w:val="00CE3B33"/>
    <w:rsid w:val="00CE3BD0"/>
    <w:rsid w:val="00CE3D57"/>
    <w:rsid w:val="00CE3F76"/>
    <w:rsid w:val="00CE4330"/>
    <w:rsid w:val="00CE43FF"/>
    <w:rsid w:val="00CE4649"/>
    <w:rsid w:val="00CE46BC"/>
    <w:rsid w:val="00CE47D7"/>
    <w:rsid w:val="00CE4A5A"/>
    <w:rsid w:val="00CE4C0E"/>
    <w:rsid w:val="00CE5034"/>
    <w:rsid w:val="00CE50E8"/>
    <w:rsid w:val="00CE517C"/>
    <w:rsid w:val="00CE5521"/>
    <w:rsid w:val="00CE5527"/>
    <w:rsid w:val="00CE57E9"/>
    <w:rsid w:val="00CE5C04"/>
    <w:rsid w:val="00CE5F6E"/>
    <w:rsid w:val="00CE5FD9"/>
    <w:rsid w:val="00CE611F"/>
    <w:rsid w:val="00CE624A"/>
    <w:rsid w:val="00CE638E"/>
    <w:rsid w:val="00CE63D4"/>
    <w:rsid w:val="00CE640A"/>
    <w:rsid w:val="00CE68C4"/>
    <w:rsid w:val="00CE6BB2"/>
    <w:rsid w:val="00CE6E05"/>
    <w:rsid w:val="00CE7039"/>
    <w:rsid w:val="00CE7169"/>
    <w:rsid w:val="00CE729A"/>
    <w:rsid w:val="00CE73D3"/>
    <w:rsid w:val="00CF027E"/>
    <w:rsid w:val="00CF03BC"/>
    <w:rsid w:val="00CF0649"/>
    <w:rsid w:val="00CF069D"/>
    <w:rsid w:val="00CF07EF"/>
    <w:rsid w:val="00CF09BC"/>
    <w:rsid w:val="00CF0A85"/>
    <w:rsid w:val="00CF123F"/>
    <w:rsid w:val="00CF16AC"/>
    <w:rsid w:val="00CF16F0"/>
    <w:rsid w:val="00CF1AAB"/>
    <w:rsid w:val="00CF1BDD"/>
    <w:rsid w:val="00CF1DDF"/>
    <w:rsid w:val="00CF1E17"/>
    <w:rsid w:val="00CF1FE0"/>
    <w:rsid w:val="00CF203D"/>
    <w:rsid w:val="00CF2280"/>
    <w:rsid w:val="00CF27E9"/>
    <w:rsid w:val="00CF2A97"/>
    <w:rsid w:val="00CF2C5E"/>
    <w:rsid w:val="00CF2C61"/>
    <w:rsid w:val="00CF2E38"/>
    <w:rsid w:val="00CF33D1"/>
    <w:rsid w:val="00CF3414"/>
    <w:rsid w:val="00CF352F"/>
    <w:rsid w:val="00CF3AEF"/>
    <w:rsid w:val="00CF3CD0"/>
    <w:rsid w:val="00CF3DA4"/>
    <w:rsid w:val="00CF4382"/>
    <w:rsid w:val="00CF451A"/>
    <w:rsid w:val="00CF4869"/>
    <w:rsid w:val="00CF4BF4"/>
    <w:rsid w:val="00CF5432"/>
    <w:rsid w:val="00CF5587"/>
    <w:rsid w:val="00CF5DC0"/>
    <w:rsid w:val="00CF5E39"/>
    <w:rsid w:val="00CF5F5D"/>
    <w:rsid w:val="00CF6086"/>
    <w:rsid w:val="00CF60D7"/>
    <w:rsid w:val="00CF61FA"/>
    <w:rsid w:val="00CF63BF"/>
    <w:rsid w:val="00CF6834"/>
    <w:rsid w:val="00CF6AAA"/>
    <w:rsid w:val="00CF70D9"/>
    <w:rsid w:val="00CF76C2"/>
    <w:rsid w:val="00CF7969"/>
    <w:rsid w:val="00CF7CA2"/>
    <w:rsid w:val="00CF7FA2"/>
    <w:rsid w:val="00D00013"/>
    <w:rsid w:val="00D006BC"/>
    <w:rsid w:val="00D00B36"/>
    <w:rsid w:val="00D00D4D"/>
    <w:rsid w:val="00D00DDC"/>
    <w:rsid w:val="00D010EA"/>
    <w:rsid w:val="00D0144D"/>
    <w:rsid w:val="00D01470"/>
    <w:rsid w:val="00D01867"/>
    <w:rsid w:val="00D01952"/>
    <w:rsid w:val="00D01C1B"/>
    <w:rsid w:val="00D01D19"/>
    <w:rsid w:val="00D01DC6"/>
    <w:rsid w:val="00D01FEC"/>
    <w:rsid w:val="00D02127"/>
    <w:rsid w:val="00D02608"/>
    <w:rsid w:val="00D02B71"/>
    <w:rsid w:val="00D02BB4"/>
    <w:rsid w:val="00D02F4B"/>
    <w:rsid w:val="00D03D27"/>
    <w:rsid w:val="00D04418"/>
    <w:rsid w:val="00D044F0"/>
    <w:rsid w:val="00D045A3"/>
    <w:rsid w:val="00D0487E"/>
    <w:rsid w:val="00D048B4"/>
    <w:rsid w:val="00D04E79"/>
    <w:rsid w:val="00D0561D"/>
    <w:rsid w:val="00D05650"/>
    <w:rsid w:val="00D05798"/>
    <w:rsid w:val="00D05800"/>
    <w:rsid w:val="00D05831"/>
    <w:rsid w:val="00D0589F"/>
    <w:rsid w:val="00D0590F"/>
    <w:rsid w:val="00D05B50"/>
    <w:rsid w:val="00D05E6C"/>
    <w:rsid w:val="00D05EB6"/>
    <w:rsid w:val="00D05EFD"/>
    <w:rsid w:val="00D062AD"/>
    <w:rsid w:val="00D06E0D"/>
    <w:rsid w:val="00D0722E"/>
    <w:rsid w:val="00D07415"/>
    <w:rsid w:val="00D07A4E"/>
    <w:rsid w:val="00D07B18"/>
    <w:rsid w:val="00D1047A"/>
    <w:rsid w:val="00D106BC"/>
    <w:rsid w:val="00D10709"/>
    <w:rsid w:val="00D108CA"/>
    <w:rsid w:val="00D117C6"/>
    <w:rsid w:val="00D117EA"/>
    <w:rsid w:val="00D11EA2"/>
    <w:rsid w:val="00D11F9E"/>
    <w:rsid w:val="00D126BB"/>
    <w:rsid w:val="00D126D9"/>
    <w:rsid w:val="00D12B68"/>
    <w:rsid w:val="00D12C80"/>
    <w:rsid w:val="00D12ED4"/>
    <w:rsid w:val="00D12F03"/>
    <w:rsid w:val="00D13106"/>
    <w:rsid w:val="00D13641"/>
    <w:rsid w:val="00D13711"/>
    <w:rsid w:val="00D1371D"/>
    <w:rsid w:val="00D138D8"/>
    <w:rsid w:val="00D13FDE"/>
    <w:rsid w:val="00D141BC"/>
    <w:rsid w:val="00D14514"/>
    <w:rsid w:val="00D1454F"/>
    <w:rsid w:val="00D14663"/>
    <w:rsid w:val="00D15043"/>
    <w:rsid w:val="00D15963"/>
    <w:rsid w:val="00D159C6"/>
    <w:rsid w:val="00D15AA5"/>
    <w:rsid w:val="00D15AD6"/>
    <w:rsid w:val="00D15FC9"/>
    <w:rsid w:val="00D163F0"/>
    <w:rsid w:val="00D163F4"/>
    <w:rsid w:val="00D16986"/>
    <w:rsid w:val="00D169AC"/>
    <w:rsid w:val="00D1795F"/>
    <w:rsid w:val="00D179C2"/>
    <w:rsid w:val="00D17A28"/>
    <w:rsid w:val="00D17B28"/>
    <w:rsid w:val="00D20243"/>
    <w:rsid w:val="00D20311"/>
    <w:rsid w:val="00D2064D"/>
    <w:rsid w:val="00D206DC"/>
    <w:rsid w:val="00D20ACB"/>
    <w:rsid w:val="00D20FF9"/>
    <w:rsid w:val="00D2162C"/>
    <w:rsid w:val="00D2165A"/>
    <w:rsid w:val="00D21898"/>
    <w:rsid w:val="00D21A3C"/>
    <w:rsid w:val="00D21A8A"/>
    <w:rsid w:val="00D21ECB"/>
    <w:rsid w:val="00D21ECF"/>
    <w:rsid w:val="00D21EE8"/>
    <w:rsid w:val="00D22883"/>
    <w:rsid w:val="00D22A0E"/>
    <w:rsid w:val="00D22BD6"/>
    <w:rsid w:val="00D22C49"/>
    <w:rsid w:val="00D23157"/>
    <w:rsid w:val="00D232D0"/>
    <w:rsid w:val="00D2371B"/>
    <w:rsid w:val="00D239F8"/>
    <w:rsid w:val="00D24047"/>
    <w:rsid w:val="00D24402"/>
    <w:rsid w:val="00D24AA9"/>
    <w:rsid w:val="00D24BFC"/>
    <w:rsid w:val="00D24E5C"/>
    <w:rsid w:val="00D251DD"/>
    <w:rsid w:val="00D25266"/>
    <w:rsid w:val="00D2531A"/>
    <w:rsid w:val="00D25414"/>
    <w:rsid w:val="00D2562B"/>
    <w:rsid w:val="00D257A4"/>
    <w:rsid w:val="00D259E5"/>
    <w:rsid w:val="00D25D41"/>
    <w:rsid w:val="00D25E4E"/>
    <w:rsid w:val="00D25FE9"/>
    <w:rsid w:val="00D26232"/>
    <w:rsid w:val="00D263D9"/>
    <w:rsid w:val="00D267D7"/>
    <w:rsid w:val="00D26808"/>
    <w:rsid w:val="00D26D24"/>
    <w:rsid w:val="00D277E1"/>
    <w:rsid w:val="00D27907"/>
    <w:rsid w:val="00D27AF7"/>
    <w:rsid w:val="00D27DD2"/>
    <w:rsid w:val="00D27EC4"/>
    <w:rsid w:val="00D307D8"/>
    <w:rsid w:val="00D30A9C"/>
    <w:rsid w:val="00D30CB8"/>
    <w:rsid w:val="00D31377"/>
    <w:rsid w:val="00D31400"/>
    <w:rsid w:val="00D315EF"/>
    <w:rsid w:val="00D317E7"/>
    <w:rsid w:val="00D31890"/>
    <w:rsid w:val="00D31C4C"/>
    <w:rsid w:val="00D32080"/>
    <w:rsid w:val="00D321AC"/>
    <w:rsid w:val="00D322E6"/>
    <w:rsid w:val="00D32708"/>
    <w:rsid w:val="00D3286E"/>
    <w:rsid w:val="00D328EA"/>
    <w:rsid w:val="00D328F3"/>
    <w:rsid w:val="00D32955"/>
    <w:rsid w:val="00D329AF"/>
    <w:rsid w:val="00D32C59"/>
    <w:rsid w:val="00D334D5"/>
    <w:rsid w:val="00D3355C"/>
    <w:rsid w:val="00D335E9"/>
    <w:rsid w:val="00D33863"/>
    <w:rsid w:val="00D338EC"/>
    <w:rsid w:val="00D33CA6"/>
    <w:rsid w:val="00D33DF3"/>
    <w:rsid w:val="00D348E3"/>
    <w:rsid w:val="00D34C49"/>
    <w:rsid w:val="00D34D39"/>
    <w:rsid w:val="00D35659"/>
    <w:rsid w:val="00D35777"/>
    <w:rsid w:val="00D3585C"/>
    <w:rsid w:val="00D3596F"/>
    <w:rsid w:val="00D35BF5"/>
    <w:rsid w:val="00D35E6C"/>
    <w:rsid w:val="00D35ED8"/>
    <w:rsid w:val="00D364EC"/>
    <w:rsid w:val="00D36619"/>
    <w:rsid w:val="00D36693"/>
    <w:rsid w:val="00D367D9"/>
    <w:rsid w:val="00D367FC"/>
    <w:rsid w:val="00D36A2C"/>
    <w:rsid w:val="00D36BE2"/>
    <w:rsid w:val="00D36C0A"/>
    <w:rsid w:val="00D36F58"/>
    <w:rsid w:val="00D3778F"/>
    <w:rsid w:val="00D37826"/>
    <w:rsid w:val="00D3788F"/>
    <w:rsid w:val="00D37CC0"/>
    <w:rsid w:val="00D37CE8"/>
    <w:rsid w:val="00D400C4"/>
    <w:rsid w:val="00D4031E"/>
    <w:rsid w:val="00D406A9"/>
    <w:rsid w:val="00D4093A"/>
    <w:rsid w:val="00D409F7"/>
    <w:rsid w:val="00D41036"/>
    <w:rsid w:val="00D4146E"/>
    <w:rsid w:val="00D41676"/>
    <w:rsid w:val="00D41940"/>
    <w:rsid w:val="00D4214B"/>
    <w:rsid w:val="00D4297C"/>
    <w:rsid w:val="00D42997"/>
    <w:rsid w:val="00D42AD7"/>
    <w:rsid w:val="00D42B21"/>
    <w:rsid w:val="00D42C43"/>
    <w:rsid w:val="00D42C72"/>
    <w:rsid w:val="00D42CB9"/>
    <w:rsid w:val="00D43220"/>
    <w:rsid w:val="00D43264"/>
    <w:rsid w:val="00D434EE"/>
    <w:rsid w:val="00D435CD"/>
    <w:rsid w:val="00D43A4B"/>
    <w:rsid w:val="00D43B51"/>
    <w:rsid w:val="00D43CC4"/>
    <w:rsid w:val="00D43D96"/>
    <w:rsid w:val="00D4419A"/>
    <w:rsid w:val="00D4419D"/>
    <w:rsid w:val="00D441B6"/>
    <w:rsid w:val="00D44659"/>
    <w:rsid w:val="00D4466D"/>
    <w:rsid w:val="00D45206"/>
    <w:rsid w:val="00D4570D"/>
    <w:rsid w:val="00D45D00"/>
    <w:rsid w:val="00D46934"/>
    <w:rsid w:val="00D46F51"/>
    <w:rsid w:val="00D47145"/>
    <w:rsid w:val="00D476ED"/>
    <w:rsid w:val="00D479F4"/>
    <w:rsid w:val="00D47B62"/>
    <w:rsid w:val="00D50394"/>
    <w:rsid w:val="00D50B5D"/>
    <w:rsid w:val="00D50E5F"/>
    <w:rsid w:val="00D512FE"/>
    <w:rsid w:val="00D5132D"/>
    <w:rsid w:val="00D517A0"/>
    <w:rsid w:val="00D51871"/>
    <w:rsid w:val="00D518A5"/>
    <w:rsid w:val="00D51AB5"/>
    <w:rsid w:val="00D51B11"/>
    <w:rsid w:val="00D51B97"/>
    <w:rsid w:val="00D51C2B"/>
    <w:rsid w:val="00D52198"/>
    <w:rsid w:val="00D522EA"/>
    <w:rsid w:val="00D523A5"/>
    <w:rsid w:val="00D524C9"/>
    <w:rsid w:val="00D52873"/>
    <w:rsid w:val="00D53D97"/>
    <w:rsid w:val="00D53F41"/>
    <w:rsid w:val="00D53F8B"/>
    <w:rsid w:val="00D54251"/>
    <w:rsid w:val="00D543D3"/>
    <w:rsid w:val="00D54D62"/>
    <w:rsid w:val="00D54E53"/>
    <w:rsid w:val="00D550CE"/>
    <w:rsid w:val="00D5562F"/>
    <w:rsid w:val="00D558D7"/>
    <w:rsid w:val="00D55DFB"/>
    <w:rsid w:val="00D56099"/>
    <w:rsid w:val="00D563AB"/>
    <w:rsid w:val="00D566C1"/>
    <w:rsid w:val="00D56767"/>
    <w:rsid w:val="00D56789"/>
    <w:rsid w:val="00D568E9"/>
    <w:rsid w:val="00D56F7F"/>
    <w:rsid w:val="00D57135"/>
    <w:rsid w:val="00D57202"/>
    <w:rsid w:val="00D57315"/>
    <w:rsid w:val="00D5737A"/>
    <w:rsid w:val="00D574CE"/>
    <w:rsid w:val="00D57BDA"/>
    <w:rsid w:val="00D57C7F"/>
    <w:rsid w:val="00D57D09"/>
    <w:rsid w:val="00D57DE3"/>
    <w:rsid w:val="00D57EC8"/>
    <w:rsid w:val="00D60043"/>
    <w:rsid w:val="00D600D8"/>
    <w:rsid w:val="00D607D0"/>
    <w:rsid w:val="00D60875"/>
    <w:rsid w:val="00D608AC"/>
    <w:rsid w:val="00D60A18"/>
    <w:rsid w:val="00D60D5A"/>
    <w:rsid w:val="00D60E7E"/>
    <w:rsid w:val="00D60EDF"/>
    <w:rsid w:val="00D61477"/>
    <w:rsid w:val="00D61540"/>
    <w:rsid w:val="00D61698"/>
    <w:rsid w:val="00D61786"/>
    <w:rsid w:val="00D617D1"/>
    <w:rsid w:val="00D61BFD"/>
    <w:rsid w:val="00D61CEA"/>
    <w:rsid w:val="00D61DBD"/>
    <w:rsid w:val="00D61E9C"/>
    <w:rsid w:val="00D6323F"/>
    <w:rsid w:val="00D63710"/>
    <w:rsid w:val="00D63A44"/>
    <w:rsid w:val="00D63D5C"/>
    <w:rsid w:val="00D63D7A"/>
    <w:rsid w:val="00D63E84"/>
    <w:rsid w:val="00D64010"/>
    <w:rsid w:val="00D64261"/>
    <w:rsid w:val="00D6471A"/>
    <w:rsid w:val="00D649F1"/>
    <w:rsid w:val="00D64B80"/>
    <w:rsid w:val="00D64DCD"/>
    <w:rsid w:val="00D64E62"/>
    <w:rsid w:val="00D64F30"/>
    <w:rsid w:val="00D64F4D"/>
    <w:rsid w:val="00D6532D"/>
    <w:rsid w:val="00D6536F"/>
    <w:rsid w:val="00D65380"/>
    <w:rsid w:val="00D654BB"/>
    <w:rsid w:val="00D656ED"/>
    <w:rsid w:val="00D65809"/>
    <w:rsid w:val="00D65F91"/>
    <w:rsid w:val="00D6616E"/>
    <w:rsid w:val="00D66360"/>
    <w:rsid w:val="00D6667F"/>
    <w:rsid w:val="00D6670F"/>
    <w:rsid w:val="00D669FB"/>
    <w:rsid w:val="00D66DDC"/>
    <w:rsid w:val="00D67095"/>
    <w:rsid w:val="00D67242"/>
    <w:rsid w:val="00D6757A"/>
    <w:rsid w:val="00D678A8"/>
    <w:rsid w:val="00D7011E"/>
    <w:rsid w:val="00D70209"/>
    <w:rsid w:val="00D70225"/>
    <w:rsid w:val="00D7054A"/>
    <w:rsid w:val="00D7072B"/>
    <w:rsid w:val="00D707DB"/>
    <w:rsid w:val="00D70C45"/>
    <w:rsid w:val="00D70D92"/>
    <w:rsid w:val="00D70E45"/>
    <w:rsid w:val="00D71611"/>
    <w:rsid w:val="00D7177F"/>
    <w:rsid w:val="00D717A6"/>
    <w:rsid w:val="00D717F3"/>
    <w:rsid w:val="00D71C8C"/>
    <w:rsid w:val="00D71D57"/>
    <w:rsid w:val="00D71D7B"/>
    <w:rsid w:val="00D71D99"/>
    <w:rsid w:val="00D71F5B"/>
    <w:rsid w:val="00D7202F"/>
    <w:rsid w:val="00D7221A"/>
    <w:rsid w:val="00D7274A"/>
    <w:rsid w:val="00D728AB"/>
    <w:rsid w:val="00D73002"/>
    <w:rsid w:val="00D73128"/>
    <w:rsid w:val="00D731B0"/>
    <w:rsid w:val="00D736E9"/>
    <w:rsid w:val="00D73962"/>
    <w:rsid w:val="00D73B4B"/>
    <w:rsid w:val="00D73B4F"/>
    <w:rsid w:val="00D73EE6"/>
    <w:rsid w:val="00D73FE4"/>
    <w:rsid w:val="00D73FF7"/>
    <w:rsid w:val="00D74367"/>
    <w:rsid w:val="00D74431"/>
    <w:rsid w:val="00D7462B"/>
    <w:rsid w:val="00D747A1"/>
    <w:rsid w:val="00D74CCA"/>
    <w:rsid w:val="00D7505F"/>
    <w:rsid w:val="00D75133"/>
    <w:rsid w:val="00D753FD"/>
    <w:rsid w:val="00D75E09"/>
    <w:rsid w:val="00D760FE"/>
    <w:rsid w:val="00D76689"/>
    <w:rsid w:val="00D76A27"/>
    <w:rsid w:val="00D76F2D"/>
    <w:rsid w:val="00D77463"/>
    <w:rsid w:val="00D77576"/>
    <w:rsid w:val="00D77597"/>
    <w:rsid w:val="00D778B1"/>
    <w:rsid w:val="00D77958"/>
    <w:rsid w:val="00D77B53"/>
    <w:rsid w:val="00D77E1A"/>
    <w:rsid w:val="00D80118"/>
    <w:rsid w:val="00D8046F"/>
    <w:rsid w:val="00D806BE"/>
    <w:rsid w:val="00D80759"/>
    <w:rsid w:val="00D80BFC"/>
    <w:rsid w:val="00D80CCB"/>
    <w:rsid w:val="00D80DE3"/>
    <w:rsid w:val="00D8143D"/>
    <w:rsid w:val="00D81626"/>
    <w:rsid w:val="00D8164E"/>
    <w:rsid w:val="00D8188E"/>
    <w:rsid w:val="00D81B6D"/>
    <w:rsid w:val="00D82213"/>
    <w:rsid w:val="00D827B8"/>
    <w:rsid w:val="00D82ACE"/>
    <w:rsid w:val="00D82E45"/>
    <w:rsid w:val="00D833E0"/>
    <w:rsid w:val="00D834C1"/>
    <w:rsid w:val="00D834F9"/>
    <w:rsid w:val="00D83DB3"/>
    <w:rsid w:val="00D843D8"/>
    <w:rsid w:val="00D843FA"/>
    <w:rsid w:val="00D84B85"/>
    <w:rsid w:val="00D85C7C"/>
    <w:rsid w:val="00D85C8B"/>
    <w:rsid w:val="00D85CE4"/>
    <w:rsid w:val="00D85E22"/>
    <w:rsid w:val="00D85E5C"/>
    <w:rsid w:val="00D8639F"/>
    <w:rsid w:val="00D8646D"/>
    <w:rsid w:val="00D86770"/>
    <w:rsid w:val="00D86EFA"/>
    <w:rsid w:val="00D86FB7"/>
    <w:rsid w:val="00D87294"/>
    <w:rsid w:val="00D875F3"/>
    <w:rsid w:val="00D87E0E"/>
    <w:rsid w:val="00D87E47"/>
    <w:rsid w:val="00D90050"/>
    <w:rsid w:val="00D90065"/>
    <w:rsid w:val="00D90075"/>
    <w:rsid w:val="00D9048D"/>
    <w:rsid w:val="00D904D5"/>
    <w:rsid w:val="00D90602"/>
    <w:rsid w:val="00D909AE"/>
    <w:rsid w:val="00D909F1"/>
    <w:rsid w:val="00D90A0F"/>
    <w:rsid w:val="00D90B73"/>
    <w:rsid w:val="00D90BC9"/>
    <w:rsid w:val="00D90BDA"/>
    <w:rsid w:val="00D90C55"/>
    <w:rsid w:val="00D90E4A"/>
    <w:rsid w:val="00D9138B"/>
    <w:rsid w:val="00D91885"/>
    <w:rsid w:val="00D91D69"/>
    <w:rsid w:val="00D92979"/>
    <w:rsid w:val="00D92A36"/>
    <w:rsid w:val="00D92D1A"/>
    <w:rsid w:val="00D92E40"/>
    <w:rsid w:val="00D930E6"/>
    <w:rsid w:val="00D933CB"/>
    <w:rsid w:val="00D936FA"/>
    <w:rsid w:val="00D93B06"/>
    <w:rsid w:val="00D93EA4"/>
    <w:rsid w:val="00D94022"/>
    <w:rsid w:val="00D94058"/>
    <w:rsid w:val="00D942E7"/>
    <w:rsid w:val="00D94E80"/>
    <w:rsid w:val="00D94EF0"/>
    <w:rsid w:val="00D95613"/>
    <w:rsid w:val="00D9577A"/>
    <w:rsid w:val="00D95C82"/>
    <w:rsid w:val="00D95E46"/>
    <w:rsid w:val="00D95EEF"/>
    <w:rsid w:val="00D9634A"/>
    <w:rsid w:val="00D9644C"/>
    <w:rsid w:val="00D969ED"/>
    <w:rsid w:val="00D96A56"/>
    <w:rsid w:val="00D96BC2"/>
    <w:rsid w:val="00D96CF5"/>
    <w:rsid w:val="00D9750B"/>
    <w:rsid w:val="00D9762B"/>
    <w:rsid w:val="00D9768B"/>
    <w:rsid w:val="00D979FA"/>
    <w:rsid w:val="00D97A6A"/>
    <w:rsid w:val="00D97D32"/>
    <w:rsid w:val="00D97E0B"/>
    <w:rsid w:val="00DA0203"/>
    <w:rsid w:val="00DA0A8E"/>
    <w:rsid w:val="00DA0BF2"/>
    <w:rsid w:val="00DA10CD"/>
    <w:rsid w:val="00DA1294"/>
    <w:rsid w:val="00DA161C"/>
    <w:rsid w:val="00DA17B8"/>
    <w:rsid w:val="00DA1F3E"/>
    <w:rsid w:val="00DA1F7D"/>
    <w:rsid w:val="00DA21D5"/>
    <w:rsid w:val="00DA2208"/>
    <w:rsid w:val="00DA243F"/>
    <w:rsid w:val="00DA25D3"/>
    <w:rsid w:val="00DA2726"/>
    <w:rsid w:val="00DA2A2C"/>
    <w:rsid w:val="00DA2C7E"/>
    <w:rsid w:val="00DA32A5"/>
    <w:rsid w:val="00DA3345"/>
    <w:rsid w:val="00DA3890"/>
    <w:rsid w:val="00DA3E7A"/>
    <w:rsid w:val="00DA3ED7"/>
    <w:rsid w:val="00DA44ED"/>
    <w:rsid w:val="00DA48F4"/>
    <w:rsid w:val="00DA4A1A"/>
    <w:rsid w:val="00DA4B5E"/>
    <w:rsid w:val="00DA5016"/>
    <w:rsid w:val="00DA562F"/>
    <w:rsid w:val="00DA5E01"/>
    <w:rsid w:val="00DA60CE"/>
    <w:rsid w:val="00DA6254"/>
    <w:rsid w:val="00DA6649"/>
    <w:rsid w:val="00DA6B8C"/>
    <w:rsid w:val="00DA6C00"/>
    <w:rsid w:val="00DA6C54"/>
    <w:rsid w:val="00DA7381"/>
    <w:rsid w:val="00DA73D8"/>
    <w:rsid w:val="00DA755D"/>
    <w:rsid w:val="00DA791E"/>
    <w:rsid w:val="00DA7D54"/>
    <w:rsid w:val="00DA7F3C"/>
    <w:rsid w:val="00DB0269"/>
    <w:rsid w:val="00DB02E6"/>
    <w:rsid w:val="00DB0581"/>
    <w:rsid w:val="00DB0687"/>
    <w:rsid w:val="00DB0B9E"/>
    <w:rsid w:val="00DB1055"/>
    <w:rsid w:val="00DB1477"/>
    <w:rsid w:val="00DB1664"/>
    <w:rsid w:val="00DB203B"/>
    <w:rsid w:val="00DB208F"/>
    <w:rsid w:val="00DB22D5"/>
    <w:rsid w:val="00DB23A6"/>
    <w:rsid w:val="00DB288D"/>
    <w:rsid w:val="00DB2936"/>
    <w:rsid w:val="00DB2964"/>
    <w:rsid w:val="00DB2EAE"/>
    <w:rsid w:val="00DB3052"/>
    <w:rsid w:val="00DB34F5"/>
    <w:rsid w:val="00DB3613"/>
    <w:rsid w:val="00DB37D0"/>
    <w:rsid w:val="00DB3E77"/>
    <w:rsid w:val="00DB40C0"/>
    <w:rsid w:val="00DB4153"/>
    <w:rsid w:val="00DB5678"/>
    <w:rsid w:val="00DB5985"/>
    <w:rsid w:val="00DB5F20"/>
    <w:rsid w:val="00DB6614"/>
    <w:rsid w:val="00DB662D"/>
    <w:rsid w:val="00DB6850"/>
    <w:rsid w:val="00DB6949"/>
    <w:rsid w:val="00DB6A1F"/>
    <w:rsid w:val="00DB709C"/>
    <w:rsid w:val="00DB7332"/>
    <w:rsid w:val="00DB7391"/>
    <w:rsid w:val="00DB73CA"/>
    <w:rsid w:val="00DB773B"/>
    <w:rsid w:val="00DB7C3E"/>
    <w:rsid w:val="00DB7DA2"/>
    <w:rsid w:val="00DC0070"/>
    <w:rsid w:val="00DC021F"/>
    <w:rsid w:val="00DC02DC"/>
    <w:rsid w:val="00DC0544"/>
    <w:rsid w:val="00DC0621"/>
    <w:rsid w:val="00DC0708"/>
    <w:rsid w:val="00DC0AC9"/>
    <w:rsid w:val="00DC0CBF"/>
    <w:rsid w:val="00DC11D3"/>
    <w:rsid w:val="00DC18B4"/>
    <w:rsid w:val="00DC1C47"/>
    <w:rsid w:val="00DC1C4C"/>
    <w:rsid w:val="00DC1F78"/>
    <w:rsid w:val="00DC20AC"/>
    <w:rsid w:val="00DC24F5"/>
    <w:rsid w:val="00DC25DE"/>
    <w:rsid w:val="00DC280D"/>
    <w:rsid w:val="00DC28F1"/>
    <w:rsid w:val="00DC2922"/>
    <w:rsid w:val="00DC2AD9"/>
    <w:rsid w:val="00DC2BD8"/>
    <w:rsid w:val="00DC2DF4"/>
    <w:rsid w:val="00DC2E26"/>
    <w:rsid w:val="00DC2F97"/>
    <w:rsid w:val="00DC2FA6"/>
    <w:rsid w:val="00DC327F"/>
    <w:rsid w:val="00DC32E8"/>
    <w:rsid w:val="00DC34EF"/>
    <w:rsid w:val="00DC3571"/>
    <w:rsid w:val="00DC3941"/>
    <w:rsid w:val="00DC39FB"/>
    <w:rsid w:val="00DC3A06"/>
    <w:rsid w:val="00DC3A28"/>
    <w:rsid w:val="00DC3C39"/>
    <w:rsid w:val="00DC3F1E"/>
    <w:rsid w:val="00DC413B"/>
    <w:rsid w:val="00DC43B6"/>
    <w:rsid w:val="00DC44C4"/>
    <w:rsid w:val="00DC4962"/>
    <w:rsid w:val="00DC4BEB"/>
    <w:rsid w:val="00DC500E"/>
    <w:rsid w:val="00DC5A1A"/>
    <w:rsid w:val="00DC5AE4"/>
    <w:rsid w:val="00DC5B6D"/>
    <w:rsid w:val="00DC63CE"/>
    <w:rsid w:val="00DC6614"/>
    <w:rsid w:val="00DC664E"/>
    <w:rsid w:val="00DC6AC6"/>
    <w:rsid w:val="00DC6C45"/>
    <w:rsid w:val="00DC70B4"/>
    <w:rsid w:val="00DC728A"/>
    <w:rsid w:val="00DC73C2"/>
    <w:rsid w:val="00DC7497"/>
    <w:rsid w:val="00DC77FA"/>
    <w:rsid w:val="00DC798D"/>
    <w:rsid w:val="00DD018A"/>
    <w:rsid w:val="00DD0AB8"/>
    <w:rsid w:val="00DD0CF4"/>
    <w:rsid w:val="00DD100C"/>
    <w:rsid w:val="00DD1524"/>
    <w:rsid w:val="00DD1626"/>
    <w:rsid w:val="00DD206F"/>
    <w:rsid w:val="00DD2603"/>
    <w:rsid w:val="00DD27F0"/>
    <w:rsid w:val="00DD2948"/>
    <w:rsid w:val="00DD2BAA"/>
    <w:rsid w:val="00DD2DBF"/>
    <w:rsid w:val="00DD3343"/>
    <w:rsid w:val="00DD3544"/>
    <w:rsid w:val="00DD368E"/>
    <w:rsid w:val="00DD3BE1"/>
    <w:rsid w:val="00DD3D7C"/>
    <w:rsid w:val="00DD3E97"/>
    <w:rsid w:val="00DD412D"/>
    <w:rsid w:val="00DD41CA"/>
    <w:rsid w:val="00DD4755"/>
    <w:rsid w:val="00DD49C8"/>
    <w:rsid w:val="00DD4E22"/>
    <w:rsid w:val="00DD4F0F"/>
    <w:rsid w:val="00DD506C"/>
    <w:rsid w:val="00DD509F"/>
    <w:rsid w:val="00DD51C6"/>
    <w:rsid w:val="00DD53FE"/>
    <w:rsid w:val="00DD5673"/>
    <w:rsid w:val="00DD5C70"/>
    <w:rsid w:val="00DD5CC2"/>
    <w:rsid w:val="00DD5D60"/>
    <w:rsid w:val="00DD5E7D"/>
    <w:rsid w:val="00DD61AE"/>
    <w:rsid w:val="00DD666F"/>
    <w:rsid w:val="00DD6E32"/>
    <w:rsid w:val="00DD71FC"/>
    <w:rsid w:val="00DD7452"/>
    <w:rsid w:val="00DD7AF5"/>
    <w:rsid w:val="00DD7EA5"/>
    <w:rsid w:val="00DE0385"/>
    <w:rsid w:val="00DE0443"/>
    <w:rsid w:val="00DE04F6"/>
    <w:rsid w:val="00DE089D"/>
    <w:rsid w:val="00DE09C2"/>
    <w:rsid w:val="00DE0C03"/>
    <w:rsid w:val="00DE0C0A"/>
    <w:rsid w:val="00DE0C5F"/>
    <w:rsid w:val="00DE1023"/>
    <w:rsid w:val="00DE1149"/>
    <w:rsid w:val="00DE1646"/>
    <w:rsid w:val="00DE1AE7"/>
    <w:rsid w:val="00DE1B41"/>
    <w:rsid w:val="00DE1BD2"/>
    <w:rsid w:val="00DE1F23"/>
    <w:rsid w:val="00DE1F37"/>
    <w:rsid w:val="00DE2100"/>
    <w:rsid w:val="00DE22C0"/>
    <w:rsid w:val="00DE2353"/>
    <w:rsid w:val="00DE26DD"/>
    <w:rsid w:val="00DE284D"/>
    <w:rsid w:val="00DE2AEF"/>
    <w:rsid w:val="00DE2EFA"/>
    <w:rsid w:val="00DE2F7D"/>
    <w:rsid w:val="00DE3656"/>
    <w:rsid w:val="00DE3739"/>
    <w:rsid w:val="00DE37DB"/>
    <w:rsid w:val="00DE3B50"/>
    <w:rsid w:val="00DE3D54"/>
    <w:rsid w:val="00DE3E41"/>
    <w:rsid w:val="00DE3E90"/>
    <w:rsid w:val="00DE3F60"/>
    <w:rsid w:val="00DE404B"/>
    <w:rsid w:val="00DE4C09"/>
    <w:rsid w:val="00DE4E5E"/>
    <w:rsid w:val="00DE4F8D"/>
    <w:rsid w:val="00DE503B"/>
    <w:rsid w:val="00DE52A0"/>
    <w:rsid w:val="00DE5DBB"/>
    <w:rsid w:val="00DE6023"/>
    <w:rsid w:val="00DE615B"/>
    <w:rsid w:val="00DE6464"/>
    <w:rsid w:val="00DE6A89"/>
    <w:rsid w:val="00DE6CCE"/>
    <w:rsid w:val="00DE6D41"/>
    <w:rsid w:val="00DE73B7"/>
    <w:rsid w:val="00DE7D4E"/>
    <w:rsid w:val="00DE7D78"/>
    <w:rsid w:val="00DF020A"/>
    <w:rsid w:val="00DF03FE"/>
    <w:rsid w:val="00DF05FB"/>
    <w:rsid w:val="00DF08B0"/>
    <w:rsid w:val="00DF0C31"/>
    <w:rsid w:val="00DF0DE8"/>
    <w:rsid w:val="00DF0EC9"/>
    <w:rsid w:val="00DF133D"/>
    <w:rsid w:val="00DF1668"/>
    <w:rsid w:val="00DF1A7D"/>
    <w:rsid w:val="00DF2AF0"/>
    <w:rsid w:val="00DF2C9D"/>
    <w:rsid w:val="00DF2D35"/>
    <w:rsid w:val="00DF4EF4"/>
    <w:rsid w:val="00DF52DB"/>
    <w:rsid w:val="00DF558F"/>
    <w:rsid w:val="00DF5623"/>
    <w:rsid w:val="00DF5627"/>
    <w:rsid w:val="00DF5C03"/>
    <w:rsid w:val="00DF5C1E"/>
    <w:rsid w:val="00DF5C79"/>
    <w:rsid w:val="00DF6AD9"/>
    <w:rsid w:val="00DF6BDC"/>
    <w:rsid w:val="00DF72D9"/>
    <w:rsid w:val="00DF7309"/>
    <w:rsid w:val="00DF76DD"/>
    <w:rsid w:val="00DF782F"/>
    <w:rsid w:val="00E00127"/>
    <w:rsid w:val="00E00187"/>
    <w:rsid w:val="00E00704"/>
    <w:rsid w:val="00E00834"/>
    <w:rsid w:val="00E00909"/>
    <w:rsid w:val="00E00C55"/>
    <w:rsid w:val="00E00C61"/>
    <w:rsid w:val="00E01616"/>
    <w:rsid w:val="00E018BA"/>
    <w:rsid w:val="00E01CF0"/>
    <w:rsid w:val="00E01D37"/>
    <w:rsid w:val="00E01E6F"/>
    <w:rsid w:val="00E02228"/>
    <w:rsid w:val="00E0231C"/>
    <w:rsid w:val="00E02394"/>
    <w:rsid w:val="00E0249E"/>
    <w:rsid w:val="00E026B6"/>
    <w:rsid w:val="00E026E6"/>
    <w:rsid w:val="00E02903"/>
    <w:rsid w:val="00E029AD"/>
    <w:rsid w:val="00E02A8B"/>
    <w:rsid w:val="00E02F53"/>
    <w:rsid w:val="00E0318A"/>
    <w:rsid w:val="00E03708"/>
    <w:rsid w:val="00E0375E"/>
    <w:rsid w:val="00E038E7"/>
    <w:rsid w:val="00E03F64"/>
    <w:rsid w:val="00E04487"/>
    <w:rsid w:val="00E0487A"/>
    <w:rsid w:val="00E04D20"/>
    <w:rsid w:val="00E04D8C"/>
    <w:rsid w:val="00E05643"/>
    <w:rsid w:val="00E05843"/>
    <w:rsid w:val="00E059D8"/>
    <w:rsid w:val="00E05E32"/>
    <w:rsid w:val="00E06124"/>
    <w:rsid w:val="00E06523"/>
    <w:rsid w:val="00E06651"/>
    <w:rsid w:val="00E0679A"/>
    <w:rsid w:val="00E067F8"/>
    <w:rsid w:val="00E068A7"/>
    <w:rsid w:val="00E068C1"/>
    <w:rsid w:val="00E0695E"/>
    <w:rsid w:val="00E06D48"/>
    <w:rsid w:val="00E06E0A"/>
    <w:rsid w:val="00E07187"/>
    <w:rsid w:val="00E072F7"/>
    <w:rsid w:val="00E07588"/>
    <w:rsid w:val="00E075A4"/>
    <w:rsid w:val="00E10355"/>
    <w:rsid w:val="00E10681"/>
    <w:rsid w:val="00E111B0"/>
    <w:rsid w:val="00E113F3"/>
    <w:rsid w:val="00E11474"/>
    <w:rsid w:val="00E12276"/>
    <w:rsid w:val="00E12A33"/>
    <w:rsid w:val="00E12BFB"/>
    <w:rsid w:val="00E12C85"/>
    <w:rsid w:val="00E12E29"/>
    <w:rsid w:val="00E1335F"/>
    <w:rsid w:val="00E135A0"/>
    <w:rsid w:val="00E13890"/>
    <w:rsid w:val="00E1389A"/>
    <w:rsid w:val="00E1399D"/>
    <w:rsid w:val="00E13C39"/>
    <w:rsid w:val="00E13F3D"/>
    <w:rsid w:val="00E13FFD"/>
    <w:rsid w:val="00E1428A"/>
    <w:rsid w:val="00E1428E"/>
    <w:rsid w:val="00E149F5"/>
    <w:rsid w:val="00E14FC2"/>
    <w:rsid w:val="00E1506D"/>
    <w:rsid w:val="00E15215"/>
    <w:rsid w:val="00E1558D"/>
    <w:rsid w:val="00E1676E"/>
    <w:rsid w:val="00E16A35"/>
    <w:rsid w:val="00E16C1F"/>
    <w:rsid w:val="00E16F20"/>
    <w:rsid w:val="00E17169"/>
    <w:rsid w:val="00E17392"/>
    <w:rsid w:val="00E173D9"/>
    <w:rsid w:val="00E17651"/>
    <w:rsid w:val="00E176DE"/>
    <w:rsid w:val="00E176FF"/>
    <w:rsid w:val="00E17718"/>
    <w:rsid w:val="00E177F7"/>
    <w:rsid w:val="00E1791C"/>
    <w:rsid w:val="00E17A66"/>
    <w:rsid w:val="00E20099"/>
    <w:rsid w:val="00E202D4"/>
    <w:rsid w:val="00E203F8"/>
    <w:rsid w:val="00E205C4"/>
    <w:rsid w:val="00E205DC"/>
    <w:rsid w:val="00E21012"/>
    <w:rsid w:val="00E2136F"/>
    <w:rsid w:val="00E219DF"/>
    <w:rsid w:val="00E21D27"/>
    <w:rsid w:val="00E21DE7"/>
    <w:rsid w:val="00E220E0"/>
    <w:rsid w:val="00E2243F"/>
    <w:rsid w:val="00E225C5"/>
    <w:rsid w:val="00E22690"/>
    <w:rsid w:val="00E23357"/>
    <w:rsid w:val="00E23414"/>
    <w:rsid w:val="00E23575"/>
    <w:rsid w:val="00E23642"/>
    <w:rsid w:val="00E23668"/>
    <w:rsid w:val="00E237AF"/>
    <w:rsid w:val="00E238BA"/>
    <w:rsid w:val="00E24826"/>
    <w:rsid w:val="00E2482F"/>
    <w:rsid w:val="00E24FBE"/>
    <w:rsid w:val="00E25272"/>
    <w:rsid w:val="00E259B3"/>
    <w:rsid w:val="00E25DC7"/>
    <w:rsid w:val="00E265C6"/>
    <w:rsid w:val="00E26734"/>
    <w:rsid w:val="00E26A12"/>
    <w:rsid w:val="00E26E49"/>
    <w:rsid w:val="00E2718F"/>
    <w:rsid w:val="00E2736C"/>
    <w:rsid w:val="00E27861"/>
    <w:rsid w:val="00E2799D"/>
    <w:rsid w:val="00E279A5"/>
    <w:rsid w:val="00E279E6"/>
    <w:rsid w:val="00E27A8A"/>
    <w:rsid w:val="00E27DD2"/>
    <w:rsid w:val="00E30007"/>
    <w:rsid w:val="00E305FE"/>
    <w:rsid w:val="00E306F1"/>
    <w:rsid w:val="00E30C65"/>
    <w:rsid w:val="00E30D23"/>
    <w:rsid w:val="00E30D39"/>
    <w:rsid w:val="00E310F7"/>
    <w:rsid w:val="00E31830"/>
    <w:rsid w:val="00E3196F"/>
    <w:rsid w:val="00E31EC2"/>
    <w:rsid w:val="00E3202B"/>
    <w:rsid w:val="00E320D9"/>
    <w:rsid w:val="00E3228F"/>
    <w:rsid w:val="00E323ED"/>
    <w:rsid w:val="00E32508"/>
    <w:rsid w:val="00E339A5"/>
    <w:rsid w:val="00E33E4F"/>
    <w:rsid w:val="00E34262"/>
    <w:rsid w:val="00E34987"/>
    <w:rsid w:val="00E34D4C"/>
    <w:rsid w:val="00E34E0D"/>
    <w:rsid w:val="00E34EC7"/>
    <w:rsid w:val="00E34F23"/>
    <w:rsid w:val="00E350A2"/>
    <w:rsid w:val="00E350C0"/>
    <w:rsid w:val="00E350FC"/>
    <w:rsid w:val="00E35244"/>
    <w:rsid w:val="00E3548F"/>
    <w:rsid w:val="00E3576E"/>
    <w:rsid w:val="00E3583D"/>
    <w:rsid w:val="00E35B9F"/>
    <w:rsid w:val="00E35C45"/>
    <w:rsid w:val="00E35CC7"/>
    <w:rsid w:val="00E35E0B"/>
    <w:rsid w:val="00E3669D"/>
    <w:rsid w:val="00E3670A"/>
    <w:rsid w:val="00E371D2"/>
    <w:rsid w:val="00E37479"/>
    <w:rsid w:val="00E3762D"/>
    <w:rsid w:val="00E377E8"/>
    <w:rsid w:val="00E37833"/>
    <w:rsid w:val="00E37ED0"/>
    <w:rsid w:val="00E400F1"/>
    <w:rsid w:val="00E4078E"/>
    <w:rsid w:val="00E41A42"/>
    <w:rsid w:val="00E41EA8"/>
    <w:rsid w:val="00E42007"/>
    <w:rsid w:val="00E4201A"/>
    <w:rsid w:val="00E422FE"/>
    <w:rsid w:val="00E42745"/>
    <w:rsid w:val="00E427A5"/>
    <w:rsid w:val="00E42860"/>
    <w:rsid w:val="00E42BA5"/>
    <w:rsid w:val="00E42CC2"/>
    <w:rsid w:val="00E4363B"/>
    <w:rsid w:val="00E43A19"/>
    <w:rsid w:val="00E43A2B"/>
    <w:rsid w:val="00E43B26"/>
    <w:rsid w:val="00E43DFD"/>
    <w:rsid w:val="00E43E20"/>
    <w:rsid w:val="00E44138"/>
    <w:rsid w:val="00E44596"/>
    <w:rsid w:val="00E44BAB"/>
    <w:rsid w:val="00E44E4E"/>
    <w:rsid w:val="00E44F86"/>
    <w:rsid w:val="00E451B7"/>
    <w:rsid w:val="00E45417"/>
    <w:rsid w:val="00E45895"/>
    <w:rsid w:val="00E45C4D"/>
    <w:rsid w:val="00E45D21"/>
    <w:rsid w:val="00E45E4D"/>
    <w:rsid w:val="00E4608D"/>
    <w:rsid w:val="00E461A8"/>
    <w:rsid w:val="00E4684E"/>
    <w:rsid w:val="00E468F2"/>
    <w:rsid w:val="00E46ACF"/>
    <w:rsid w:val="00E46CA5"/>
    <w:rsid w:val="00E46E9F"/>
    <w:rsid w:val="00E471F8"/>
    <w:rsid w:val="00E47382"/>
    <w:rsid w:val="00E4740C"/>
    <w:rsid w:val="00E47F41"/>
    <w:rsid w:val="00E5044B"/>
    <w:rsid w:val="00E50ACE"/>
    <w:rsid w:val="00E50CCD"/>
    <w:rsid w:val="00E510F2"/>
    <w:rsid w:val="00E5114D"/>
    <w:rsid w:val="00E51502"/>
    <w:rsid w:val="00E51512"/>
    <w:rsid w:val="00E5183A"/>
    <w:rsid w:val="00E518C6"/>
    <w:rsid w:val="00E51912"/>
    <w:rsid w:val="00E51A7C"/>
    <w:rsid w:val="00E51DB7"/>
    <w:rsid w:val="00E51E27"/>
    <w:rsid w:val="00E51EE0"/>
    <w:rsid w:val="00E52418"/>
    <w:rsid w:val="00E5258C"/>
    <w:rsid w:val="00E526A0"/>
    <w:rsid w:val="00E528B9"/>
    <w:rsid w:val="00E52EB4"/>
    <w:rsid w:val="00E53132"/>
    <w:rsid w:val="00E538B0"/>
    <w:rsid w:val="00E538E2"/>
    <w:rsid w:val="00E53A84"/>
    <w:rsid w:val="00E53DCD"/>
    <w:rsid w:val="00E5408C"/>
    <w:rsid w:val="00E542E8"/>
    <w:rsid w:val="00E5438E"/>
    <w:rsid w:val="00E543AD"/>
    <w:rsid w:val="00E54C71"/>
    <w:rsid w:val="00E55365"/>
    <w:rsid w:val="00E554F3"/>
    <w:rsid w:val="00E5572C"/>
    <w:rsid w:val="00E558E5"/>
    <w:rsid w:val="00E55A3A"/>
    <w:rsid w:val="00E56024"/>
    <w:rsid w:val="00E560F2"/>
    <w:rsid w:val="00E56221"/>
    <w:rsid w:val="00E567D9"/>
    <w:rsid w:val="00E56935"/>
    <w:rsid w:val="00E569D6"/>
    <w:rsid w:val="00E569DF"/>
    <w:rsid w:val="00E56BA6"/>
    <w:rsid w:val="00E5700C"/>
    <w:rsid w:val="00E5706A"/>
    <w:rsid w:val="00E570FF"/>
    <w:rsid w:val="00E57133"/>
    <w:rsid w:val="00E5721C"/>
    <w:rsid w:val="00E57390"/>
    <w:rsid w:val="00E57E11"/>
    <w:rsid w:val="00E6064F"/>
    <w:rsid w:val="00E60744"/>
    <w:rsid w:val="00E60941"/>
    <w:rsid w:val="00E60AC0"/>
    <w:rsid w:val="00E60FAD"/>
    <w:rsid w:val="00E6132A"/>
    <w:rsid w:val="00E61331"/>
    <w:rsid w:val="00E613D5"/>
    <w:rsid w:val="00E61508"/>
    <w:rsid w:val="00E617EF"/>
    <w:rsid w:val="00E61C0B"/>
    <w:rsid w:val="00E61C60"/>
    <w:rsid w:val="00E61EAB"/>
    <w:rsid w:val="00E62126"/>
    <w:rsid w:val="00E621B6"/>
    <w:rsid w:val="00E623CF"/>
    <w:rsid w:val="00E62C79"/>
    <w:rsid w:val="00E63276"/>
    <w:rsid w:val="00E63381"/>
    <w:rsid w:val="00E635C6"/>
    <w:rsid w:val="00E63624"/>
    <w:rsid w:val="00E63ED5"/>
    <w:rsid w:val="00E648A6"/>
    <w:rsid w:val="00E6491B"/>
    <w:rsid w:val="00E64AC3"/>
    <w:rsid w:val="00E64E1B"/>
    <w:rsid w:val="00E6522D"/>
    <w:rsid w:val="00E65307"/>
    <w:rsid w:val="00E65731"/>
    <w:rsid w:val="00E65977"/>
    <w:rsid w:val="00E65B71"/>
    <w:rsid w:val="00E65DB6"/>
    <w:rsid w:val="00E65DF9"/>
    <w:rsid w:val="00E666A2"/>
    <w:rsid w:val="00E669D8"/>
    <w:rsid w:val="00E66D33"/>
    <w:rsid w:val="00E67104"/>
    <w:rsid w:val="00E67366"/>
    <w:rsid w:val="00E675BB"/>
    <w:rsid w:val="00E67BF5"/>
    <w:rsid w:val="00E67CAD"/>
    <w:rsid w:val="00E67D61"/>
    <w:rsid w:val="00E67EF1"/>
    <w:rsid w:val="00E67F53"/>
    <w:rsid w:val="00E70195"/>
    <w:rsid w:val="00E702D3"/>
    <w:rsid w:val="00E70819"/>
    <w:rsid w:val="00E71126"/>
    <w:rsid w:val="00E714F5"/>
    <w:rsid w:val="00E71BB2"/>
    <w:rsid w:val="00E71C22"/>
    <w:rsid w:val="00E7227C"/>
    <w:rsid w:val="00E728E0"/>
    <w:rsid w:val="00E72BC0"/>
    <w:rsid w:val="00E72D5A"/>
    <w:rsid w:val="00E7316E"/>
    <w:rsid w:val="00E73994"/>
    <w:rsid w:val="00E73C25"/>
    <w:rsid w:val="00E73EE7"/>
    <w:rsid w:val="00E7400E"/>
    <w:rsid w:val="00E743B4"/>
    <w:rsid w:val="00E743CA"/>
    <w:rsid w:val="00E745CF"/>
    <w:rsid w:val="00E74833"/>
    <w:rsid w:val="00E74F73"/>
    <w:rsid w:val="00E74FFC"/>
    <w:rsid w:val="00E75053"/>
    <w:rsid w:val="00E75344"/>
    <w:rsid w:val="00E75935"/>
    <w:rsid w:val="00E7594E"/>
    <w:rsid w:val="00E75BE2"/>
    <w:rsid w:val="00E76341"/>
    <w:rsid w:val="00E766CA"/>
    <w:rsid w:val="00E76B58"/>
    <w:rsid w:val="00E76E69"/>
    <w:rsid w:val="00E776B2"/>
    <w:rsid w:val="00E77B51"/>
    <w:rsid w:val="00E77BCB"/>
    <w:rsid w:val="00E77DE1"/>
    <w:rsid w:val="00E80287"/>
    <w:rsid w:val="00E80693"/>
    <w:rsid w:val="00E80850"/>
    <w:rsid w:val="00E808FC"/>
    <w:rsid w:val="00E80AAD"/>
    <w:rsid w:val="00E80E1D"/>
    <w:rsid w:val="00E80E35"/>
    <w:rsid w:val="00E812BB"/>
    <w:rsid w:val="00E81370"/>
    <w:rsid w:val="00E81582"/>
    <w:rsid w:val="00E819B8"/>
    <w:rsid w:val="00E81FBF"/>
    <w:rsid w:val="00E820A1"/>
    <w:rsid w:val="00E820B6"/>
    <w:rsid w:val="00E829D1"/>
    <w:rsid w:val="00E82CFD"/>
    <w:rsid w:val="00E82DFF"/>
    <w:rsid w:val="00E8316B"/>
    <w:rsid w:val="00E83DE6"/>
    <w:rsid w:val="00E8406F"/>
    <w:rsid w:val="00E842B2"/>
    <w:rsid w:val="00E84461"/>
    <w:rsid w:val="00E84469"/>
    <w:rsid w:val="00E84823"/>
    <w:rsid w:val="00E84881"/>
    <w:rsid w:val="00E84C69"/>
    <w:rsid w:val="00E84FCB"/>
    <w:rsid w:val="00E85051"/>
    <w:rsid w:val="00E85177"/>
    <w:rsid w:val="00E854EA"/>
    <w:rsid w:val="00E855A5"/>
    <w:rsid w:val="00E85671"/>
    <w:rsid w:val="00E85C84"/>
    <w:rsid w:val="00E85E52"/>
    <w:rsid w:val="00E867A9"/>
    <w:rsid w:val="00E868F7"/>
    <w:rsid w:val="00E86A66"/>
    <w:rsid w:val="00E86B5E"/>
    <w:rsid w:val="00E86DD5"/>
    <w:rsid w:val="00E86FCE"/>
    <w:rsid w:val="00E87195"/>
    <w:rsid w:val="00E873B6"/>
    <w:rsid w:val="00E874FB"/>
    <w:rsid w:val="00E87B20"/>
    <w:rsid w:val="00E87DE8"/>
    <w:rsid w:val="00E87E4A"/>
    <w:rsid w:val="00E87E90"/>
    <w:rsid w:val="00E9002A"/>
    <w:rsid w:val="00E904B9"/>
    <w:rsid w:val="00E9050B"/>
    <w:rsid w:val="00E9055A"/>
    <w:rsid w:val="00E9066B"/>
    <w:rsid w:val="00E90E39"/>
    <w:rsid w:val="00E9126A"/>
    <w:rsid w:val="00E913A5"/>
    <w:rsid w:val="00E915B6"/>
    <w:rsid w:val="00E91631"/>
    <w:rsid w:val="00E91A56"/>
    <w:rsid w:val="00E91AFA"/>
    <w:rsid w:val="00E92089"/>
    <w:rsid w:val="00E9219E"/>
    <w:rsid w:val="00E922A9"/>
    <w:rsid w:val="00E924C6"/>
    <w:rsid w:val="00E92628"/>
    <w:rsid w:val="00E93472"/>
    <w:rsid w:val="00E935C6"/>
    <w:rsid w:val="00E9375D"/>
    <w:rsid w:val="00E937E7"/>
    <w:rsid w:val="00E93850"/>
    <w:rsid w:val="00E93B70"/>
    <w:rsid w:val="00E94056"/>
    <w:rsid w:val="00E94768"/>
    <w:rsid w:val="00E94CCA"/>
    <w:rsid w:val="00E94D88"/>
    <w:rsid w:val="00E94E10"/>
    <w:rsid w:val="00E95152"/>
    <w:rsid w:val="00E95833"/>
    <w:rsid w:val="00E95B48"/>
    <w:rsid w:val="00E95BCE"/>
    <w:rsid w:val="00E960E4"/>
    <w:rsid w:val="00E96220"/>
    <w:rsid w:val="00E96DF8"/>
    <w:rsid w:val="00E96E45"/>
    <w:rsid w:val="00E96E89"/>
    <w:rsid w:val="00E97070"/>
    <w:rsid w:val="00E970CF"/>
    <w:rsid w:val="00E974F4"/>
    <w:rsid w:val="00E9783D"/>
    <w:rsid w:val="00E978AC"/>
    <w:rsid w:val="00EA003A"/>
    <w:rsid w:val="00EA028A"/>
    <w:rsid w:val="00EA0652"/>
    <w:rsid w:val="00EA0DC4"/>
    <w:rsid w:val="00EA11BC"/>
    <w:rsid w:val="00EA159D"/>
    <w:rsid w:val="00EA1AE5"/>
    <w:rsid w:val="00EA21BF"/>
    <w:rsid w:val="00EA2741"/>
    <w:rsid w:val="00EA2807"/>
    <w:rsid w:val="00EA2CB0"/>
    <w:rsid w:val="00EA2F1A"/>
    <w:rsid w:val="00EA331D"/>
    <w:rsid w:val="00EA388C"/>
    <w:rsid w:val="00EA3CC2"/>
    <w:rsid w:val="00EA3CC9"/>
    <w:rsid w:val="00EA3CCF"/>
    <w:rsid w:val="00EA4002"/>
    <w:rsid w:val="00EA4070"/>
    <w:rsid w:val="00EA4075"/>
    <w:rsid w:val="00EA46D1"/>
    <w:rsid w:val="00EA4AD9"/>
    <w:rsid w:val="00EA51BA"/>
    <w:rsid w:val="00EA525B"/>
    <w:rsid w:val="00EA599B"/>
    <w:rsid w:val="00EA5ACD"/>
    <w:rsid w:val="00EA5EB8"/>
    <w:rsid w:val="00EA61C5"/>
    <w:rsid w:val="00EA6219"/>
    <w:rsid w:val="00EA62BC"/>
    <w:rsid w:val="00EA6556"/>
    <w:rsid w:val="00EA69D0"/>
    <w:rsid w:val="00EA6ED5"/>
    <w:rsid w:val="00EA700D"/>
    <w:rsid w:val="00EA71CB"/>
    <w:rsid w:val="00EA72AA"/>
    <w:rsid w:val="00EA73C6"/>
    <w:rsid w:val="00EA74AC"/>
    <w:rsid w:val="00EA7977"/>
    <w:rsid w:val="00EB00BF"/>
    <w:rsid w:val="00EB0565"/>
    <w:rsid w:val="00EB067C"/>
    <w:rsid w:val="00EB0F69"/>
    <w:rsid w:val="00EB14F5"/>
    <w:rsid w:val="00EB164D"/>
    <w:rsid w:val="00EB1698"/>
    <w:rsid w:val="00EB19A5"/>
    <w:rsid w:val="00EB1B6B"/>
    <w:rsid w:val="00EB1CCD"/>
    <w:rsid w:val="00EB1E3A"/>
    <w:rsid w:val="00EB200E"/>
    <w:rsid w:val="00EB2675"/>
    <w:rsid w:val="00EB27E6"/>
    <w:rsid w:val="00EB2BC7"/>
    <w:rsid w:val="00EB2F71"/>
    <w:rsid w:val="00EB3014"/>
    <w:rsid w:val="00EB30DF"/>
    <w:rsid w:val="00EB330C"/>
    <w:rsid w:val="00EB347A"/>
    <w:rsid w:val="00EB349B"/>
    <w:rsid w:val="00EB34B9"/>
    <w:rsid w:val="00EB35AD"/>
    <w:rsid w:val="00EB3C17"/>
    <w:rsid w:val="00EB3C50"/>
    <w:rsid w:val="00EB461E"/>
    <w:rsid w:val="00EB48AC"/>
    <w:rsid w:val="00EB4AD0"/>
    <w:rsid w:val="00EB4ED5"/>
    <w:rsid w:val="00EB50B3"/>
    <w:rsid w:val="00EB54BE"/>
    <w:rsid w:val="00EB5698"/>
    <w:rsid w:val="00EB5734"/>
    <w:rsid w:val="00EB5B92"/>
    <w:rsid w:val="00EB63FD"/>
    <w:rsid w:val="00EB6CA4"/>
    <w:rsid w:val="00EB768E"/>
    <w:rsid w:val="00EB76F3"/>
    <w:rsid w:val="00EB78B1"/>
    <w:rsid w:val="00EB7D3B"/>
    <w:rsid w:val="00EC025E"/>
    <w:rsid w:val="00EC0375"/>
    <w:rsid w:val="00EC04FC"/>
    <w:rsid w:val="00EC0703"/>
    <w:rsid w:val="00EC0752"/>
    <w:rsid w:val="00EC0821"/>
    <w:rsid w:val="00EC0824"/>
    <w:rsid w:val="00EC095E"/>
    <w:rsid w:val="00EC0A63"/>
    <w:rsid w:val="00EC1B14"/>
    <w:rsid w:val="00EC2696"/>
    <w:rsid w:val="00EC26B6"/>
    <w:rsid w:val="00EC28A0"/>
    <w:rsid w:val="00EC28BF"/>
    <w:rsid w:val="00EC28D8"/>
    <w:rsid w:val="00EC2C13"/>
    <w:rsid w:val="00EC3046"/>
    <w:rsid w:val="00EC332F"/>
    <w:rsid w:val="00EC36E0"/>
    <w:rsid w:val="00EC39ED"/>
    <w:rsid w:val="00EC3ADB"/>
    <w:rsid w:val="00EC3C77"/>
    <w:rsid w:val="00EC475A"/>
    <w:rsid w:val="00EC4865"/>
    <w:rsid w:val="00EC48E4"/>
    <w:rsid w:val="00EC507C"/>
    <w:rsid w:val="00EC5085"/>
    <w:rsid w:val="00EC51E6"/>
    <w:rsid w:val="00EC5238"/>
    <w:rsid w:val="00EC5AFB"/>
    <w:rsid w:val="00EC5B4B"/>
    <w:rsid w:val="00EC5C5D"/>
    <w:rsid w:val="00EC60C4"/>
    <w:rsid w:val="00EC6286"/>
    <w:rsid w:val="00EC6389"/>
    <w:rsid w:val="00EC6889"/>
    <w:rsid w:val="00EC6C12"/>
    <w:rsid w:val="00EC6EB2"/>
    <w:rsid w:val="00EC76BA"/>
    <w:rsid w:val="00EC7E35"/>
    <w:rsid w:val="00ED013A"/>
    <w:rsid w:val="00ED018E"/>
    <w:rsid w:val="00ED034F"/>
    <w:rsid w:val="00ED0C1C"/>
    <w:rsid w:val="00ED0D34"/>
    <w:rsid w:val="00ED1477"/>
    <w:rsid w:val="00ED160F"/>
    <w:rsid w:val="00ED169D"/>
    <w:rsid w:val="00ED1D4D"/>
    <w:rsid w:val="00ED22E9"/>
    <w:rsid w:val="00ED2330"/>
    <w:rsid w:val="00ED2560"/>
    <w:rsid w:val="00ED28EE"/>
    <w:rsid w:val="00ED2CB0"/>
    <w:rsid w:val="00ED2DD1"/>
    <w:rsid w:val="00ED2FCD"/>
    <w:rsid w:val="00ED30FE"/>
    <w:rsid w:val="00ED38D8"/>
    <w:rsid w:val="00ED38DA"/>
    <w:rsid w:val="00ED4017"/>
    <w:rsid w:val="00ED4438"/>
    <w:rsid w:val="00ED476F"/>
    <w:rsid w:val="00ED49E7"/>
    <w:rsid w:val="00ED4AFA"/>
    <w:rsid w:val="00ED4C3F"/>
    <w:rsid w:val="00ED4DC3"/>
    <w:rsid w:val="00ED4F32"/>
    <w:rsid w:val="00ED53A0"/>
    <w:rsid w:val="00ED53BF"/>
    <w:rsid w:val="00ED55AC"/>
    <w:rsid w:val="00ED5D81"/>
    <w:rsid w:val="00ED5DE6"/>
    <w:rsid w:val="00ED5F33"/>
    <w:rsid w:val="00ED6076"/>
    <w:rsid w:val="00ED660A"/>
    <w:rsid w:val="00ED66BE"/>
    <w:rsid w:val="00ED69B1"/>
    <w:rsid w:val="00ED69B5"/>
    <w:rsid w:val="00ED6FEA"/>
    <w:rsid w:val="00ED7292"/>
    <w:rsid w:val="00ED7431"/>
    <w:rsid w:val="00ED79EB"/>
    <w:rsid w:val="00ED79FB"/>
    <w:rsid w:val="00ED7C8B"/>
    <w:rsid w:val="00EE01E0"/>
    <w:rsid w:val="00EE04FB"/>
    <w:rsid w:val="00EE09AE"/>
    <w:rsid w:val="00EE09DD"/>
    <w:rsid w:val="00EE0E4D"/>
    <w:rsid w:val="00EE0FC7"/>
    <w:rsid w:val="00EE108A"/>
    <w:rsid w:val="00EE1499"/>
    <w:rsid w:val="00EE16AC"/>
    <w:rsid w:val="00EE16D4"/>
    <w:rsid w:val="00EE18AF"/>
    <w:rsid w:val="00EE1A97"/>
    <w:rsid w:val="00EE1DD8"/>
    <w:rsid w:val="00EE1E79"/>
    <w:rsid w:val="00EE243A"/>
    <w:rsid w:val="00EE267D"/>
    <w:rsid w:val="00EE2CDA"/>
    <w:rsid w:val="00EE2E9E"/>
    <w:rsid w:val="00EE33E8"/>
    <w:rsid w:val="00EE3454"/>
    <w:rsid w:val="00EE3591"/>
    <w:rsid w:val="00EE40E4"/>
    <w:rsid w:val="00EE4162"/>
    <w:rsid w:val="00EE4185"/>
    <w:rsid w:val="00EE49B1"/>
    <w:rsid w:val="00EE4E11"/>
    <w:rsid w:val="00EE52F6"/>
    <w:rsid w:val="00EE5D63"/>
    <w:rsid w:val="00EE61B3"/>
    <w:rsid w:val="00EE624C"/>
    <w:rsid w:val="00EE656F"/>
    <w:rsid w:val="00EE6634"/>
    <w:rsid w:val="00EE6A53"/>
    <w:rsid w:val="00EE6DE0"/>
    <w:rsid w:val="00EE6EAB"/>
    <w:rsid w:val="00EE6F61"/>
    <w:rsid w:val="00EE706D"/>
    <w:rsid w:val="00EE7098"/>
    <w:rsid w:val="00EE7396"/>
    <w:rsid w:val="00EE75D9"/>
    <w:rsid w:val="00EE76AE"/>
    <w:rsid w:val="00EE7C54"/>
    <w:rsid w:val="00EF03F8"/>
    <w:rsid w:val="00EF1047"/>
    <w:rsid w:val="00EF1299"/>
    <w:rsid w:val="00EF146C"/>
    <w:rsid w:val="00EF1A11"/>
    <w:rsid w:val="00EF1C29"/>
    <w:rsid w:val="00EF1E7A"/>
    <w:rsid w:val="00EF274B"/>
    <w:rsid w:val="00EF29D4"/>
    <w:rsid w:val="00EF2BE6"/>
    <w:rsid w:val="00EF2C28"/>
    <w:rsid w:val="00EF2FFA"/>
    <w:rsid w:val="00EF302D"/>
    <w:rsid w:val="00EF306F"/>
    <w:rsid w:val="00EF3B62"/>
    <w:rsid w:val="00EF3D71"/>
    <w:rsid w:val="00EF3DEE"/>
    <w:rsid w:val="00EF405F"/>
    <w:rsid w:val="00EF414A"/>
    <w:rsid w:val="00EF43FC"/>
    <w:rsid w:val="00EF48F1"/>
    <w:rsid w:val="00EF49AC"/>
    <w:rsid w:val="00EF4B57"/>
    <w:rsid w:val="00EF5097"/>
    <w:rsid w:val="00EF52CA"/>
    <w:rsid w:val="00EF54B6"/>
    <w:rsid w:val="00EF54C9"/>
    <w:rsid w:val="00EF5888"/>
    <w:rsid w:val="00EF5A8C"/>
    <w:rsid w:val="00EF5ADB"/>
    <w:rsid w:val="00EF5DBB"/>
    <w:rsid w:val="00EF5EA6"/>
    <w:rsid w:val="00EF5F02"/>
    <w:rsid w:val="00EF629E"/>
    <w:rsid w:val="00EF6654"/>
    <w:rsid w:val="00EF66B1"/>
    <w:rsid w:val="00EF684C"/>
    <w:rsid w:val="00EF6970"/>
    <w:rsid w:val="00EF6CE0"/>
    <w:rsid w:val="00EF6CF5"/>
    <w:rsid w:val="00EF757A"/>
    <w:rsid w:val="00F0020A"/>
    <w:rsid w:val="00F00C9A"/>
    <w:rsid w:val="00F00D71"/>
    <w:rsid w:val="00F012D1"/>
    <w:rsid w:val="00F01463"/>
    <w:rsid w:val="00F01560"/>
    <w:rsid w:val="00F018AF"/>
    <w:rsid w:val="00F01912"/>
    <w:rsid w:val="00F01A80"/>
    <w:rsid w:val="00F01C26"/>
    <w:rsid w:val="00F01E23"/>
    <w:rsid w:val="00F01F6E"/>
    <w:rsid w:val="00F02035"/>
    <w:rsid w:val="00F021EA"/>
    <w:rsid w:val="00F023CF"/>
    <w:rsid w:val="00F0246F"/>
    <w:rsid w:val="00F025C5"/>
    <w:rsid w:val="00F02941"/>
    <w:rsid w:val="00F029C6"/>
    <w:rsid w:val="00F02AC9"/>
    <w:rsid w:val="00F02C70"/>
    <w:rsid w:val="00F02DA7"/>
    <w:rsid w:val="00F02E57"/>
    <w:rsid w:val="00F03299"/>
    <w:rsid w:val="00F0330D"/>
    <w:rsid w:val="00F036DE"/>
    <w:rsid w:val="00F03983"/>
    <w:rsid w:val="00F039EB"/>
    <w:rsid w:val="00F03A31"/>
    <w:rsid w:val="00F03D12"/>
    <w:rsid w:val="00F0427E"/>
    <w:rsid w:val="00F04635"/>
    <w:rsid w:val="00F049CA"/>
    <w:rsid w:val="00F049D9"/>
    <w:rsid w:val="00F04AEA"/>
    <w:rsid w:val="00F04B61"/>
    <w:rsid w:val="00F04BC9"/>
    <w:rsid w:val="00F04BFD"/>
    <w:rsid w:val="00F04CED"/>
    <w:rsid w:val="00F04CFA"/>
    <w:rsid w:val="00F05353"/>
    <w:rsid w:val="00F05ABF"/>
    <w:rsid w:val="00F05B72"/>
    <w:rsid w:val="00F05FAE"/>
    <w:rsid w:val="00F05FD4"/>
    <w:rsid w:val="00F062CB"/>
    <w:rsid w:val="00F06315"/>
    <w:rsid w:val="00F066BB"/>
    <w:rsid w:val="00F06753"/>
    <w:rsid w:val="00F06966"/>
    <w:rsid w:val="00F06B71"/>
    <w:rsid w:val="00F06DA4"/>
    <w:rsid w:val="00F06E9F"/>
    <w:rsid w:val="00F07233"/>
    <w:rsid w:val="00F07405"/>
    <w:rsid w:val="00F07828"/>
    <w:rsid w:val="00F0785D"/>
    <w:rsid w:val="00F07C7B"/>
    <w:rsid w:val="00F07F93"/>
    <w:rsid w:val="00F1018B"/>
    <w:rsid w:val="00F1025D"/>
    <w:rsid w:val="00F1026A"/>
    <w:rsid w:val="00F107D5"/>
    <w:rsid w:val="00F107EF"/>
    <w:rsid w:val="00F10C8A"/>
    <w:rsid w:val="00F113FF"/>
    <w:rsid w:val="00F1158E"/>
    <w:rsid w:val="00F11DC2"/>
    <w:rsid w:val="00F11DDC"/>
    <w:rsid w:val="00F12395"/>
    <w:rsid w:val="00F125FB"/>
    <w:rsid w:val="00F128DB"/>
    <w:rsid w:val="00F12F1C"/>
    <w:rsid w:val="00F12F35"/>
    <w:rsid w:val="00F13038"/>
    <w:rsid w:val="00F1303B"/>
    <w:rsid w:val="00F13282"/>
    <w:rsid w:val="00F1378F"/>
    <w:rsid w:val="00F13967"/>
    <w:rsid w:val="00F13F0C"/>
    <w:rsid w:val="00F14178"/>
    <w:rsid w:val="00F141E5"/>
    <w:rsid w:val="00F1439A"/>
    <w:rsid w:val="00F14A1D"/>
    <w:rsid w:val="00F14CFA"/>
    <w:rsid w:val="00F14EAF"/>
    <w:rsid w:val="00F15176"/>
    <w:rsid w:val="00F153DA"/>
    <w:rsid w:val="00F1565F"/>
    <w:rsid w:val="00F15711"/>
    <w:rsid w:val="00F15734"/>
    <w:rsid w:val="00F15857"/>
    <w:rsid w:val="00F1594C"/>
    <w:rsid w:val="00F15A03"/>
    <w:rsid w:val="00F15B57"/>
    <w:rsid w:val="00F15C41"/>
    <w:rsid w:val="00F15D96"/>
    <w:rsid w:val="00F1606C"/>
    <w:rsid w:val="00F16127"/>
    <w:rsid w:val="00F1648C"/>
    <w:rsid w:val="00F1661B"/>
    <w:rsid w:val="00F16BD6"/>
    <w:rsid w:val="00F1791A"/>
    <w:rsid w:val="00F17A36"/>
    <w:rsid w:val="00F2011F"/>
    <w:rsid w:val="00F20AEA"/>
    <w:rsid w:val="00F20CED"/>
    <w:rsid w:val="00F20FC8"/>
    <w:rsid w:val="00F21521"/>
    <w:rsid w:val="00F21603"/>
    <w:rsid w:val="00F217C8"/>
    <w:rsid w:val="00F21E60"/>
    <w:rsid w:val="00F21EA8"/>
    <w:rsid w:val="00F22118"/>
    <w:rsid w:val="00F22133"/>
    <w:rsid w:val="00F221E3"/>
    <w:rsid w:val="00F223FF"/>
    <w:rsid w:val="00F2254A"/>
    <w:rsid w:val="00F22558"/>
    <w:rsid w:val="00F22654"/>
    <w:rsid w:val="00F22E59"/>
    <w:rsid w:val="00F22FF5"/>
    <w:rsid w:val="00F23773"/>
    <w:rsid w:val="00F2379A"/>
    <w:rsid w:val="00F237E7"/>
    <w:rsid w:val="00F238AE"/>
    <w:rsid w:val="00F23A7D"/>
    <w:rsid w:val="00F23D15"/>
    <w:rsid w:val="00F23D97"/>
    <w:rsid w:val="00F24006"/>
    <w:rsid w:val="00F24538"/>
    <w:rsid w:val="00F246A1"/>
    <w:rsid w:val="00F2472A"/>
    <w:rsid w:val="00F24836"/>
    <w:rsid w:val="00F24895"/>
    <w:rsid w:val="00F24E6B"/>
    <w:rsid w:val="00F2501D"/>
    <w:rsid w:val="00F250E3"/>
    <w:rsid w:val="00F253A1"/>
    <w:rsid w:val="00F2551D"/>
    <w:rsid w:val="00F25583"/>
    <w:rsid w:val="00F25656"/>
    <w:rsid w:val="00F25B24"/>
    <w:rsid w:val="00F25E60"/>
    <w:rsid w:val="00F25F5B"/>
    <w:rsid w:val="00F2621C"/>
    <w:rsid w:val="00F265D2"/>
    <w:rsid w:val="00F2689F"/>
    <w:rsid w:val="00F26999"/>
    <w:rsid w:val="00F26A94"/>
    <w:rsid w:val="00F26B58"/>
    <w:rsid w:val="00F26D91"/>
    <w:rsid w:val="00F271D6"/>
    <w:rsid w:val="00F2772F"/>
    <w:rsid w:val="00F27889"/>
    <w:rsid w:val="00F279E2"/>
    <w:rsid w:val="00F27A25"/>
    <w:rsid w:val="00F27A4A"/>
    <w:rsid w:val="00F27DFB"/>
    <w:rsid w:val="00F30BD0"/>
    <w:rsid w:val="00F30C78"/>
    <w:rsid w:val="00F30CC8"/>
    <w:rsid w:val="00F30DAD"/>
    <w:rsid w:val="00F31435"/>
    <w:rsid w:val="00F31BDF"/>
    <w:rsid w:val="00F31D43"/>
    <w:rsid w:val="00F31F51"/>
    <w:rsid w:val="00F32421"/>
    <w:rsid w:val="00F32494"/>
    <w:rsid w:val="00F3283B"/>
    <w:rsid w:val="00F32D39"/>
    <w:rsid w:val="00F32F6E"/>
    <w:rsid w:val="00F3331D"/>
    <w:rsid w:val="00F3339D"/>
    <w:rsid w:val="00F3363A"/>
    <w:rsid w:val="00F33709"/>
    <w:rsid w:val="00F338F2"/>
    <w:rsid w:val="00F33984"/>
    <w:rsid w:val="00F33DF8"/>
    <w:rsid w:val="00F3456A"/>
    <w:rsid w:val="00F34A1B"/>
    <w:rsid w:val="00F34CEE"/>
    <w:rsid w:val="00F35455"/>
    <w:rsid w:val="00F358A1"/>
    <w:rsid w:val="00F35A34"/>
    <w:rsid w:val="00F35A78"/>
    <w:rsid w:val="00F35FEE"/>
    <w:rsid w:val="00F3603A"/>
    <w:rsid w:val="00F3606A"/>
    <w:rsid w:val="00F364B8"/>
    <w:rsid w:val="00F36665"/>
    <w:rsid w:val="00F3687B"/>
    <w:rsid w:val="00F368D0"/>
    <w:rsid w:val="00F36BD3"/>
    <w:rsid w:val="00F371BC"/>
    <w:rsid w:val="00F37613"/>
    <w:rsid w:val="00F37D6D"/>
    <w:rsid w:val="00F37F29"/>
    <w:rsid w:val="00F400E0"/>
    <w:rsid w:val="00F402AB"/>
    <w:rsid w:val="00F409F5"/>
    <w:rsid w:val="00F40CD8"/>
    <w:rsid w:val="00F40DE8"/>
    <w:rsid w:val="00F41213"/>
    <w:rsid w:val="00F412B6"/>
    <w:rsid w:val="00F4171D"/>
    <w:rsid w:val="00F4172D"/>
    <w:rsid w:val="00F41810"/>
    <w:rsid w:val="00F41C51"/>
    <w:rsid w:val="00F41FBD"/>
    <w:rsid w:val="00F42348"/>
    <w:rsid w:val="00F4248F"/>
    <w:rsid w:val="00F425B3"/>
    <w:rsid w:val="00F42C2A"/>
    <w:rsid w:val="00F42CC4"/>
    <w:rsid w:val="00F43521"/>
    <w:rsid w:val="00F43C99"/>
    <w:rsid w:val="00F44077"/>
    <w:rsid w:val="00F4428C"/>
    <w:rsid w:val="00F442BA"/>
    <w:rsid w:val="00F443F2"/>
    <w:rsid w:val="00F44418"/>
    <w:rsid w:val="00F44699"/>
    <w:rsid w:val="00F44917"/>
    <w:rsid w:val="00F44989"/>
    <w:rsid w:val="00F44ADB"/>
    <w:rsid w:val="00F44CA7"/>
    <w:rsid w:val="00F44DE9"/>
    <w:rsid w:val="00F450A7"/>
    <w:rsid w:val="00F45406"/>
    <w:rsid w:val="00F4558C"/>
    <w:rsid w:val="00F45DB0"/>
    <w:rsid w:val="00F45E1E"/>
    <w:rsid w:val="00F45E61"/>
    <w:rsid w:val="00F45FA8"/>
    <w:rsid w:val="00F46174"/>
    <w:rsid w:val="00F46330"/>
    <w:rsid w:val="00F46638"/>
    <w:rsid w:val="00F46951"/>
    <w:rsid w:val="00F46CD8"/>
    <w:rsid w:val="00F47128"/>
    <w:rsid w:val="00F475B7"/>
    <w:rsid w:val="00F47852"/>
    <w:rsid w:val="00F479CC"/>
    <w:rsid w:val="00F47AFB"/>
    <w:rsid w:val="00F505F2"/>
    <w:rsid w:val="00F50630"/>
    <w:rsid w:val="00F50B99"/>
    <w:rsid w:val="00F50DD4"/>
    <w:rsid w:val="00F51411"/>
    <w:rsid w:val="00F5168A"/>
    <w:rsid w:val="00F517E4"/>
    <w:rsid w:val="00F51BA8"/>
    <w:rsid w:val="00F51DA1"/>
    <w:rsid w:val="00F520C5"/>
    <w:rsid w:val="00F52417"/>
    <w:rsid w:val="00F525F0"/>
    <w:rsid w:val="00F5261E"/>
    <w:rsid w:val="00F52978"/>
    <w:rsid w:val="00F52A9F"/>
    <w:rsid w:val="00F52F17"/>
    <w:rsid w:val="00F53028"/>
    <w:rsid w:val="00F530C8"/>
    <w:rsid w:val="00F539E3"/>
    <w:rsid w:val="00F53BA9"/>
    <w:rsid w:val="00F53BC7"/>
    <w:rsid w:val="00F53C38"/>
    <w:rsid w:val="00F547D9"/>
    <w:rsid w:val="00F547E2"/>
    <w:rsid w:val="00F54D44"/>
    <w:rsid w:val="00F54EFE"/>
    <w:rsid w:val="00F54F53"/>
    <w:rsid w:val="00F55104"/>
    <w:rsid w:val="00F554A4"/>
    <w:rsid w:val="00F5559B"/>
    <w:rsid w:val="00F559CE"/>
    <w:rsid w:val="00F55A44"/>
    <w:rsid w:val="00F5666B"/>
    <w:rsid w:val="00F567BB"/>
    <w:rsid w:val="00F56925"/>
    <w:rsid w:val="00F56B74"/>
    <w:rsid w:val="00F56DF2"/>
    <w:rsid w:val="00F56F08"/>
    <w:rsid w:val="00F57110"/>
    <w:rsid w:val="00F57283"/>
    <w:rsid w:val="00F572B4"/>
    <w:rsid w:val="00F573AF"/>
    <w:rsid w:val="00F577E4"/>
    <w:rsid w:val="00F5783C"/>
    <w:rsid w:val="00F57BA4"/>
    <w:rsid w:val="00F57EDF"/>
    <w:rsid w:val="00F57F43"/>
    <w:rsid w:val="00F57FB8"/>
    <w:rsid w:val="00F60039"/>
    <w:rsid w:val="00F6011C"/>
    <w:rsid w:val="00F60122"/>
    <w:rsid w:val="00F6073E"/>
    <w:rsid w:val="00F60866"/>
    <w:rsid w:val="00F608C1"/>
    <w:rsid w:val="00F609DB"/>
    <w:rsid w:val="00F60F1A"/>
    <w:rsid w:val="00F60F3C"/>
    <w:rsid w:val="00F61142"/>
    <w:rsid w:val="00F616D3"/>
    <w:rsid w:val="00F616F6"/>
    <w:rsid w:val="00F619DD"/>
    <w:rsid w:val="00F61E7A"/>
    <w:rsid w:val="00F6307F"/>
    <w:rsid w:val="00F63432"/>
    <w:rsid w:val="00F6362F"/>
    <w:rsid w:val="00F63700"/>
    <w:rsid w:val="00F63C07"/>
    <w:rsid w:val="00F63D54"/>
    <w:rsid w:val="00F63E78"/>
    <w:rsid w:val="00F63F5D"/>
    <w:rsid w:val="00F63FCA"/>
    <w:rsid w:val="00F6412D"/>
    <w:rsid w:val="00F643CD"/>
    <w:rsid w:val="00F646D9"/>
    <w:rsid w:val="00F647CD"/>
    <w:rsid w:val="00F6481C"/>
    <w:rsid w:val="00F64AE5"/>
    <w:rsid w:val="00F65197"/>
    <w:rsid w:val="00F65523"/>
    <w:rsid w:val="00F65721"/>
    <w:rsid w:val="00F658CA"/>
    <w:rsid w:val="00F65CA8"/>
    <w:rsid w:val="00F65D28"/>
    <w:rsid w:val="00F6604C"/>
    <w:rsid w:val="00F66194"/>
    <w:rsid w:val="00F66202"/>
    <w:rsid w:val="00F6631B"/>
    <w:rsid w:val="00F663BC"/>
    <w:rsid w:val="00F66570"/>
    <w:rsid w:val="00F66895"/>
    <w:rsid w:val="00F66AA0"/>
    <w:rsid w:val="00F66BAA"/>
    <w:rsid w:val="00F66E9F"/>
    <w:rsid w:val="00F66F4D"/>
    <w:rsid w:val="00F675F9"/>
    <w:rsid w:val="00F67859"/>
    <w:rsid w:val="00F67CBF"/>
    <w:rsid w:val="00F67EFF"/>
    <w:rsid w:val="00F7024B"/>
    <w:rsid w:val="00F704C3"/>
    <w:rsid w:val="00F70D2C"/>
    <w:rsid w:val="00F7102F"/>
    <w:rsid w:val="00F710B6"/>
    <w:rsid w:val="00F712E9"/>
    <w:rsid w:val="00F713DA"/>
    <w:rsid w:val="00F71581"/>
    <w:rsid w:val="00F717A2"/>
    <w:rsid w:val="00F71873"/>
    <w:rsid w:val="00F71B70"/>
    <w:rsid w:val="00F71FBE"/>
    <w:rsid w:val="00F7230D"/>
    <w:rsid w:val="00F7245F"/>
    <w:rsid w:val="00F7270C"/>
    <w:rsid w:val="00F72957"/>
    <w:rsid w:val="00F72C2F"/>
    <w:rsid w:val="00F72C6A"/>
    <w:rsid w:val="00F72E85"/>
    <w:rsid w:val="00F732F9"/>
    <w:rsid w:val="00F74451"/>
    <w:rsid w:val="00F744A0"/>
    <w:rsid w:val="00F744EB"/>
    <w:rsid w:val="00F746AB"/>
    <w:rsid w:val="00F74950"/>
    <w:rsid w:val="00F754DA"/>
    <w:rsid w:val="00F75B44"/>
    <w:rsid w:val="00F75BBE"/>
    <w:rsid w:val="00F760B0"/>
    <w:rsid w:val="00F762F3"/>
    <w:rsid w:val="00F76457"/>
    <w:rsid w:val="00F76715"/>
    <w:rsid w:val="00F769A0"/>
    <w:rsid w:val="00F76B8E"/>
    <w:rsid w:val="00F773B5"/>
    <w:rsid w:val="00F773ED"/>
    <w:rsid w:val="00F7763B"/>
    <w:rsid w:val="00F77683"/>
    <w:rsid w:val="00F776D0"/>
    <w:rsid w:val="00F77A6F"/>
    <w:rsid w:val="00F77BC6"/>
    <w:rsid w:val="00F80058"/>
    <w:rsid w:val="00F802FA"/>
    <w:rsid w:val="00F80B01"/>
    <w:rsid w:val="00F80C1F"/>
    <w:rsid w:val="00F80CE3"/>
    <w:rsid w:val="00F80D07"/>
    <w:rsid w:val="00F80FA8"/>
    <w:rsid w:val="00F81203"/>
    <w:rsid w:val="00F819A1"/>
    <w:rsid w:val="00F81A3F"/>
    <w:rsid w:val="00F81E91"/>
    <w:rsid w:val="00F822F5"/>
    <w:rsid w:val="00F82451"/>
    <w:rsid w:val="00F82721"/>
    <w:rsid w:val="00F829A4"/>
    <w:rsid w:val="00F82ADF"/>
    <w:rsid w:val="00F82B0E"/>
    <w:rsid w:val="00F82B2F"/>
    <w:rsid w:val="00F82B5E"/>
    <w:rsid w:val="00F82EA8"/>
    <w:rsid w:val="00F82F7C"/>
    <w:rsid w:val="00F82FA7"/>
    <w:rsid w:val="00F8347B"/>
    <w:rsid w:val="00F8372F"/>
    <w:rsid w:val="00F83CAA"/>
    <w:rsid w:val="00F847E1"/>
    <w:rsid w:val="00F84CDC"/>
    <w:rsid w:val="00F84FE0"/>
    <w:rsid w:val="00F853B4"/>
    <w:rsid w:val="00F856EA"/>
    <w:rsid w:val="00F85A4C"/>
    <w:rsid w:val="00F861EA"/>
    <w:rsid w:val="00F86218"/>
    <w:rsid w:val="00F867F6"/>
    <w:rsid w:val="00F8682E"/>
    <w:rsid w:val="00F86C3E"/>
    <w:rsid w:val="00F8718D"/>
    <w:rsid w:val="00F874E2"/>
    <w:rsid w:val="00F87CB7"/>
    <w:rsid w:val="00F87DD7"/>
    <w:rsid w:val="00F87EA1"/>
    <w:rsid w:val="00F901DC"/>
    <w:rsid w:val="00F906F6"/>
    <w:rsid w:val="00F90790"/>
    <w:rsid w:val="00F90947"/>
    <w:rsid w:val="00F90E5B"/>
    <w:rsid w:val="00F90FDB"/>
    <w:rsid w:val="00F912CF"/>
    <w:rsid w:val="00F9135A"/>
    <w:rsid w:val="00F914E4"/>
    <w:rsid w:val="00F91523"/>
    <w:rsid w:val="00F916A8"/>
    <w:rsid w:val="00F916CE"/>
    <w:rsid w:val="00F917AA"/>
    <w:rsid w:val="00F91840"/>
    <w:rsid w:val="00F919DB"/>
    <w:rsid w:val="00F91B02"/>
    <w:rsid w:val="00F91B73"/>
    <w:rsid w:val="00F91CAF"/>
    <w:rsid w:val="00F93249"/>
    <w:rsid w:val="00F933A3"/>
    <w:rsid w:val="00F934A4"/>
    <w:rsid w:val="00F93568"/>
    <w:rsid w:val="00F935EF"/>
    <w:rsid w:val="00F9367A"/>
    <w:rsid w:val="00F936A9"/>
    <w:rsid w:val="00F939B0"/>
    <w:rsid w:val="00F93AB1"/>
    <w:rsid w:val="00F93B31"/>
    <w:rsid w:val="00F93B41"/>
    <w:rsid w:val="00F93B95"/>
    <w:rsid w:val="00F93C4E"/>
    <w:rsid w:val="00F93CBA"/>
    <w:rsid w:val="00F94036"/>
    <w:rsid w:val="00F94196"/>
    <w:rsid w:val="00F941B8"/>
    <w:rsid w:val="00F9446A"/>
    <w:rsid w:val="00F946BA"/>
    <w:rsid w:val="00F9472F"/>
    <w:rsid w:val="00F94EDC"/>
    <w:rsid w:val="00F9502C"/>
    <w:rsid w:val="00F9541D"/>
    <w:rsid w:val="00F95681"/>
    <w:rsid w:val="00F95A98"/>
    <w:rsid w:val="00F95AC5"/>
    <w:rsid w:val="00F95E10"/>
    <w:rsid w:val="00F95F2F"/>
    <w:rsid w:val="00F9626A"/>
    <w:rsid w:val="00F96414"/>
    <w:rsid w:val="00F96BA9"/>
    <w:rsid w:val="00F96DB6"/>
    <w:rsid w:val="00F96E14"/>
    <w:rsid w:val="00F9766C"/>
    <w:rsid w:val="00F978F2"/>
    <w:rsid w:val="00F97A12"/>
    <w:rsid w:val="00F97C65"/>
    <w:rsid w:val="00FA0199"/>
    <w:rsid w:val="00FA059C"/>
    <w:rsid w:val="00FA0B06"/>
    <w:rsid w:val="00FA0EE3"/>
    <w:rsid w:val="00FA12ED"/>
    <w:rsid w:val="00FA14A7"/>
    <w:rsid w:val="00FA1A32"/>
    <w:rsid w:val="00FA1BE9"/>
    <w:rsid w:val="00FA1C8C"/>
    <w:rsid w:val="00FA1CC9"/>
    <w:rsid w:val="00FA1D09"/>
    <w:rsid w:val="00FA244A"/>
    <w:rsid w:val="00FA2510"/>
    <w:rsid w:val="00FA25B6"/>
    <w:rsid w:val="00FA292A"/>
    <w:rsid w:val="00FA2C5E"/>
    <w:rsid w:val="00FA2DB7"/>
    <w:rsid w:val="00FA2EA4"/>
    <w:rsid w:val="00FA2F54"/>
    <w:rsid w:val="00FA30E6"/>
    <w:rsid w:val="00FA31D2"/>
    <w:rsid w:val="00FA3326"/>
    <w:rsid w:val="00FA347F"/>
    <w:rsid w:val="00FA3587"/>
    <w:rsid w:val="00FA3BA3"/>
    <w:rsid w:val="00FA3C34"/>
    <w:rsid w:val="00FA40CD"/>
    <w:rsid w:val="00FA426A"/>
    <w:rsid w:val="00FA467B"/>
    <w:rsid w:val="00FA47FD"/>
    <w:rsid w:val="00FA4B63"/>
    <w:rsid w:val="00FA4BFC"/>
    <w:rsid w:val="00FA4D81"/>
    <w:rsid w:val="00FA4E21"/>
    <w:rsid w:val="00FA4E4C"/>
    <w:rsid w:val="00FA561A"/>
    <w:rsid w:val="00FA5A16"/>
    <w:rsid w:val="00FA6158"/>
    <w:rsid w:val="00FA6302"/>
    <w:rsid w:val="00FA6395"/>
    <w:rsid w:val="00FA655E"/>
    <w:rsid w:val="00FA669D"/>
    <w:rsid w:val="00FA68CD"/>
    <w:rsid w:val="00FA6E24"/>
    <w:rsid w:val="00FA6F43"/>
    <w:rsid w:val="00FA6FED"/>
    <w:rsid w:val="00FA7923"/>
    <w:rsid w:val="00FA7A9C"/>
    <w:rsid w:val="00FA7B7F"/>
    <w:rsid w:val="00FB027F"/>
    <w:rsid w:val="00FB082B"/>
    <w:rsid w:val="00FB090E"/>
    <w:rsid w:val="00FB0C0F"/>
    <w:rsid w:val="00FB0E46"/>
    <w:rsid w:val="00FB146F"/>
    <w:rsid w:val="00FB14CE"/>
    <w:rsid w:val="00FB1768"/>
    <w:rsid w:val="00FB194D"/>
    <w:rsid w:val="00FB1B20"/>
    <w:rsid w:val="00FB1CB8"/>
    <w:rsid w:val="00FB221F"/>
    <w:rsid w:val="00FB2337"/>
    <w:rsid w:val="00FB27C6"/>
    <w:rsid w:val="00FB27D5"/>
    <w:rsid w:val="00FB2B45"/>
    <w:rsid w:val="00FB2FCD"/>
    <w:rsid w:val="00FB36A9"/>
    <w:rsid w:val="00FB4721"/>
    <w:rsid w:val="00FB4F03"/>
    <w:rsid w:val="00FB5289"/>
    <w:rsid w:val="00FB55E2"/>
    <w:rsid w:val="00FB5825"/>
    <w:rsid w:val="00FB5916"/>
    <w:rsid w:val="00FB6348"/>
    <w:rsid w:val="00FB63CC"/>
    <w:rsid w:val="00FB6997"/>
    <w:rsid w:val="00FB6A56"/>
    <w:rsid w:val="00FB6D88"/>
    <w:rsid w:val="00FB7280"/>
    <w:rsid w:val="00FB757C"/>
    <w:rsid w:val="00FB7C08"/>
    <w:rsid w:val="00FB7EF0"/>
    <w:rsid w:val="00FC0089"/>
    <w:rsid w:val="00FC02A9"/>
    <w:rsid w:val="00FC0444"/>
    <w:rsid w:val="00FC0450"/>
    <w:rsid w:val="00FC05ED"/>
    <w:rsid w:val="00FC05F1"/>
    <w:rsid w:val="00FC0630"/>
    <w:rsid w:val="00FC06E7"/>
    <w:rsid w:val="00FC0B2C"/>
    <w:rsid w:val="00FC0E87"/>
    <w:rsid w:val="00FC1CA9"/>
    <w:rsid w:val="00FC1CBE"/>
    <w:rsid w:val="00FC1CD7"/>
    <w:rsid w:val="00FC2533"/>
    <w:rsid w:val="00FC259D"/>
    <w:rsid w:val="00FC262B"/>
    <w:rsid w:val="00FC2A9C"/>
    <w:rsid w:val="00FC2D41"/>
    <w:rsid w:val="00FC2E47"/>
    <w:rsid w:val="00FC2EE7"/>
    <w:rsid w:val="00FC30B9"/>
    <w:rsid w:val="00FC3165"/>
    <w:rsid w:val="00FC3382"/>
    <w:rsid w:val="00FC34EF"/>
    <w:rsid w:val="00FC372C"/>
    <w:rsid w:val="00FC3A1D"/>
    <w:rsid w:val="00FC3B38"/>
    <w:rsid w:val="00FC3BB4"/>
    <w:rsid w:val="00FC3CE8"/>
    <w:rsid w:val="00FC3D67"/>
    <w:rsid w:val="00FC3DDB"/>
    <w:rsid w:val="00FC40FC"/>
    <w:rsid w:val="00FC4170"/>
    <w:rsid w:val="00FC4185"/>
    <w:rsid w:val="00FC45BE"/>
    <w:rsid w:val="00FC48F3"/>
    <w:rsid w:val="00FC4DA7"/>
    <w:rsid w:val="00FC50F3"/>
    <w:rsid w:val="00FC54F5"/>
    <w:rsid w:val="00FC5840"/>
    <w:rsid w:val="00FC5ADB"/>
    <w:rsid w:val="00FC5D38"/>
    <w:rsid w:val="00FC5F3A"/>
    <w:rsid w:val="00FC60C9"/>
    <w:rsid w:val="00FC614F"/>
    <w:rsid w:val="00FC6624"/>
    <w:rsid w:val="00FC67F2"/>
    <w:rsid w:val="00FC6804"/>
    <w:rsid w:val="00FC6A72"/>
    <w:rsid w:val="00FC6AA8"/>
    <w:rsid w:val="00FC6F8E"/>
    <w:rsid w:val="00FC7064"/>
    <w:rsid w:val="00FC7245"/>
    <w:rsid w:val="00FC7571"/>
    <w:rsid w:val="00FC77D8"/>
    <w:rsid w:val="00FC7D2E"/>
    <w:rsid w:val="00FD0728"/>
    <w:rsid w:val="00FD0989"/>
    <w:rsid w:val="00FD0B95"/>
    <w:rsid w:val="00FD119A"/>
    <w:rsid w:val="00FD1580"/>
    <w:rsid w:val="00FD20A1"/>
    <w:rsid w:val="00FD22B6"/>
    <w:rsid w:val="00FD22E4"/>
    <w:rsid w:val="00FD2380"/>
    <w:rsid w:val="00FD2671"/>
    <w:rsid w:val="00FD2BAE"/>
    <w:rsid w:val="00FD2CF3"/>
    <w:rsid w:val="00FD2E0A"/>
    <w:rsid w:val="00FD348D"/>
    <w:rsid w:val="00FD35F8"/>
    <w:rsid w:val="00FD399A"/>
    <w:rsid w:val="00FD3DFC"/>
    <w:rsid w:val="00FD4027"/>
    <w:rsid w:val="00FD48C9"/>
    <w:rsid w:val="00FD4BF3"/>
    <w:rsid w:val="00FD4F3F"/>
    <w:rsid w:val="00FD5134"/>
    <w:rsid w:val="00FD5286"/>
    <w:rsid w:val="00FD57B5"/>
    <w:rsid w:val="00FD57D9"/>
    <w:rsid w:val="00FD58F3"/>
    <w:rsid w:val="00FD5C56"/>
    <w:rsid w:val="00FD5F47"/>
    <w:rsid w:val="00FD60E1"/>
    <w:rsid w:val="00FD6473"/>
    <w:rsid w:val="00FD6608"/>
    <w:rsid w:val="00FD663A"/>
    <w:rsid w:val="00FD66C9"/>
    <w:rsid w:val="00FD67C7"/>
    <w:rsid w:val="00FD6999"/>
    <w:rsid w:val="00FD6BEA"/>
    <w:rsid w:val="00FD71EB"/>
    <w:rsid w:val="00FD7363"/>
    <w:rsid w:val="00FD7A81"/>
    <w:rsid w:val="00FD7C43"/>
    <w:rsid w:val="00FE0121"/>
    <w:rsid w:val="00FE02FF"/>
    <w:rsid w:val="00FE054F"/>
    <w:rsid w:val="00FE05FF"/>
    <w:rsid w:val="00FE0753"/>
    <w:rsid w:val="00FE147B"/>
    <w:rsid w:val="00FE1492"/>
    <w:rsid w:val="00FE1C7C"/>
    <w:rsid w:val="00FE1E0E"/>
    <w:rsid w:val="00FE1ED6"/>
    <w:rsid w:val="00FE1F7C"/>
    <w:rsid w:val="00FE271B"/>
    <w:rsid w:val="00FE2DA9"/>
    <w:rsid w:val="00FE2F8B"/>
    <w:rsid w:val="00FE3153"/>
    <w:rsid w:val="00FE32E0"/>
    <w:rsid w:val="00FE33C7"/>
    <w:rsid w:val="00FE392D"/>
    <w:rsid w:val="00FE393B"/>
    <w:rsid w:val="00FE3A8C"/>
    <w:rsid w:val="00FE3AFA"/>
    <w:rsid w:val="00FE3BCB"/>
    <w:rsid w:val="00FE3E0C"/>
    <w:rsid w:val="00FE3ED9"/>
    <w:rsid w:val="00FE415C"/>
    <w:rsid w:val="00FE4971"/>
    <w:rsid w:val="00FE4D80"/>
    <w:rsid w:val="00FE4E4A"/>
    <w:rsid w:val="00FE4F28"/>
    <w:rsid w:val="00FE5916"/>
    <w:rsid w:val="00FE5C12"/>
    <w:rsid w:val="00FE5E52"/>
    <w:rsid w:val="00FE6068"/>
    <w:rsid w:val="00FE659D"/>
    <w:rsid w:val="00FE6ABF"/>
    <w:rsid w:val="00FE6C4C"/>
    <w:rsid w:val="00FE6C56"/>
    <w:rsid w:val="00FE7202"/>
    <w:rsid w:val="00FE724F"/>
    <w:rsid w:val="00FE766E"/>
    <w:rsid w:val="00FE77B8"/>
    <w:rsid w:val="00FE7887"/>
    <w:rsid w:val="00FE7B02"/>
    <w:rsid w:val="00FE7EFD"/>
    <w:rsid w:val="00FE7FBF"/>
    <w:rsid w:val="00FE7FC3"/>
    <w:rsid w:val="00FF0413"/>
    <w:rsid w:val="00FF04E1"/>
    <w:rsid w:val="00FF0B10"/>
    <w:rsid w:val="00FF0C29"/>
    <w:rsid w:val="00FF0D82"/>
    <w:rsid w:val="00FF0F82"/>
    <w:rsid w:val="00FF1006"/>
    <w:rsid w:val="00FF1502"/>
    <w:rsid w:val="00FF1826"/>
    <w:rsid w:val="00FF1877"/>
    <w:rsid w:val="00FF19B1"/>
    <w:rsid w:val="00FF1CE9"/>
    <w:rsid w:val="00FF1FEC"/>
    <w:rsid w:val="00FF235E"/>
    <w:rsid w:val="00FF250F"/>
    <w:rsid w:val="00FF27BD"/>
    <w:rsid w:val="00FF27F5"/>
    <w:rsid w:val="00FF2B73"/>
    <w:rsid w:val="00FF2BD7"/>
    <w:rsid w:val="00FF31B0"/>
    <w:rsid w:val="00FF32EF"/>
    <w:rsid w:val="00FF350C"/>
    <w:rsid w:val="00FF3877"/>
    <w:rsid w:val="00FF387D"/>
    <w:rsid w:val="00FF38B8"/>
    <w:rsid w:val="00FF3911"/>
    <w:rsid w:val="00FF3A15"/>
    <w:rsid w:val="00FF3AED"/>
    <w:rsid w:val="00FF3C5B"/>
    <w:rsid w:val="00FF3F7C"/>
    <w:rsid w:val="00FF40F1"/>
    <w:rsid w:val="00FF4238"/>
    <w:rsid w:val="00FF47CB"/>
    <w:rsid w:val="00FF4857"/>
    <w:rsid w:val="00FF4890"/>
    <w:rsid w:val="00FF4916"/>
    <w:rsid w:val="00FF516F"/>
    <w:rsid w:val="00FF5427"/>
    <w:rsid w:val="00FF546E"/>
    <w:rsid w:val="00FF5E5D"/>
    <w:rsid w:val="00FF623E"/>
    <w:rsid w:val="00FF649E"/>
    <w:rsid w:val="00FF6590"/>
    <w:rsid w:val="00FF6C07"/>
    <w:rsid w:val="00FF721B"/>
    <w:rsid w:val="00FF72C4"/>
    <w:rsid w:val="00FF75D1"/>
    <w:rsid w:val="00FF7610"/>
    <w:rsid w:val="00FF76F3"/>
    <w:rsid w:val="00FF7888"/>
    <w:rsid w:val="00FF7D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D1F7AA"/>
  <w15:docId w15:val="{2F79E939-5DCE-1E42-9788-3493BAF02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5F0"/>
    <w:pPr>
      <w:widowControl w:val="0"/>
      <w:spacing w:after="180" w:line="360" w:lineRule="auto"/>
      <w:jc w:val="both"/>
    </w:pPr>
    <w:rPr>
      <w:rFonts w:ascii="Times New Roman" w:eastAsia="Times New Roman" w:hAnsi="Times New Roman" w:cs="Calibri"/>
      <w:bCs/>
      <w:sz w:val="22"/>
    </w:rPr>
  </w:style>
  <w:style w:type="paragraph" w:styleId="Heading1">
    <w:name w:val="heading 1"/>
    <w:basedOn w:val="Normal"/>
    <w:link w:val="Heading1Char"/>
    <w:autoRedefine/>
    <w:uiPriority w:val="9"/>
    <w:qFormat/>
    <w:rsid w:val="006F43B8"/>
    <w:pPr>
      <w:numPr>
        <w:numId w:val="1"/>
      </w:numPr>
      <w:spacing w:after="240"/>
      <w:jc w:val="center"/>
      <w:outlineLvl w:val="0"/>
    </w:pPr>
    <w:rPr>
      <w:b/>
      <w:sz w:val="28"/>
      <w:u w:val="double"/>
    </w:rPr>
  </w:style>
  <w:style w:type="paragraph" w:styleId="Heading2">
    <w:name w:val="heading 2"/>
    <w:basedOn w:val="Normal"/>
    <w:next w:val="Normal"/>
    <w:link w:val="Heading2Char"/>
    <w:autoRedefine/>
    <w:uiPriority w:val="9"/>
    <w:unhideWhenUsed/>
    <w:qFormat/>
    <w:rsid w:val="009C7E62"/>
    <w:pPr>
      <w:numPr>
        <w:ilvl w:val="1"/>
        <w:numId w:val="1"/>
      </w:numPr>
      <w:outlineLvl w:val="1"/>
    </w:pPr>
    <w:rPr>
      <w:b/>
      <w:bCs w:val="0"/>
      <w:sz w:val="28"/>
      <w:szCs w:val="32"/>
    </w:rPr>
  </w:style>
  <w:style w:type="paragraph" w:styleId="Heading3">
    <w:name w:val="heading 3"/>
    <w:basedOn w:val="Normal"/>
    <w:next w:val="Normal"/>
    <w:link w:val="Heading3Char"/>
    <w:autoRedefine/>
    <w:uiPriority w:val="9"/>
    <w:unhideWhenUsed/>
    <w:qFormat/>
    <w:rsid w:val="004C5C79"/>
    <w:pPr>
      <w:keepNext/>
      <w:keepLines/>
      <w:numPr>
        <w:ilvl w:val="2"/>
        <w:numId w:val="1"/>
      </w:numPr>
      <w:spacing w:before="200"/>
      <w:ind w:left="720"/>
      <w:outlineLvl w:val="2"/>
    </w:pPr>
    <w:rPr>
      <w:rFonts w:eastAsiaTheme="majorEastAsia" w:cstheme="majorBidi"/>
      <w:b/>
      <w:sz w:val="24"/>
    </w:rPr>
  </w:style>
  <w:style w:type="paragraph" w:styleId="Heading4">
    <w:name w:val="heading 4"/>
    <w:basedOn w:val="Normal"/>
    <w:next w:val="Normal"/>
    <w:link w:val="Heading4Char"/>
    <w:autoRedefine/>
    <w:uiPriority w:val="9"/>
    <w:unhideWhenUsed/>
    <w:qFormat/>
    <w:rsid w:val="00F12F35"/>
    <w:pPr>
      <w:keepNext/>
      <w:keepLines/>
      <w:numPr>
        <w:ilvl w:val="3"/>
        <w:numId w:val="1"/>
      </w:numPr>
      <w:outlineLvl w:val="3"/>
    </w:pPr>
    <w:rPr>
      <w:rFonts w:eastAsiaTheme="majorEastAsia" w:cstheme="majorBidi"/>
      <w:b/>
      <w:bCs w:val="0"/>
      <w:i/>
      <w:iCs/>
    </w:rPr>
  </w:style>
  <w:style w:type="paragraph" w:styleId="Heading5">
    <w:name w:val="heading 5"/>
    <w:basedOn w:val="Normal"/>
    <w:next w:val="Normal"/>
    <w:link w:val="Heading5Char"/>
    <w:uiPriority w:val="9"/>
    <w:semiHidden/>
    <w:unhideWhenUsed/>
    <w:qFormat/>
    <w:rsid w:val="00053A0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3A0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3A0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3A0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3A0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E62"/>
    <w:rPr>
      <w:rFonts w:ascii="Times New Roman" w:eastAsia="Times New Roman" w:hAnsi="Times New Roman" w:cs="Calibri"/>
      <w:b/>
      <w:sz w:val="28"/>
      <w:szCs w:val="32"/>
    </w:rPr>
  </w:style>
  <w:style w:type="character" w:customStyle="1" w:styleId="Heading1Char">
    <w:name w:val="Heading 1 Char"/>
    <w:basedOn w:val="DefaultParagraphFont"/>
    <w:link w:val="Heading1"/>
    <w:uiPriority w:val="9"/>
    <w:rsid w:val="006F43B8"/>
    <w:rPr>
      <w:rFonts w:ascii="Times New Roman" w:eastAsia="Times New Roman" w:hAnsi="Times New Roman" w:cs="Calibri"/>
      <w:b/>
      <w:bCs/>
      <w:sz w:val="28"/>
      <w:u w:val="double"/>
    </w:rPr>
  </w:style>
  <w:style w:type="character" w:customStyle="1" w:styleId="Heading3Char">
    <w:name w:val="Heading 3 Char"/>
    <w:basedOn w:val="DefaultParagraphFont"/>
    <w:link w:val="Heading3"/>
    <w:uiPriority w:val="9"/>
    <w:rsid w:val="004C5C79"/>
    <w:rPr>
      <w:rFonts w:ascii="Times New Roman" w:eastAsiaTheme="majorEastAsia" w:hAnsi="Times New Roman" w:cstheme="majorBidi"/>
      <w:b/>
      <w:bCs/>
    </w:rPr>
  </w:style>
  <w:style w:type="paragraph" w:styleId="ListParagraph">
    <w:name w:val="List Paragraph"/>
    <w:basedOn w:val="Normal"/>
    <w:uiPriority w:val="34"/>
    <w:qFormat/>
    <w:rsid w:val="00624D45"/>
    <w:pPr>
      <w:ind w:left="720"/>
      <w:contextualSpacing/>
    </w:pPr>
  </w:style>
  <w:style w:type="paragraph" w:styleId="EndnoteText">
    <w:name w:val="endnote text"/>
    <w:basedOn w:val="Normal"/>
    <w:link w:val="EndnoteTextChar"/>
    <w:uiPriority w:val="99"/>
    <w:unhideWhenUsed/>
    <w:rsid w:val="00E9219E"/>
    <w:pPr>
      <w:spacing w:after="0" w:line="240" w:lineRule="auto"/>
    </w:pPr>
    <w:rPr>
      <w:sz w:val="24"/>
    </w:rPr>
  </w:style>
  <w:style w:type="character" w:customStyle="1" w:styleId="EndnoteTextChar">
    <w:name w:val="Endnote Text Char"/>
    <w:basedOn w:val="DefaultParagraphFont"/>
    <w:link w:val="EndnoteText"/>
    <w:uiPriority w:val="99"/>
    <w:rsid w:val="00E9219E"/>
    <w:rPr>
      <w:rFonts w:ascii="Times New Roman" w:eastAsia="Times New Roman" w:hAnsi="Times New Roman" w:cs="Calibri"/>
      <w:bCs/>
    </w:rPr>
  </w:style>
  <w:style w:type="character" w:styleId="EndnoteReference">
    <w:name w:val="endnote reference"/>
    <w:basedOn w:val="DefaultParagraphFont"/>
    <w:uiPriority w:val="99"/>
    <w:unhideWhenUsed/>
    <w:rsid w:val="00E9219E"/>
    <w:rPr>
      <w:vertAlign w:val="superscript"/>
    </w:rPr>
  </w:style>
  <w:style w:type="character" w:styleId="Hyperlink">
    <w:name w:val="Hyperlink"/>
    <w:basedOn w:val="DefaultParagraphFont"/>
    <w:uiPriority w:val="99"/>
    <w:unhideWhenUsed/>
    <w:rsid w:val="00927725"/>
    <w:rPr>
      <w:color w:val="0000FF" w:themeColor="hyperlink"/>
      <w:u w:val="single"/>
    </w:rPr>
  </w:style>
  <w:style w:type="character" w:customStyle="1" w:styleId="size">
    <w:name w:val="size"/>
    <w:basedOn w:val="DefaultParagraphFont"/>
    <w:rsid w:val="00D1371D"/>
  </w:style>
  <w:style w:type="paragraph" w:styleId="NormalWeb">
    <w:name w:val="Normal (Web)"/>
    <w:basedOn w:val="Normal"/>
    <w:uiPriority w:val="99"/>
    <w:unhideWhenUsed/>
    <w:rsid w:val="00D1371D"/>
    <w:pPr>
      <w:widowControl/>
      <w:spacing w:before="100" w:beforeAutospacing="1" w:after="100" w:afterAutospacing="1" w:line="240" w:lineRule="auto"/>
      <w:jc w:val="left"/>
    </w:pPr>
    <w:rPr>
      <w:rFonts w:ascii="Times" w:eastAsiaTheme="minorEastAsia" w:hAnsi="Times" w:cs="Times New Roman"/>
      <w:bCs w:val="0"/>
      <w:sz w:val="20"/>
      <w:szCs w:val="20"/>
      <w:lang w:eastAsia="en-US"/>
    </w:rPr>
  </w:style>
  <w:style w:type="character" w:customStyle="1" w:styleId="apple-converted-space">
    <w:name w:val="apple-converted-space"/>
    <w:basedOn w:val="DefaultParagraphFont"/>
    <w:rsid w:val="00D1371D"/>
  </w:style>
  <w:style w:type="character" w:customStyle="1" w:styleId="colour">
    <w:name w:val="colour"/>
    <w:basedOn w:val="DefaultParagraphFont"/>
    <w:rsid w:val="00D1371D"/>
  </w:style>
  <w:style w:type="character" w:customStyle="1" w:styleId="markedcontent">
    <w:name w:val="markedcontent"/>
    <w:basedOn w:val="DefaultParagraphFont"/>
    <w:rsid w:val="00D1371D"/>
  </w:style>
  <w:style w:type="character" w:styleId="CommentReference">
    <w:name w:val="annotation reference"/>
    <w:basedOn w:val="DefaultParagraphFont"/>
    <w:uiPriority w:val="99"/>
    <w:semiHidden/>
    <w:unhideWhenUsed/>
    <w:rsid w:val="005133AE"/>
    <w:rPr>
      <w:sz w:val="18"/>
      <w:szCs w:val="18"/>
    </w:rPr>
  </w:style>
  <w:style w:type="paragraph" w:styleId="CommentText">
    <w:name w:val="annotation text"/>
    <w:basedOn w:val="Normal"/>
    <w:link w:val="CommentTextChar"/>
    <w:uiPriority w:val="99"/>
    <w:semiHidden/>
    <w:unhideWhenUsed/>
    <w:rsid w:val="005133AE"/>
    <w:pPr>
      <w:spacing w:line="240" w:lineRule="auto"/>
    </w:pPr>
    <w:rPr>
      <w:sz w:val="24"/>
    </w:rPr>
  </w:style>
  <w:style w:type="character" w:customStyle="1" w:styleId="CommentTextChar">
    <w:name w:val="Comment Text Char"/>
    <w:basedOn w:val="DefaultParagraphFont"/>
    <w:link w:val="CommentText"/>
    <w:uiPriority w:val="99"/>
    <w:semiHidden/>
    <w:rsid w:val="005133AE"/>
    <w:rPr>
      <w:rFonts w:ascii="Times New Roman" w:eastAsia="Times New Roman" w:hAnsi="Times New Roman" w:cs="Calibri"/>
      <w:bCs/>
    </w:rPr>
  </w:style>
  <w:style w:type="paragraph" w:styleId="CommentSubject">
    <w:name w:val="annotation subject"/>
    <w:basedOn w:val="CommentText"/>
    <w:next w:val="CommentText"/>
    <w:link w:val="CommentSubjectChar"/>
    <w:uiPriority w:val="99"/>
    <w:semiHidden/>
    <w:unhideWhenUsed/>
    <w:rsid w:val="005133AE"/>
    <w:rPr>
      <w:b/>
      <w:sz w:val="20"/>
      <w:szCs w:val="20"/>
    </w:rPr>
  </w:style>
  <w:style w:type="character" w:customStyle="1" w:styleId="CommentSubjectChar">
    <w:name w:val="Comment Subject Char"/>
    <w:basedOn w:val="CommentTextChar"/>
    <w:link w:val="CommentSubject"/>
    <w:uiPriority w:val="99"/>
    <w:semiHidden/>
    <w:rsid w:val="005133AE"/>
    <w:rPr>
      <w:rFonts w:ascii="Times New Roman" w:eastAsia="Times New Roman" w:hAnsi="Times New Roman" w:cs="Calibri"/>
      <w:b/>
      <w:bCs/>
      <w:sz w:val="20"/>
      <w:szCs w:val="20"/>
    </w:rPr>
  </w:style>
  <w:style w:type="paragraph" w:styleId="BalloonText">
    <w:name w:val="Balloon Text"/>
    <w:basedOn w:val="Normal"/>
    <w:link w:val="BalloonTextChar"/>
    <w:uiPriority w:val="99"/>
    <w:semiHidden/>
    <w:unhideWhenUsed/>
    <w:rsid w:val="005133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33AE"/>
    <w:rPr>
      <w:rFonts w:ascii="Lucida Grande" w:eastAsia="Times New Roman" w:hAnsi="Lucida Grande" w:cs="Lucida Grande"/>
      <w:bCs/>
      <w:sz w:val="18"/>
      <w:szCs w:val="18"/>
    </w:rPr>
  </w:style>
  <w:style w:type="paragraph" w:styleId="Header">
    <w:name w:val="header"/>
    <w:basedOn w:val="Normal"/>
    <w:link w:val="HeaderChar"/>
    <w:uiPriority w:val="99"/>
    <w:unhideWhenUsed/>
    <w:rsid w:val="00924B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924B24"/>
    <w:rPr>
      <w:rFonts w:ascii="Times New Roman" w:eastAsia="Times New Roman" w:hAnsi="Times New Roman" w:cs="Calibri"/>
      <w:bCs/>
      <w:sz w:val="22"/>
    </w:rPr>
  </w:style>
  <w:style w:type="paragraph" w:styleId="Footer">
    <w:name w:val="footer"/>
    <w:basedOn w:val="Normal"/>
    <w:link w:val="FooterChar"/>
    <w:uiPriority w:val="99"/>
    <w:unhideWhenUsed/>
    <w:rsid w:val="00924B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924B24"/>
    <w:rPr>
      <w:rFonts w:ascii="Times New Roman" w:eastAsia="Times New Roman" w:hAnsi="Times New Roman" w:cs="Calibri"/>
      <w:bCs/>
      <w:sz w:val="22"/>
    </w:rPr>
  </w:style>
  <w:style w:type="character" w:styleId="PageNumber">
    <w:name w:val="page number"/>
    <w:basedOn w:val="DefaultParagraphFont"/>
    <w:uiPriority w:val="99"/>
    <w:semiHidden/>
    <w:unhideWhenUsed/>
    <w:rsid w:val="00691F6C"/>
  </w:style>
  <w:style w:type="character" w:styleId="FollowedHyperlink">
    <w:name w:val="FollowedHyperlink"/>
    <w:basedOn w:val="DefaultParagraphFont"/>
    <w:uiPriority w:val="99"/>
    <w:semiHidden/>
    <w:unhideWhenUsed/>
    <w:rsid w:val="00640C6A"/>
    <w:rPr>
      <w:color w:val="800080" w:themeColor="followedHyperlink"/>
      <w:u w:val="single"/>
    </w:rPr>
  </w:style>
  <w:style w:type="paragraph" w:styleId="TOC1">
    <w:name w:val="toc 1"/>
    <w:basedOn w:val="Normal"/>
    <w:next w:val="Normal"/>
    <w:autoRedefine/>
    <w:uiPriority w:val="39"/>
    <w:unhideWhenUsed/>
    <w:rsid w:val="00E54C71"/>
    <w:pPr>
      <w:tabs>
        <w:tab w:val="left" w:pos="440"/>
        <w:tab w:val="right" w:leader="dot" w:pos="9350"/>
      </w:tabs>
      <w:spacing w:before="120" w:after="120"/>
      <w:jc w:val="left"/>
    </w:pPr>
    <w:rPr>
      <w:rFonts w:asciiTheme="minorHAnsi" w:hAnsiTheme="minorHAnsi"/>
      <w:b/>
      <w:caps/>
      <w:sz w:val="20"/>
      <w:szCs w:val="20"/>
    </w:rPr>
  </w:style>
  <w:style w:type="paragraph" w:styleId="TOC2">
    <w:name w:val="toc 2"/>
    <w:basedOn w:val="Normal"/>
    <w:next w:val="Normal"/>
    <w:autoRedefine/>
    <w:uiPriority w:val="39"/>
    <w:unhideWhenUsed/>
    <w:rsid w:val="006A6A5A"/>
    <w:pPr>
      <w:spacing w:after="0"/>
      <w:ind w:left="220"/>
      <w:jc w:val="left"/>
    </w:pPr>
    <w:rPr>
      <w:rFonts w:asciiTheme="minorHAnsi" w:hAnsiTheme="minorHAnsi"/>
      <w:bCs w:val="0"/>
      <w:smallCaps/>
      <w:sz w:val="20"/>
      <w:szCs w:val="20"/>
    </w:rPr>
  </w:style>
  <w:style w:type="paragraph" w:styleId="TOC3">
    <w:name w:val="toc 3"/>
    <w:basedOn w:val="Normal"/>
    <w:next w:val="Normal"/>
    <w:autoRedefine/>
    <w:uiPriority w:val="39"/>
    <w:unhideWhenUsed/>
    <w:rsid w:val="00672C64"/>
    <w:pPr>
      <w:spacing w:after="0"/>
      <w:ind w:left="440"/>
      <w:jc w:val="left"/>
    </w:pPr>
    <w:rPr>
      <w:rFonts w:asciiTheme="minorHAnsi" w:hAnsiTheme="minorHAnsi"/>
      <w:bCs w:val="0"/>
      <w:i/>
      <w:iCs/>
      <w:sz w:val="20"/>
      <w:szCs w:val="20"/>
    </w:rPr>
  </w:style>
  <w:style w:type="paragraph" w:styleId="TOC4">
    <w:name w:val="toc 4"/>
    <w:basedOn w:val="Normal"/>
    <w:next w:val="Normal"/>
    <w:autoRedefine/>
    <w:uiPriority w:val="39"/>
    <w:unhideWhenUsed/>
    <w:rsid w:val="009444AE"/>
    <w:pPr>
      <w:spacing w:after="0"/>
      <w:ind w:left="660"/>
      <w:jc w:val="left"/>
    </w:pPr>
    <w:rPr>
      <w:rFonts w:asciiTheme="minorHAnsi" w:hAnsiTheme="minorHAnsi"/>
      <w:bCs w:val="0"/>
      <w:sz w:val="18"/>
      <w:szCs w:val="18"/>
    </w:rPr>
  </w:style>
  <w:style w:type="paragraph" w:styleId="TOC5">
    <w:name w:val="toc 5"/>
    <w:basedOn w:val="Normal"/>
    <w:next w:val="Normal"/>
    <w:autoRedefine/>
    <w:uiPriority w:val="39"/>
    <w:unhideWhenUsed/>
    <w:rsid w:val="009444AE"/>
    <w:pPr>
      <w:spacing w:after="0"/>
      <w:ind w:left="880"/>
      <w:jc w:val="left"/>
    </w:pPr>
    <w:rPr>
      <w:rFonts w:asciiTheme="minorHAnsi" w:hAnsiTheme="minorHAnsi"/>
      <w:bCs w:val="0"/>
      <w:sz w:val="18"/>
      <w:szCs w:val="18"/>
    </w:rPr>
  </w:style>
  <w:style w:type="paragraph" w:styleId="TOC6">
    <w:name w:val="toc 6"/>
    <w:basedOn w:val="Normal"/>
    <w:next w:val="Normal"/>
    <w:autoRedefine/>
    <w:uiPriority w:val="39"/>
    <w:unhideWhenUsed/>
    <w:rsid w:val="009444AE"/>
    <w:pPr>
      <w:spacing w:after="0"/>
      <w:ind w:left="1100"/>
      <w:jc w:val="left"/>
    </w:pPr>
    <w:rPr>
      <w:rFonts w:asciiTheme="minorHAnsi" w:hAnsiTheme="minorHAnsi"/>
      <w:bCs w:val="0"/>
      <w:sz w:val="18"/>
      <w:szCs w:val="18"/>
    </w:rPr>
  </w:style>
  <w:style w:type="paragraph" w:styleId="TOC7">
    <w:name w:val="toc 7"/>
    <w:basedOn w:val="Normal"/>
    <w:next w:val="Normal"/>
    <w:autoRedefine/>
    <w:uiPriority w:val="39"/>
    <w:unhideWhenUsed/>
    <w:rsid w:val="009444AE"/>
    <w:pPr>
      <w:spacing w:after="0"/>
      <w:ind w:left="1320"/>
      <w:jc w:val="left"/>
    </w:pPr>
    <w:rPr>
      <w:rFonts w:asciiTheme="minorHAnsi" w:hAnsiTheme="minorHAnsi"/>
      <w:bCs w:val="0"/>
      <w:sz w:val="18"/>
      <w:szCs w:val="18"/>
    </w:rPr>
  </w:style>
  <w:style w:type="paragraph" w:styleId="TOC8">
    <w:name w:val="toc 8"/>
    <w:basedOn w:val="Normal"/>
    <w:next w:val="Normal"/>
    <w:autoRedefine/>
    <w:uiPriority w:val="39"/>
    <w:unhideWhenUsed/>
    <w:rsid w:val="009444AE"/>
    <w:pPr>
      <w:spacing w:after="0"/>
      <w:ind w:left="1540"/>
      <w:jc w:val="left"/>
    </w:pPr>
    <w:rPr>
      <w:rFonts w:asciiTheme="minorHAnsi" w:hAnsiTheme="minorHAnsi"/>
      <w:bCs w:val="0"/>
      <w:sz w:val="18"/>
      <w:szCs w:val="18"/>
    </w:rPr>
  </w:style>
  <w:style w:type="paragraph" w:styleId="TOC9">
    <w:name w:val="toc 9"/>
    <w:basedOn w:val="Normal"/>
    <w:next w:val="Normal"/>
    <w:autoRedefine/>
    <w:uiPriority w:val="39"/>
    <w:unhideWhenUsed/>
    <w:rsid w:val="009444AE"/>
    <w:pPr>
      <w:spacing w:after="0"/>
      <w:ind w:left="1760"/>
      <w:jc w:val="left"/>
    </w:pPr>
    <w:rPr>
      <w:rFonts w:asciiTheme="minorHAnsi" w:hAnsiTheme="minorHAnsi"/>
      <w:bCs w:val="0"/>
      <w:sz w:val="18"/>
      <w:szCs w:val="18"/>
    </w:rPr>
  </w:style>
  <w:style w:type="character" w:customStyle="1" w:styleId="Heading4Char">
    <w:name w:val="Heading 4 Char"/>
    <w:basedOn w:val="DefaultParagraphFont"/>
    <w:link w:val="Heading4"/>
    <w:uiPriority w:val="9"/>
    <w:rsid w:val="00F12F35"/>
    <w:rPr>
      <w:rFonts w:ascii="Times New Roman" w:eastAsiaTheme="majorEastAsia" w:hAnsi="Times New Roman" w:cstheme="majorBidi"/>
      <w:b/>
      <w:i/>
      <w:iCs/>
      <w:sz w:val="22"/>
    </w:rPr>
  </w:style>
  <w:style w:type="character" w:customStyle="1" w:styleId="Heading5Char">
    <w:name w:val="Heading 5 Char"/>
    <w:basedOn w:val="DefaultParagraphFont"/>
    <w:link w:val="Heading5"/>
    <w:uiPriority w:val="9"/>
    <w:semiHidden/>
    <w:rsid w:val="00053A0C"/>
    <w:rPr>
      <w:rFonts w:asciiTheme="majorHAnsi" w:eastAsiaTheme="majorEastAsia" w:hAnsiTheme="majorHAnsi" w:cstheme="majorBidi"/>
      <w:bCs/>
      <w:color w:val="243F60" w:themeColor="accent1" w:themeShade="7F"/>
      <w:sz w:val="22"/>
    </w:rPr>
  </w:style>
  <w:style w:type="character" w:customStyle="1" w:styleId="Heading6Char">
    <w:name w:val="Heading 6 Char"/>
    <w:basedOn w:val="DefaultParagraphFont"/>
    <w:link w:val="Heading6"/>
    <w:uiPriority w:val="9"/>
    <w:semiHidden/>
    <w:rsid w:val="00053A0C"/>
    <w:rPr>
      <w:rFonts w:asciiTheme="majorHAnsi" w:eastAsiaTheme="majorEastAsia" w:hAnsiTheme="majorHAnsi" w:cstheme="majorBidi"/>
      <w:bCs/>
      <w:i/>
      <w:iCs/>
      <w:color w:val="243F60" w:themeColor="accent1" w:themeShade="7F"/>
      <w:sz w:val="22"/>
    </w:rPr>
  </w:style>
  <w:style w:type="character" w:customStyle="1" w:styleId="Heading7Char">
    <w:name w:val="Heading 7 Char"/>
    <w:basedOn w:val="DefaultParagraphFont"/>
    <w:link w:val="Heading7"/>
    <w:uiPriority w:val="9"/>
    <w:semiHidden/>
    <w:rsid w:val="00053A0C"/>
    <w:rPr>
      <w:rFonts w:asciiTheme="majorHAnsi" w:eastAsiaTheme="majorEastAsia" w:hAnsiTheme="majorHAnsi" w:cstheme="majorBidi"/>
      <w:bCs/>
      <w:i/>
      <w:iCs/>
      <w:color w:val="404040" w:themeColor="text1" w:themeTint="BF"/>
      <w:sz w:val="22"/>
    </w:rPr>
  </w:style>
  <w:style w:type="character" w:customStyle="1" w:styleId="Heading8Char">
    <w:name w:val="Heading 8 Char"/>
    <w:basedOn w:val="DefaultParagraphFont"/>
    <w:link w:val="Heading8"/>
    <w:uiPriority w:val="9"/>
    <w:semiHidden/>
    <w:rsid w:val="00053A0C"/>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053A0C"/>
    <w:rPr>
      <w:rFonts w:asciiTheme="majorHAnsi" w:eastAsiaTheme="majorEastAsia" w:hAnsiTheme="majorHAnsi" w:cstheme="majorBidi"/>
      <w:bCs/>
      <w:i/>
      <w:iCs/>
      <w:color w:val="404040" w:themeColor="text1" w:themeTint="BF"/>
      <w:sz w:val="20"/>
      <w:szCs w:val="20"/>
    </w:rPr>
  </w:style>
  <w:style w:type="paragraph" w:styleId="NoSpacing">
    <w:name w:val="No Spacing"/>
    <w:aliases w:val="Endnotes"/>
    <w:basedOn w:val="EndnoteText"/>
    <w:autoRedefine/>
    <w:uiPriority w:val="1"/>
    <w:qFormat/>
    <w:rsid w:val="0016283D"/>
    <w:pPr>
      <w:widowControl/>
      <w:tabs>
        <w:tab w:val="left" w:pos="450"/>
      </w:tabs>
      <w:spacing w:after="20"/>
      <w:ind w:left="450" w:hanging="450"/>
      <w:jc w:val="left"/>
    </w:pPr>
    <w:rPr>
      <w:rFonts w:eastAsiaTheme="minorEastAsia" w:cstheme="minorBidi"/>
      <w:bCs w:val="0"/>
      <w:sz w:val="20"/>
      <w:lang w:eastAsia="en-US"/>
    </w:rPr>
  </w:style>
  <w:style w:type="character" w:customStyle="1" w:styleId="highwire-cite-metadata-doi">
    <w:name w:val="highwire-cite-metadata-doi"/>
    <w:basedOn w:val="DefaultParagraphFont"/>
    <w:rsid w:val="00CF16AC"/>
  </w:style>
  <w:style w:type="character" w:styleId="FootnoteReference">
    <w:name w:val="footnote reference"/>
    <w:basedOn w:val="DefaultParagraphFont"/>
    <w:unhideWhenUsed/>
    <w:rsid w:val="000F00F3"/>
    <w:rPr>
      <w:vertAlign w:val="superscript"/>
    </w:rPr>
  </w:style>
  <w:style w:type="paragraph" w:styleId="FootnoteText">
    <w:name w:val="footnote text"/>
    <w:basedOn w:val="Normal"/>
    <w:link w:val="FootnoteTextChar"/>
    <w:unhideWhenUsed/>
    <w:rsid w:val="000F00F3"/>
    <w:pPr>
      <w:widowControl/>
      <w:spacing w:after="0" w:line="240" w:lineRule="auto"/>
    </w:pPr>
    <w:rPr>
      <w:rFonts w:ascii="Arial" w:eastAsiaTheme="minorHAnsi" w:hAnsi="Arial" w:cs="Arial"/>
      <w:bCs w:val="0"/>
      <w:sz w:val="20"/>
      <w:szCs w:val="20"/>
      <w:lang w:val="en-NZ" w:eastAsia="en-US"/>
    </w:rPr>
  </w:style>
  <w:style w:type="character" w:customStyle="1" w:styleId="FootnoteTextChar">
    <w:name w:val="Footnote Text Char"/>
    <w:basedOn w:val="DefaultParagraphFont"/>
    <w:link w:val="FootnoteText"/>
    <w:qFormat/>
    <w:rsid w:val="000F00F3"/>
    <w:rPr>
      <w:rFonts w:ascii="Arial" w:eastAsiaTheme="minorHAnsi" w:hAnsi="Arial" w:cs="Arial"/>
      <w:sz w:val="20"/>
      <w:szCs w:val="20"/>
      <w:lang w:val="en-NZ" w:eastAsia="en-US"/>
    </w:rPr>
  </w:style>
  <w:style w:type="character" w:styleId="Emphasis">
    <w:name w:val="Emphasis"/>
    <w:basedOn w:val="DefaultParagraphFont"/>
    <w:uiPriority w:val="20"/>
    <w:qFormat/>
    <w:rsid w:val="00416F69"/>
    <w:rPr>
      <w:i/>
      <w:iCs/>
    </w:rPr>
  </w:style>
  <w:style w:type="character" w:styleId="Strong">
    <w:name w:val="Strong"/>
    <w:basedOn w:val="DefaultParagraphFont"/>
    <w:uiPriority w:val="22"/>
    <w:qFormat/>
    <w:rsid w:val="00416F69"/>
    <w:rPr>
      <w:b/>
      <w:bCs/>
    </w:rPr>
  </w:style>
  <w:style w:type="character" w:styleId="LineNumber">
    <w:name w:val="line number"/>
    <w:basedOn w:val="DefaultParagraphFont"/>
    <w:uiPriority w:val="99"/>
    <w:semiHidden/>
    <w:unhideWhenUsed/>
    <w:rsid w:val="00E74F73"/>
  </w:style>
  <w:style w:type="paragraph" w:styleId="Revision">
    <w:name w:val="Revision"/>
    <w:hidden/>
    <w:uiPriority w:val="99"/>
    <w:semiHidden/>
    <w:rsid w:val="00623EB6"/>
    <w:rPr>
      <w:rFonts w:ascii="Times New Roman" w:eastAsia="Times New Roman" w:hAnsi="Times New Roman" w:cs="Calibri"/>
      <w:bCs/>
      <w:sz w:val="22"/>
    </w:rPr>
  </w:style>
  <w:style w:type="character" w:styleId="UnresolvedMention">
    <w:name w:val="Unresolved Mention"/>
    <w:basedOn w:val="DefaultParagraphFont"/>
    <w:uiPriority w:val="99"/>
    <w:semiHidden/>
    <w:unhideWhenUsed/>
    <w:rsid w:val="00EF66B1"/>
    <w:rPr>
      <w:color w:val="605E5C"/>
      <w:shd w:val="clear" w:color="auto" w:fill="E1DFDD"/>
    </w:rPr>
  </w:style>
  <w:style w:type="table" w:styleId="TableGrid">
    <w:name w:val="Table Grid"/>
    <w:basedOn w:val="TableNormal"/>
    <w:uiPriority w:val="59"/>
    <w:rsid w:val="00AB2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ext">
    <w:name w:val="copy-text"/>
    <w:basedOn w:val="DefaultParagraphFont"/>
    <w:rsid w:val="00466E30"/>
  </w:style>
  <w:style w:type="character" w:customStyle="1" w:styleId="author">
    <w:name w:val="author"/>
    <w:basedOn w:val="DefaultParagraphFont"/>
    <w:rsid w:val="00316DB1"/>
  </w:style>
  <w:style w:type="character" w:customStyle="1" w:styleId="articletitle">
    <w:name w:val="articletitle"/>
    <w:basedOn w:val="DefaultParagraphFont"/>
    <w:rsid w:val="00316DB1"/>
  </w:style>
  <w:style w:type="character" w:customStyle="1" w:styleId="pubyear">
    <w:name w:val="pubyear"/>
    <w:basedOn w:val="DefaultParagraphFont"/>
    <w:rsid w:val="00316DB1"/>
  </w:style>
  <w:style w:type="character" w:customStyle="1" w:styleId="vol">
    <w:name w:val="vol"/>
    <w:basedOn w:val="DefaultParagraphFont"/>
    <w:rsid w:val="00316DB1"/>
  </w:style>
  <w:style w:type="character" w:customStyle="1" w:styleId="pagefirst">
    <w:name w:val="pagefirst"/>
    <w:basedOn w:val="DefaultParagraphFont"/>
    <w:rsid w:val="00316DB1"/>
  </w:style>
  <w:style w:type="character" w:customStyle="1" w:styleId="pagelast">
    <w:name w:val="pagelast"/>
    <w:basedOn w:val="DefaultParagraphFont"/>
    <w:rsid w:val="00316DB1"/>
  </w:style>
  <w:style w:type="character" w:customStyle="1" w:styleId="highwire-citation-authors">
    <w:name w:val="highwire-citation-authors"/>
    <w:basedOn w:val="DefaultParagraphFont"/>
    <w:rsid w:val="001A2D02"/>
  </w:style>
  <w:style w:type="character" w:customStyle="1" w:styleId="highwire-citation-author">
    <w:name w:val="highwire-citation-author"/>
    <w:basedOn w:val="DefaultParagraphFont"/>
    <w:rsid w:val="001A2D02"/>
  </w:style>
  <w:style w:type="character" w:customStyle="1" w:styleId="nlm-given-names">
    <w:name w:val="nlm-given-names"/>
    <w:basedOn w:val="DefaultParagraphFont"/>
    <w:rsid w:val="001A2D02"/>
  </w:style>
  <w:style w:type="character" w:customStyle="1" w:styleId="nlm-surname">
    <w:name w:val="nlm-surname"/>
    <w:basedOn w:val="DefaultParagraphFont"/>
    <w:rsid w:val="001A2D02"/>
  </w:style>
  <w:style w:type="character" w:customStyle="1" w:styleId="highwire-cite-metadata-journal">
    <w:name w:val="highwire-cite-metadata-journal"/>
    <w:basedOn w:val="DefaultParagraphFont"/>
    <w:rsid w:val="001A2D02"/>
  </w:style>
  <w:style w:type="character" w:customStyle="1" w:styleId="highwire-cite-metadata-pages">
    <w:name w:val="highwire-cite-metadata-pages"/>
    <w:basedOn w:val="DefaultParagraphFont"/>
    <w:rsid w:val="001A2D02"/>
  </w:style>
  <w:style w:type="character" w:customStyle="1" w:styleId="doilabel">
    <w:name w:val="doi_label"/>
    <w:basedOn w:val="DefaultParagraphFont"/>
    <w:rsid w:val="001A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50">
      <w:bodyDiv w:val="1"/>
      <w:marLeft w:val="0"/>
      <w:marRight w:val="0"/>
      <w:marTop w:val="0"/>
      <w:marBottom w:val="0"/>
      <w:divBdr>
        <w:top w:val="none" w:sz="0" w:space="0" w:color="auto"/>
        <w:left w:val="none" w:sz="0" w:space="0" w:color="auto"/>
        <w:bottom w:val="none" w:sz="0" w:space="0" w:color="auto"/>
        <w:right w:val="none" w:sz="0" w:space="0" w:color="auto"/>
      </w:divBdr>
    </w:div>
    <w:div w:id="125855714">
      <w:bodyDiv w:val="1"/>
      <w:marLeft w:val="0"/>
      <w:marRight w:val="0"/>
      <w:marTop w:val="0"/>
      <w:marBottom w:val="0"/>
      <w:divBdr>
        <w:top w:val="none" w:sz="0" w:space="0" w:color="auto"/>
        <w:left w:val="none" w:sz="0" w:space="0" w:color="auto"/>
        <w:bottom w:val="none" w:sz="0" w:space="0" w:color="auto"/>
        <w:right w:val="none" w:sz="0" w:space="0" w:color="auto"/>
      </w:divBdr>
    </w:div>
    <w:div w:id="144705953">
      <w:bodyDiv w:val="1"/>
      <w:marLeft w:val="0"/>
      <w:marRight w:val="0"/>
      <w:marTop w:val="0"/>
      <w:marBottom w:val="0"/>
      <w:divBdr>
        <w:top w:val="none" w:sz="0" w:space="0" w:color="auto"/>
        <w:left w:val="none" w:sz="0" w:space="0" w:color="auto"/>
        <w:bottom w:val="none" w:sz="0" w:space="0" w:color="auto"/>
        <w:right w:val="none" w:sz="0" w:space="0" w:color="auto"/>
      </w:divBdr>
    </w:div>
    <w:div w:id="158932795">
      <w:bodyDiv w:val="1"/>
      <w:marLeft w:val="0"/>
      <w:marRight w:val="0"/>
      <w:marTop w:val="0"/>
      <w:marBottom w:val="0"/>
      <w:divBdr>
        <w:top w:val="none" w:sz="0" w:space="0" w:color="auto"/>
        <w:left w:val="none" w:sz="0" w:space="0" w:color="auto"/>
        <w:bottom w:val="none" w:sz="0" w:space="0" w:color="auto"/>
        <w:right w:val="none" w:sz="0" w:space="0" w:color="auto"/>
      </w:divBdr>
      <w:divsChild>
        <w:div w:id="141893951">
          <w:marLeft w:val="0"/>
          <w:marRight w:val="0"/>
          <w:marTop w:val="0"/>
          <w:marBottom w:val="0"/>
          <w:divBdr>
            <w:top w:val="none" w:sz="0" w:space="0" w:color="auto"/>
            <w:left w:val="none" w:sz="0" w:space="0" w:color="auto"/>
            <w:bottom w:val="none" w:sz="0" w:space="0" w:color="auto"/>
            <w:right w:val="none" w:sz="0" w:space="0" w:color="auto"/>
          </w:divBdr>
        </w:div>
      </w:divsChild>
    </w:div>
    <w:div w:id="355468107">
      <w:bodyDiv w:val="1"/>
      <w:marLeft w:val="0"/>
      <w:marRight w:val="0"/>
      <w:marTop w:val="0"/>
      <w:marBottom w:val="0"/>
      <w:divBdr>
        <w:top w:val="none" w:sz="0" w:space="0" w:color="auto"/>
        <w:left w:val="none" w:sz="0" w:space="0" w:color="auto"/>
        <w:bottom w:val="none" w:sz="0" w:space="0" w:color="auto"/>
        <w:right w:val="none" w:sz="0" w:space="0" w:color="auto"/>
      </w:divBdr>
    </w:div>
    <w:div w:id="532887914">
      <w:bodyDiv w:val="1"/>
      <w:marLeft w:val="0"/>
      <w:marRight w:val="0"/>
      <w:marTop w:val="0"/>
      <w:marBottom w:val="0"/>
      <w:divBdr>
        <w:top w:val="none" w:sz="0" w:space="0" w:color="auto"/>
        <w:left w:val="none" w:sz="0" w:space="0" w:color="auto"/>
        <w:bottom w:val="none" w:sz="0" w:space="0" w:color="auto"/>
        <w:right w:val="none" w:sz="0" w:space="0" w:color="auto"/>
      </w:divBdr>
    </w:div>
    <w:div w:id="535434061">
      <w:bodyDiv w:val="1"/>
      <w:marLeft w:val="0"/>
      <w:marRight w:val="0"/>
      <w:marTop w:val="0"/>
      <w:marBottom w:val="0"/>
      <w:divBdr>
        <w:top w:val="none" w:sz="0" w:space="0" w:color="auto"/>
        <w:left w:val="none" w:sz="0" w:space="0" w:color="auto"/>
        <w:bottom w:val="none" w:sz="0" w:space="0" w:color="auto"/>
        <w:right w:val="none" w:sz="0" w:space="0" w:color="auto"/>
      </w:divBdr>
    </w:div>
    <w:div w:id="586890357">
      <w:bodyDiv w:val="1"/>
      <w:marLeft w:val="0"/>
      <w:marRight w:val="0"/>
      <w:marTop w:val="0"/>
      <w:marBottom w:val="0"/>
      <w:divBdr>
        <w:top w:val="none" w:sz="0" w:space="0" w:color="auto"/>
        <w:left w:val="none" w:sz="0" w:space="0" w:color="auto"/>
        <w:bottom w:val="none" w:sz="0" w:space="0" w:color="auto"/>
        <w:right w:val="none" w:sz="0" w:space="0" w:color="auto"/>
      </w:divBdr>
      <w:divsChild>
        <w:div w:id="1847549062">
          <w:marLeft w:val="0"/>
          <w:marRight w:val="0"/>
          <w:marTop w:val="0"/>
          <w:marBottom w:val="0"/>
          <w:divBdr>
            <w:top w:val="none" w:sz="0" w:space="0" w:color="auto"/>
            <w:left w:val="none" w:sz="0" w:space="0" w:color="auto"/>
            <w:bottom w:val="none" w:sz="0" w:space="0" w:color="auto"/>
            <w:right w:val="none" w:sz="0" w:space="0" w:color="auto"/>
          </w:divBdr>
        </w:div>
      </w:divsChild>
    </w:div>
    <w:div w:id="658388419">
      <w:bodyDiv w:val="1"/>
      <w:marLeft w:val="0"/>
      <w:marRight w:val="0"/>
      <w:marTop w:val="0"/>
      <w:marBottom w:val="0"/>
      <w:divBdr>
        <w:top w:val="none" w:sz="0" w:space="0" w:color="auto"/>
        <w:left w:val="none" w:sz="0" w:space="0" w:color="auto"/>
        <w:bottom w:val="none" w:sz="0" w:space="0" w:color="auto"/>
        <w:right w:val="none" w:sz="0" w:space="0" w:color="auto"/>
      </w:divBdr>
      <w:divsChild>
        <w:div w:id="730889413">
          <w:marLeft w:val="0"/>
          <w:marRight w:val="0"/>
          <w:marTop w:val="0"/>
          <w:marBottom w:val="0"/>
          <w:divBdr>
            <w:top w:val="none" w:sz="0" w:space="0" w:color="auto"/>
            <w:left w:val="none" w:sz="0" w:space="0" w:color="auto"/>
            <w:bottom w:val="none" w:sz="0" w:space="0" w:color="auto"/>
            <w:right w:val="none" w:sz="0" w:space="0" w:color="auto"/>
          </w:divBdr>
        </w:div>
        <w:div w:id="743914134">
          <w:marLeft w:val="0"/>
          <w:marRight w:val="0"/>
          <w:marTop w:val="0"/>
          <w:marBottom w:val="0"/>
          <w:divBdr>
            <w:top w:val="none" w:sz="0" w:space="0" w:color="auto"/>
            <w:left w:val="none" w:sz="0" w:space="0" w:color="auto"/>
            <w:bottom w:val="none" w:sz="0" w:space="0" w:color="auto"/>
            <w:right w:val="none" w:sz="0" w:space="0" w:color="auto"/>
          </w:divBdr>
        </w:div>
      </w:divsChild>
    </w:div>
    <w:div w:id="689572618">
      <w:bodyDiv w:val="1"/>
      <w:marLeft w:val="0"/>
      <w:marRight w:val="0"/>
      <w:marTop w:val="0"/>
      <w:marBottom w:val="0"/>
      <w:divBdr>
        <w:top w:val="none" w:sz="0" w:space="0" w:color="auto"/>
        <w:left w:val="none" w:sz="0" w:space="0" w:color="auto"/>
        <w:bottom w:val="none" w:sz="0" w:space="0" w:color="auto"/>
        <w:right w:val="none" w:sz="0" w:space="0" w:color="auto"/>
      </w:divBdr>
    </w:div>
    <w:div w:id="779765314">
      <w:bodyDiv w:val="1"/>
      <w:marLeft w:val="0"/>
      <w:marRight w:val="0"/>
      <w:marTop w:val="0"/>
      <w:marBottom w:val="0"/>
      <w:divBdr>
        <w:top w:val="none" w:sz="0" w:space="0" w:color="auto"/>
        <w:left w:val="none" w:sz="0" w:space="0" w:color="auto"/>
        <w:bottom w:val="none" w:sz="0" w:space="0" w:color="auto"/>
        <w:right w:val="none" w:sz="0" w:space="0" w:color="auto"/>
      </w:divBdr>
    </w:div>
    <w:div w:id="1023441179">
      <w:bodyDiv w:val="1"/>
      <w:marLeft w:val="0"/>
      <w:marRight w:val="0"/>
      <w:marTop w:val="0"/>
      <w:marBottom w:val="0"/>
      <w:divBdr>
        <w:top w:val="none" w:sz="0" w:space="0" w:color="auto"/>
        <w:left w:val="none" w:sz="0" w:space="0" w:color="auto"/>
        <w:bottom w:val="none" w:sz="0" w:space="0" w:color="auto"/>
        <w:right w:val="none" w:sz="0" w:space="0" w:color="auto"/>
      </w:divBdr>
    </w:div>
    <w:div w:id="1048989614">
      <w:bodyDiv w:val="1"/>
      <w:marLeft w:val="0"/>
      <w:marRight w:val="0"/>
      <w:marTop w:val="0"/>
      <w:marBottom w:val="0"/>
      <w:divBdr>
        <w:top w:val="none" w:sz="0" w:space="0" w:color="auto"/>
        <w:left w:val="none" w:sz="0" w:space="0" w:color="auto"/>
        <w:bottom w:val="none" w:sz="0" w:space="0" w:color="auto"/>
        <w:right w:val="none" w:sz="0" w:space="0" w:color="auto"/>
      </w:divBdr>
    </w:div>
    <w:div w:id="1077090278">
      <w:bodyDiv w:val="1"/>
      <w:marLeft w:val="0"/>
      <w:marRight w:val="0"/>
      <w:marTop w:val="0"/>
      <w:marBottom w:val="0"/>
      <w:divBdr>
        <w:top w:val="none" w:sz="0" w:space="0" w:color="auto"/>
        <w:left w:val="none" w:sz="0" w:space="0" w:color="auto"/>
        <w:bottom w:val="none" w:sz="0" w:space="0" w:color="auto"/>
        <w:right w:val="none" w:sz="0" w:space="0" w:color="auto"/>
      </w:divBdr>
      <w:divsChild>
        <w:div w:id="1733967958">
          <w:marLeft w:val="0"/>
          <w:marRight w:val="0"/>
          <w:marTop w:val="0"/>
          <w:marBottom w:val="0"/>
          <w:divBdr>
            <w:top w:val="none" w:sz="0" w:space="0" w:color="auto"/>
            <w:left w:val="none" w:sz="0" w:space="0" w:color="auto"/>
            <w:bottom w:val="none" w:sz="0" w:space="0" w:color="auto"/>
            <w:right w:val="none" w:sz="0" w:space="0" w:color="auto"/>
          </w:divBdr>
        </w:div>
      </w:divsChild>
    </w:div>
    <w:div w:id="1089429200">
      <w:bodyDiv w:val="1"/>
      <w:marLeft w:val="0"/>
      <w:marRight w:val="0"/>
      <w:marTop w:val="0"/>
      <w:marBottom w:val="0"/>
      <w:divBdr>
        <w:top w:val="none" w:sz="0" w:space="0" w:color="auto"/>
        <w:left w:val="none" w:sz="0" w:space="0" w:color="auto"/>
        <w:bottom w:val="none" w:sz="0" w:space="0" w:color="auto"/>
        <w:right w:val="none" w:sz="0" w:space="0" w:color="auto"/>
      </w:divBdr>
    </w:div>
    <w:div w:id="1146625322">
      <w:bodyDiv w:val="1"/>
      <w:marLeft w:val="0"/>
      <w:marRight w:val="0"/>
      <w:marTop w:val="0"/>
      <w:marBottom w:val="0"/>
      <w:divBdr>
        <w:top w:val="none" w:sz="0" w:space="0" w:color="auto"/>
        <w:left w:val="none" w:sz="0" w:space="0" w:color="auto"/>
        <w:bottom w:val="none" w:sz="0" w:space="0" w:color="auto"/>
        <w:right w:val="none" w:sz="0" w:space="0" w:color="auto"/>
      </w:divBdr>
      <w:divsChild>
        <w:div w:id="1740908922">
          <w:marLeft w:val="0"/>
          <w:marRight w:val="0"/>
          <w:marTop w:val="0"/>
          <w:marBottom w:val="0"/>
          <w:divBdr>
            <w:top w:val="none" w:sz="0" w:space="0" w:color="auto"/>
            <w:left w:val="none" w:sz="0" w:space="0" w:color="auto"/>
            <w:bottom w:val="none" w:sz="0" w:space="0" w:color="auto"/>
            <w:right w:val="none" w:sz="0" w:space="0" w:color="auto"/>
          </w:divBdr>
          <w:divsChild>
            <w:div w:id="167700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5027">
      <w:bodyDiv w:val="1"/>
      <w:marLeft w:val="0"/>
      <w:marRight w:val="0"/>
      <w:marTop w:val="0"/>
      <w:marBottom w:val="0"/>
      <w:divBdr>
        <w:top w:val="none" w:sz="0" w:space="0" w:color="auto"/>
        <w:left w:val="none" w:sz="0" w:space="0" w:color="auto"/>
        <w:bottom w:val="none" w:sz="0" w:space="0" w:color="auto"/>
        <w:right w:val="none" w:sz="0" w:space="0" w:color="auto"/>
      </w:divBdr>
      <w:divsChild>
        <w:div w:id="1583486332">
          <w:marLeft w:val="0"/>
          <w:marRight w:val="0"/>
          <w:marTop w:val="0"/>
          <w:marBottom w:val="0"/>
          <w:divBdr>
            <w:top w:val="none" w:sz="0" w:space="0" w:color="auto"/>
            <w:left w:val="none" w:sz="0" w:space="0" w:color="auto"/>
            <w:bottom w:val="none" w:sz="0" w:space="0" w:color="auto"/>
            <w:right w:val="none" w:sz="0" w:space="0" w:color="auto"/>
          </w:divBdr>
        </w:div>
        <w:div w:id="1662349646">
          <w:marLeft w:val="0"/>
          <w:marRight w:val="0"/>
          <w:marTop w:val="0"/>
          <w:marBottom w:val="0"/>
          <w:divBdr>
            <w:top w:val="none" w:sz="0" w:space="0" w:color="auto"/>
            <w:left w:val="none" w:sz="0" w:space="0" w:color="auto"/>
            <w:bottom w:val="none" w:sz="0" w:space="0" w:color="auto"/>
            <w:right w:val="none" w:sz="0" w:space="0" w:color="auto"/>
          </w:divBdr>
        </w:div>
        <w:div w:id="1751347784">
          <w:marLeft w:val="0"/>
          <w:marRight w:val="0"/>
          <w:marTop w:val="0"/>
          <w:marBottom w:val="0"/>
          <w:divBdr>
            <w:top w:val="none" w:sz="0" w:space="0" w:color="auto"/>
            <w:left w:val="none" w:sz="0" w:space="0" w:color="auto"/>
            <w:bottom w:val="none" w:sz="0" w:space="0" w:color="auto"/>
            <w:right w:val="none" w:sz="0" w:space="0" w:color="auto"/>
          </w:divBdr>
        </w:div>
      </w:divsChild>
    </w:div>
    <w:div w:id="1173954210">
      <w:bodyDiv w:val="1"/>
      <w:marLeft w:val="0"/>
      <w:marRight w:val="0"/>
      <w:marTop w:val="0"/>
      <w:marBottom w:val="0"/>
      <w:divBdr>
        <w:top w:val="none" w:sz="0" w:space="0" w:color="auto"/>
        <w:left w:val="none" w:sz="0" w:space="0" w:color="auto"/>
        <w:bottom w:val="none" w:sz="0" w:space="0" w:color="auto"/>
        <w:right w:val="none" w:sz="0" w:space="0" w:color="auto"/>
      </w:divBdr>
    </w:div>
    <w:div w:id="1273784855">
      <w:bodyDiv w:val="1"/>
      <w:marLeft w:val="0"/>
      <w:marRight w:val="0"/>
      <w:marTop w:val="0"/>
      <w:marBottom w:val="0"/>
      <w:divBdr>
        <w:top w:val="none" w:sz="0" w:space="0" w:color="auto"/>
        <w:left w:val="none" w:sz="0" w:space="0" w:color="auto"/>
        <w:bottom w:val="none" w:sz="0" w:space="0" w:color="auto"/>
        <w:right w:val="none" w:sz="0" w:space="0" w:color="auto"/>
      </w:divBdr>
    </w:div>
    <w:div w:id="1359695369">
      <w:bodyDiv w:val="1"/>
      <w:marLeft w:val="0"/>
      <w:marRight w:val="0"/>
      <w:marTop w:val="0"/>
      <w:marBottom w:val="0"/>
      <w:divBdr>
        <w:top w:val="none" w:sz="0" w:space="0" w:color="auto"/>
        <w:left w:val="none" w:sz="0" w:space="0" w:color="auto"/>
        <w:bottom w:val="none" w:sz="0" w:space="0" w:color="auto"/>
        <w:right w:val="none" w:sz="0" w:space="0" w:color="auto"/>
      </w:divBdr>
    </w:div>
    <w:div w:id="1373188718">
      <w:bodyDiv w:val="1"/>
      <w:marLeft w:val="0"/>
      <w:marRight w:val="0"/>
      <w:marTop w:val="0"/>
      <w:marBottom w:val="0"/>
      <w:divBdr>
        <w:top w:val="none" w:sz="0" w:space="0" w:color="auto"/>
        <w:left w:val="none" w:sz="0" w:space="0" w:color="auto"/>
        <w:bottom w:val="none" w:sz="0" w:space="0" w:color="auto"/>
        <w:right w:val="none" w:sz="0" w:space="0" w:color="auto"/>
      </w:divBdr>
    </w:div>
    <w:div w:id="1395933663">
      <w:bodyDiv w:val="1"/>
      <w:marLeft w:val="0"/>
      <w:marRight w:val="0"/>
      <w:marTop w:val="0"/>
      <w:marBottom w:val="0"/>
      <w:divBdr>
        <w:top w:val="none" w:sz="0" w:space="0" w:color="auto"/>
        <w:left w:val="none" w:sz="0" w:space="0" w:color="auto"/>
        <w:bottom w:val="none" w:sz="0" w:space="0" w:color="auto"/>
        <w:right w:val="none" w:sz="0" w:space="0" w:color="auto"/>
      </w:divBdr>
    </w:div>
    <w:div w:id="1437217705">
      <w:bodyDiv w:val="1"/>
      <w:marLeft w:val="0"/>
      <w:marRight w:val="0"/>
      <w:marTop w:val="0"/>
      <w:marBottom w:val="0"/>
      <w:divBdr>
        <w:top w:val="none" w:sz="0" w:space="0" w:color="auto"/>
        <w:left w:val="none" w:sz="0" w:space="0" w:color="auto"/>
        <w:bottom w:val="none" w:sz="0" w:space="0" w:color="auto"/>
        <w:right w:val="none" w:sz="0" w:space="0" w:color="auto"/>
      </w:divBdr>
    </w:div>
    <w:div w:id="1513645959">
      <w:bodyDiv w:val="1"/>
      <w:marLeft w:val="0"/>
      <w:marRight w:val="0"/>
      <w:marTop w:val="0"/>
      <w:marBottom w:val="0"/>
      <w:divBdr>
        <w:top w:val="none" w:sz="0" w:space="0" w:color="auto"/>
        <w:left w:val="none" w:sz="0" w:space="0" w:color="auto"/>
        <w:bottom w:val="none" w:sz="0" w:space="0" w:color="auto"/>
        <w:right w:val="none" w:sz="0" w:space="0" w:color="auto"/>
      </w:divBdr>
    </w:div>
    <w:div w:id="1854881381">
      <w:bodyDiv w:val="1"/>
      <w:marLeft w:val="0"/>
      <w:marRight w:val="0"/>
      <w:marTop w:val="0"/>
      <w:marBottom w:val="0"/>
      <w:divBdr>
        <w:top w:val="none" w:sz="0" w:space="0" w:color="auto"/>
        <w:left w:val="none" w:sz="0" w:space="0" w:color="auto"/>
        <w:bottom w:val="none" w:sz="0" w:space="0" w:color="auto"/>
        <w:right w:val="none" w:sz="0" w:space="0" w:color="auto"/>
      </w:divBdr>
      <w:divsChild>
        <w:div w:id="1219633917">
          <w:marLeft w:val="0"/>
          <w:marRight w:val="0"/>
          <w:marTop w:val="0"/>
          <w:marBottom w:val="0"/>
          <w:divBdr>
            <w:top w:val="none" w:sz="0" w:space="0" w:color="auto"/>
            <w:left w:val="none" w:sz="0" w:space="0" w:color="auto"/>
            <w:bottom w:val="none" w:sz="0" w:space="0" w:color="auto"/>
            <w:right w:val="none" w:sz="0" w:space="0" w:color="auto"/>
          </w:divBdr>
        </w:div>
        <w:div w:id="1266157691">
          <w:marLeft w:val="0"/>
          <w:marRight w:val="0"/>
          <w:marTop w:val="0"/>
          <w:marBottom w:val="0"/>
          <w:divBdr>
            <w:top w:val="none" w:sz="0" w:space="0" w:color="auto"/>
            <w:left w:val="none" w:sz="0" w:space="0" w:color="auto"/>
            <w:bottom w:val="none" w:sz="0" w:space="0" w:color="auto"/>
            <w:right w:val="none" w:sz="0" w:space="0" w:color="auto"/>
          </w:divBdr>
        </w:div>
      </w:divsChild>
    </w:div>
    <w:div w:id="1865095537">
      <w:bodyDiv w:val="1"/>
      <w:marLeft w:val="0"/>
      <w:marRight w:val="0"/>
      <w:marTop w:val="0"/>
      <w:marBottom w:val="0"/>
      <w:divBdr>
        <w:top w:val="none" w:sz="0" w:space="0" w:color="auto"/>
        <w:left w:val="none" w:sz="0" w:space="0" w:color="auto"/>
        <w:bottom w:val="none" w:sz="0" w:space="0" w:color="auto"/>
        <w:right w:val="none" w:sz="0" w:space="0" w:color="auto"/>
      </w:divBdr>
    </w:div>
    <w:div w:id="1967276069">
      <w:bodyDiv w:val="1"/>
      <w:marLeft w:val="0"/>
      <w:marRight w:val="0"/>
      <w:marTop w:val="0"/>
      <w:marBottom w:val="0"/>
      <w:divBdr>
        <w:top w:val="none" w:sz="0" w:space="0" w:color="auto"/>
        <w:left w:val="none" w:sz="0" w:space="0" w:color="auto"/>
        <w:bottom w:val="none" w:sz="0" w:space="0" w:color="auto"/>
        <w:right w:val="none" w:sz="0" w:space="0" w:color="auto"/>
      </w:divBdr>
    </w:div>
    <w:div w:id="1985817548">
      <w:bodyDiv w:val="1"/>
      <w:marLeft w:val="0"/>
      <w:marRight w:val="0"/>
      <w:marTop w:val="0"/>
      <w:marBottom w:val="0"/>
      <w:divBdr>
        <w:top w:val="none" w:sz="0" w:space="0" w:color="auto"/>
        <w:left w:val="none" w:sz="0" w:space="0" w:color="auto"/>
        <w:bottom w:val="none" w:sz="0" w:space="0" w:color="auto"/>
        <w:right w:val="none" w:sz="0" w:space="0" w:color="auto"/>
      </w:divBdr>
    </w:div>
    <w:div w:id="2023702575">
      <w:bodyDiv w:val="1"/>
      <w:marLeft w:val="0"/>
      <w:marRight w:val="0"/>
      <w:marTop w:val="0"/>
      <w:marBottom w:val="0"/>
      <w:divBdr>
        <w:top w:val="none" w:sz="0" w:space="0" w:color="auto"/>
        <w:left w:val="none" w:sz="0" w:space="0" w:color="auto"/>
        <w:bottom w:val="none" w:sz="0" w:space="0" w:color="auto"/>
        <w:right w:val="none" w:sz="0" w:space="0" w:color="auto"/>
      </w:divBdr>
    </w:div>
    <w:div w:id="2070759422">
      <w:bodyDiv w:val="1"/>
      <w:marLeft w:val="0"/>
      <w:marRight w:val="0"/>
      <w:marTop w:val="0"/>
      <w:marBottom w:val="0"/>
      <w:divBdr>
        <w:top w:val="none" w:sz="0" w:space="0" w:color="auto"/>
        <w:left w:val="none" w:sz="0" w:space="0" w:color="auto"/>
        <w:bottom w:val="none" w:sz="0" w:space="0" w:color="auto"/>
        <w:right w:val="none" w:sz="0" w:space="0" w:color="auto"/>
      </w:divBdr>
    </w:div>
    <w:div w:id="2106726275">
      <w:bodyDiv w:val="1"/>
      <w:marLeft w:val="0"/>
      <w:marRight w:val="0"/>
      <w:marTop w:val="0"/>
      <w:marBottom w:val="0"/>
      <w:divBdr>
        <w:top w:val="none" w:sz="0" w:space="0" w:color="auto"/>
        <w:left w:val="none" w:sz="0" w:space="0" w:color="auto"/>
        <w:bottom w:val="none" w:sz="0" w:space="0" w:color="auto"/>
        <w:right w:val="none" w:sz="0" w:space="0" w:color="auto"/>
      </w:divBdr>
    </w:div>
    <w:div w:id="2139637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ndsolarminimum.com/2022/12/01/covid-19-vaccine-harm-evidence/" TargetMode="External"/><Relationship Id="rId13" Type="http://schemas.openxmlformats.org/officeDocument/2006/relationships/hyperlink" Target="mailto:covid19vaccinesafetynz@proton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dsolarminimum.com/2022/12/01/vaers-toxic-covid-19-vaccine-lot-evidence/" TargetMode="External"/><Relationship Id="rId17" Type="http://schemas.openxmlformats.org/officeDocument/2006/relationships/hyperlink" Target="https://grandsolarminimum.com/2022/12/01/pandemic-influenza-risk-factors/" TargetMode="External"/><Relationship Id="rId2" Type="http://schemas.openxmlformats.org/officeDocument/2006/relationships/numbering" Target="numbering.xml"/><Relationship Id="rId16" Type="http://schemas.openxmlformats.org/officeDocument/2006/relationships/hyperlink" Target="https://orcid.org/0000-0003-4871-75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solarminimum.com/2022/12/01/covid-19-vaccination-antibody-dependent-enhancement-of-virus-infection-and-vaccine-associated-enhanced-disease-evidence/" TargetMode="External"/><Relationship Id="rId5" Type="http://schemas.openxmlformats.org/officeDocument/2006/relationships/webSettings" Target="webSettings.xml"/><Relationship Id="rId15" Type="http://schemas.openxmlformats.org/officeDocument/2006/relationships/hyperlink" Target="https://www.linkedin.com/in/carlton-brown-13b66232/"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randsolarminimum.com/2022/12/01/pandemic-influenza-risk-factors/"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s://fyi.org.nz/request/16430-pcr-cycle-threshold-facts" TargetMode="External"/><Relationship Id="rId1" Type="http://schemas.openxmlformats.org/officeDocument/2006/relationships/hyperlink" Target="https://fyi.org.nz/request/16428-pcr-cycle-threshold-of-covid-c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C1057-D227-4A40-8C9B-EF9757FE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95</Pages>
  <Words>31760</Words>
  <Characters>191514</Characters>
  <Application>Microsoft Office Word</Application>
  <DocSecurity>0</DocSecurity>
  <Lines>2307</Lines>
  <Paragraphs>403</Paragraphs>
  <ScaleCrop>false</ScaleCrop>
  <HeadingPairs>
    <vt:vector size="2" baseType="variant">
      <vt:variant>
        <vt:lpstr>Title</vt:lpstr>
      </vt:variant>
      <vt:variant>
        <vt:i4>1</vt:i4>
      </vt:variant>
    </vt:vector>
  </HeadingPairs>
  <TitlesOfParts>
    <vt:vector size="1" baseType="lpstr">
      <vt:lpstr>Evidentiary Document_COVID19NationalLevelHarm</vt:lpstr>
    </vt:vector>
  </TitlesOfParts>
  <Manager/>
  <Company/>
  <LinksUpToDate>false</LinksUpToDate>
  <CharactersWithSpaces>222871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Evidentiary Document_COVID19NationalLevelHarm</dc:title>
  <dc:subject>COVID-19 vaccine induced harm</dc:subject>
  <dc:creator>Carlton B. Brown</dc:creator>
  <cp:keywords>antibody-dependent enhancement of infection, vaccine-associated enhanced disease, antigenic imprinting, toxic vaccine lots, SARS-CoV-2 gain-of-function origin</cp:keywords>
  <dc:description/>
  <cp:lastModifiedBy>Carlton Brown</cp:lastModifiedBy>
  <cp:revision>4</cp:revision>
  <cp:lastPrinted>2022-12-03T19:50:00Z</cp:lastPrinted>
  <dcterms:created xsi:type="dcterms:W3CDTF">2022-12-04T19:44:00Z</dcterms:created>
  <dcterms:modified xsi:type="dcterms:W3CDTF">2022-12-04T22:17:00Z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6b9468ae-8f6d-3bad-b87c-9d63cbd8e6ea</vt:lpwstr>
  </property>
</Properties>
</file>